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94C" w:rsidRPr="00C1794C" w:rsidRDefault="00C1794C">
      <w:pPr>
        <w:widowControl/>
        <w:shd w:val="clear" w:color="auto" w:fill="FFFFFF"/>
        <w:spacing w:before="100" w:beforeAutospacing="1" w:after="100" w:afterAutospacing="1" w:line="480" w:lineRule="auto"/>
        <w:jc w:val="center"/>
        <w:rPr>
          <w:rFonts w:ascii="方正小标宋简体" w:eastAsia="方正小标宋简体"/>
          <w:bCs/>
          <w:color w:val="000000" w:themeColor="text1"/>
          <w:kern w:val="0"/>
          <w:sz w:val="36"/>
          <w:szCs w:val="36"/>
        </w:rPr>
      </w:pPr>
    </w:p>
    <w:p w:rsidR="000730DF" w:rsidRPr="00C1794C" w:rsidRDefault="007B19DB">
      <w:pPr>
        <w:widowControl/>
        <w:shd w:val="clear" w:color="auto" w:fill="FFFFFF"/>
        <w:spacing w:before="100" w:beforeAutospacing="1" w:after="100" w:afterAutospacing="1" w:line="480" w:lineRule="auto"/>
        <w:jc w:val="center"/>
        <w:rPr>
          <w:rFonts w:ascii="方正小标宋简体" w:eastAsia="方正小标宋简体"/>
          <w:bCs/>
          <w:color w:val="000000" w:themeColor="text1"/>
          <w:kern w:val="0"/>
          <w:sz w:val="36"/>
          <w:szCs w:val="36"/>
        </w:rPr>
      </w:pPr>
      <w:r w:rsidRPr="00C1794C">
        <w:rPr>
          <w:rFonts w:ascii="方正小标宋简体" w:eastAsia="方正小标宋简体" w:hint="eastAsia"/>
          <w:bCs/>
          <w:color w:val="000000" w:themeColor="text1"/>
          <w:kern w:val="0"/>
          <w:sz w:val="36"/>
          <w:szCs w:val="36"/>
        </w:rPr>
        <w:t>2020年重庆市荣昌区国民经济和社会发展统计公报</w:t>
      </w:r>
    </w:p>
    <w:p w:rsidR="000730DF" w:rsidRPr="00C1794C" w:rsidRDefault="007B19DB">
      <w:pPr>
        <w:spacing w:line="480" w:lineRule="auto"/>
        <w:jc w:val="center"/>
        <w:rPr>
          <w:rFonts w:ascii="方正楷体简体" w:eastAsia="方正楷体简体" w:hAnsi="宋体"/>
          <w:color w:val="000000" w:themeColor="text1"/>
          <w:sz w:val="28"/>
          <w:szCs w:val="28"/>
        </w:rPr>
      </w:pPr>
      <w:r w:rsidRPr="00C1794C">
        <w:rPr>
          <w:rFonts w:ascii="方正楷体简体" w:eastAsia="方正楷体简体" w:hAnsi="宋体" w:hint="eastAsia"/>
          <w:color w:val="000000" w:themeColor="text1"/>
          <w:sz w:val="28"/>
          <w:szCs w:val="28"/>
        </w:rPr>
        <w:t>重庆市荣昌区统计局</w:t>
      </w:r>
    </w:p>
    <w:p w:rsidR="000730DF" w:rsidRPr="00C1794C" w:rsidRDefault="007B19DB">
      <w:pPr>
        <w:spacing w:line="480" w:lineRule="auto"/>
        <w:jc w:val="center"/>
        <w:rPr>
          <w:rFonts w:ascii="方正楷体简体" w:eastAsia="方正楷体简体" w:hAnsi="宋体"/>
          <w:color w:val="000000" w:themeColor="text1"/>
          <w:sz w:val="28"/>
          <w:szCs w:val="28"/>
        </w:rPr>
      </w:pPr>
      <w:r w:rsidRPr="00C1794C">
        <w:rPr>
          <w:rFonts w:ascii="方正楷体简体" w:eastAsia="方正楷体简体" w:hAnsi="宋体" w:hint="eastAsia"/>
          <w:color w:val="000000" w:themeColor="text1"/>
          <w:sz w:val="28"/>
          <w:szCs w:val="28"/>
        </w:rPr>
        <w:t>2021年3月22日</w:t>
      </w:r>
    </w:p>
    <w:p w:rsidR="000730DF" w:rsidRPr="00C1794C" w:rsidRDefault="000730DF" w:rsidP="00C1794C">
      <w:pPr>
        <w:spacing w:line="240" w:lineRule="exact"/>
        <w:jc w:val="center"/>
        <w:rPr>
          <w:rFonts w:ascii="方正楷体简体" w:eastAsia="方正楷体简体" w:hAnsi="宋体"/>
          <w:color w:val="000000" w:themeColor="text1"/>
          <w:sz w:val="28"/>
          <w:szCs w:val="28"/>
        </w:rPr>
      </w:pPr>
    </w:p>
    <w:p w:rsidR="000730DF" w:rsidRPr="00C1794C" w:rsidRDefault="007B19DB" w:rsidP="00C1794C">
      <w:pPr>
        <w:pStyle w:val="a7"/>
        <w:tabs>
          <w:tab w:val="left" w:pos="550"/>
        </w:tabs>
        <w:adjustRightInd w:val="0"/>
        <w:snapToGrid w:val="0"/>
        <w:spacing w:before="0" w:beforeAutospacing="0" w:after="0" w:afterAutospacing="0" w:line="460" w:lineRule="exact"/>
        <w:ind w:firstLineChars="200" w:firstLine="420"/>
        <w:jc w:val="both"/>
        <w:rPr>
          <w:color w:val="000000" w:themeColor="text1"/>
          <w:sz w:val="21"/>
          <w:szCs w:val="21"/>
        </w:rPr>
      </w:pPr>
      <w:r w:rsidRPr="00C1794C">
        <w:rPr>
          <w:rFonts w:hint="eastAsia"/>
          <w:color w:val="000000" w:themeColor="text1"/>
          <w:sz w:val="21"/>
          <w:szCs w:val="21"/>
        </w:rPr>
        <w:t>2020年，面对复杂严峻的宏观经济形势和新冠肺炎疫情的严重冲击，全区上下以习近平新时代中国特色社会主义思想为指导，坚持稳中求进工作总基调，统筹疫情防控和经济社会发展工作，紧紧围绕习近平总书记对重庆提出的营造良好政治生态，坚持“两点”定位、“两地”“两高”目标，发挥三个作用和推动成渝双城经济圈建设等重要指标要求，扎实做好“六稳”工作，全面落实“六保”任务，经济运行稳定恢复，高质量发展势头强劲。</w:t>
      </w:r>
    </w:p>
    <w:p w:rsidR="000730DF" w:rsidRPr="00C1794C" w:rsidRDefault="007B19DB" w:rsidP="00C1794C">
      <w:pPr>
        <w:pStyle w:val="a7"/>
        <w:tabs>
          <w:tab w:val="left" w:pos="550"/>
        </w:tabs>
        <w:adjustRightInd w:val="0"/>
        <w:snapToGrid w:val="0"/>
        <w:spacing w:before="0" w:beforeAutospacing="0" w:after="0" w:afterAutospacing="0" w:line="460" w:lineRule="exact"/>
        <w:ind w:right="44" w:firstLineChars="200" w:firstLine="422"/>
        <w:jc w:val="both"/>
        <w:rPr>
          <w:b/>
          <w:color w:val="000000" w:themeColor="text1"/>
          <w:sz w:val="21"/>
          <w:szCs w:val="21"/>
        </w:rPr>
      </w:pPr>
      <w:r w:rsidRPr="00C1794C">
        <w:rPr>
          <w:rFonts w:hint="eastAsia"/>
          <w:b/>
          <w:color w:val="000000" w:themeColor="text1"/>
          <w:sz w:val="21"/>
          <w:szCs w:val="21"/>
        </w:rPr>
        <w:tab/>
        <w:t>一、综合</w:t>
      </w:r>
    </w:p>
    <w:p w:rsidR="000730DF" w:rsidRPr="00C1794C" w:rsidRDefault="007B19DB" w:rsidP="00C1794C">
      <w:pPr>
        <w:pStyle w:val="a7"/>
        <w:adjustRightInd w:val="0"/>
        <w:snapToGrid w:val="0"/>
        <w:spacing w:before="0" w:beforeAutospacing="0" w:after="0" w:afterAutospacing="0" w:line="460" w:lineRule="exact"/>
        <w:ind w:right="44" w:firstLineChars="200" w:firstLine="420"/>
        <w:jc w:val="both"/>
        <w:rPr>
          <w:color w:val="000000" w:themeColor="text1"/>
          <w:sz w:val="21"/>
          <w:szCs w:val="21"/>
        </w:rPr>
      </w:pPr>
      <w:r w:rsidRPr="00C1794C">
        <w:rPr>
          <w:rFonts w:hint="eastAsia"/>
          <w:color w:val="000000" w:themeColor="text1"/>
          <w:sz w:val="21"/>
          <w:szCs w:val="21"/>
        </w:rPr>
        <w:t>全年实现地区生产总值7097956万元，比上年增长4.9%。按产业分，第一产业增加值642633万元，增长6.7%；第二产业增加值3829601万元，增长6.5%；第三产业增加值2625722万元，增长2.2%。第一产业增加值占地区生产总值的比重为9.1%，比上年上升0.8个百分点；第二产业增加值比重为54.0%，比上年上升0.7个百分点；第三产业增加值比重为36.9%，比上年下降1.5百分点。</w:t>
      </w:r>
    </w:p>
    <w:p w:rsidR="000730DF" w:rsidRPr="00C1794C" w:rsidRDefault="007B19DB" w:rsidP="00C1794C">
      <w:pPr>
        <w:pStyle w:val="a7"/>
        <w:adjustRightInd w:val="0"/>
        <w:snapToGrid w:val="0"/>
        <w:spacing w:before="0" w:beforeAutospacing="0" w:after="0" w:afterAutospacing="0" w:line="460" w:lineRule="exact"/>
        <w:ind w:right="44" w:firstLineChars="200" w:firstLine="420"/>
        <w:jc w:val="both"/>
        <w:rPr>
          <w:b/>
          <w:bCs/>
          <w:color w:val="000000" w:themeColor="text1"/>
          <w:sz w:val="21"/>
          <w:szCs w:val="21"/>
        </w:rPr>
      </w:pPr>
      <w:r w:rsidRPr="00C1794C">
        <w:rPr>
          <w:rFonts w:hint="eastAsia"/>
          <w:color w:val="000000" w:themeColor="text1"/>
          <w:sz w:val="21"/>
          <w:szCs w:val="21"/>
        </w:rPr>
        <w:t>年末全区户籍户数312336户，户籍人口847068人，比上年减少3270人。其中城镇人口412945人，乡村人口434123人。分性别看，男性人口430350人，女性人口416718人，人口性别比（以女性为1，男性对女性的比例）为1.03。全年出生人口6566人，出生人口性别比为1.05，出生率为7.7‰；死亡人口8597人，死亡率为10.1‰；自然增长率为-2.4‰。</w:t>
      </w:r>
    </w:p>
    <w:p w:rsidR="000730DF" w:rsidRPr="00C1794C" w:rsidRDefault="007B19DB">
      <w:pPr>
        <w:widowControl/>
        <w:shd w:val="clear" w:color="auto" w:fill="FFFFFF"/>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表1　2020年户籍人口数及其构成</w:t>
      </w:r>
    </w:p>
    <w:tbl>
      <w:tblPr>
        <w:tblW w:w="7573" w:type="dxa"/>
        <w:jc w:val="center"/>
        <w:tblLayout w:type="fixed"/>
        <w:tblLook w:val="04A0"/>
      </w:tblPr>
      <w:tblGrid>
        <w:gridCol w:w="3990"/>
        <w:gridCol w:w="1703"/>
        <w:gridCol w:w="1880"/>
      </w:tblGrid>
      <w:tr w:rsidR="000730DF" w:rsidRPr="00C1794C" w:rsidTr="00C1794C">
        <w:trPr>
          <w:trHeight w:val="454"/>
          <w:jc w:val="center"/>
        </w:trPr>
        <w:tc>
          <w:tcPr>
            <w:tcW w:w="3990" w:type="dxa"/>
            <w:tcBorders>
              <w:top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指标名称</w:t>
            </w:r>
          </w:p>
        </w:tc>
        <w:tc>
          <w:tcPr>
            <w:tcW w:w="1703" w:type="dxa"/>
            <w:tcBorders>
              <w:top w:val="single" w:sz="4" w:space="0" w:color="auto"/>
              <w:left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ind w:firstLineChars="200" w:firstLine="422"/>
              <w:jc w:val="left"/>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年末数</w:t>
            </w:r>
          </w:p>
        </w:tc>
        <w:tc>
          <w:tcPr>
            <w:tcW w:w="1880" w:type="dxa"/>
            <w:tcBorders>
              <w:top w:val="single" w:sz="4" w:space="0" w:color="auto"/>
              <w:left w:val="single" w:sz="4" w:space="0" w:color="auto"/>
              <w:bottom w:val="single" w:sz="4" w:space="0" w:color="auto"/>
            </w:tcBorders>
            <w:vAlign w:val="center"/>
          </w:tcPr>
          <w:p w:rsidR="000730DF" w:rsidRPr="00C1794C" w:rsidRDefault="007B19DB">
            <w:pPr>
              <w:widowControl/>
              <w:shd w:val="clear" w:color="auto" w:fill="FFFFFF"/>
              <w:spacing w:line="480" w:lineRule="exact"/>
              <w:ind w:firstLineChars="200" w:firstLine="422"/>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比重（％）</w:t>
            </w:r>
          </w:p>
        </w:tc>
      </w:tr>
      <w:tr w:rsidR="000730DF" w:rsidRPr="00C1794C" w:rsidTr="00C1794C">
        <w:trPr>
          <w:trHeight w:val="454"/>
          <w:jc w:val="center"/>
        </w:trPr>
        <w:tc>
          <w:tcPr>
            <w:tcW w:w="3990" w:type="dxa"/>
            <w:tcBorders>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户籍总人口（人）</w:t>
            </w:r>
          </w:p>
        </w:tc>
        <w:tc>
          <w:tcPr>
            <w:tcW w:w="1703" w:type="dxa"/>
            <w:tcBorders>
              <w:top w:val="nil"/>
              <w:left w:val="nil"/>
              <w:bottom w:val="nil"/>
              <w:right w:val="nil"/>
            </w:tcBorders>
            <w:vAlign w:val="center"/>
          </w:tcPr>
          <w:p w:rsidR="000730DF" w:rsidRPr="00C1794C" w:rsidRDefault="007B19DB">
            <w:pPr>
              <w:widowControl/>
              <w:spacing w:line="480" w:lineRule="exact"/>
              <w:ind w:firstLineChars="200" w:firstLine="420"/>
              <w:jc w:val="righ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847068</w:t>
            </w:r>
          </w:p>
        </w:tc>
        <w:tc>
          <w:tcPr>
            <w:tcW w:w="1880" w:type="dxa"/>
            <w:tcBorders>
              <w:top w:val="nil"/>
              <w:left w:val="nil"/>
              <w:bottom w:val="nil"/>
              <w:right w:val="nil"/>
            </w:tcBorders>
            <w:vAlign w:val="center"/>
          </w:tcPr>
          <w:p w:rsidR="000730DF" w:rsidRPr="00C1794C" w:rsidRDefault="007B19DB">
            <w:pPr>
              <w:widowControl/>
              <w:spacing w:line="480" w:lineRule="exact"/>
              <w:ind w:firstLineChars="200" w:firstLine="420"/>
              <w:jc w:val="righ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100</w:t>
            </w:r>
          </w:p>
        </w:tc>
      </w:tr>
      <w:tr w:rsidR="000730DF" w:rsidRPr="00C1794C" w:rsidTr="00C1794C">
        <w:trPr>
          <w:trHeight w:val="454"/>
          <w:jc w:val="center"/>
        </w:trPr>
        <w:tc>
          <w:tcPr>
            <w:tcW w:w="3990" w:type="dxa"/>
            <w:tcBorders>
              <w:right w:val="single" w:sz="4" w:space="0" w:color="auto"/>
            </w:tcBorders>
            <w:vAlign w:val="center"/>
          </w:tcPr>
          <w:p w:rsidR="000730DF" w:rsidRPr="00C1794C" w:rsidRDefault="007B19DB">
            <w:pPr>
              <w:widowControl/>
              <w:spacing w:line="480" w:lineRule="exact"/>
              <w:ind w:firstLineChars="200" w:firstLine="420"/>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      其中：城镇人口（人）</w:t>
            </w:r>
          </w:p>
        </w:tc>
        <w:tc>
          <w:tcPr>
            <w:tcW w:w="1703" w:type="dxa"/>
            <w:tcBorders>
              <w:top w:val="nil"/>
              <w:left w:val="nil"/>
              <w:bottom w:val="nil"/>
              <w:right w:val="nil"/>
            </w:tcBorders>
            <w:vAlign w:val="center"/>
          </w:tcPr>
          <w:p w:rsidR="000730DF" w:rsidRPr="00C1794C" w:rsidRDefault="007B19DB">
            <w:pPr>
              <w:widowControl/>
              <w:spacing w:line="480" w:lineRule="exact"/>
              <w:ind w:firstLineChars="200" w:firstLine="420"/>
              <w:jc w:val="righ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412945</w:t>
            </w:r>
          </w:p>
        </w:tc>
        <w:tc>
          <w:tcPr>
            <w:tcW w:w="1880" w:type="dxa"/>
            <w:tcBorders>
              <w:top w:val="nil"/>
              <w:left w:val="nil"/>
              <w:bottom w:val="nil"/>
              <w:right w:val="nil"/>
            </w:tcBorders>
            <w:vAlign w:val="center"/>
          </w:tcPr>
          <w:p w:rsidR="000730DF" w:rsidRPr="00C1794C" w:rsidRDefault="007B19DB">
            <w:pPr>
              <w:widowControl/>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48.7 </w:t>
            </w:r>
          </w:p>
        </w:tc>
      </w:tr>
      <w:tr w:rsidR="000730DF" w:rsidRPr="00C1794C" w:rsidTr="00C1794C">
        <w:trPr>
          <w:trHeight w:val="454"/>
          <w:jc w:val="center"/>
        </w:trPr>
        <w:tc>
          <w:tcPr>
            <w:tcW w:w="3990" w:type="dxa"/>
            <w:tcBorders>
              <w:right w:val="single" w:sz="4" w:space="0" w:color="auto"/>
            </w:tcBorders>
            <w:vAlign w:val="center"/>
          </w:tcPr>
          <w:p w:rsidR="000730DF" w:rsidRPr="00C1794C" w:rsidRDefault="007B19DB">
            <w:pPr>
              <w:widowControl/>
              <w:spacing w:line="480" w:lineRule="exact"/>
              <w:ind w:firstLineChars="200" w:firstLine="420"/>
              <w:jc w:val="center"/>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      乡村人口（人）</w:t>
            </w:r>
          </w:p>
        </w:tc>
        <w:tc>
          <w:tcPr>
            <w:tcW w:w="1703" w:type="dxa"/>
            <w:tcBorders>
              <w:top w:val="nil"/>
              <w:left w:val="nil"/>
              <w:bottom w:val="nil"/>
              <w:right w:val="nil"/>
            </w:tcBorders>
            <w:vAlign w:val="center"/>
          </w:tcPr>
          <w:p w:rsidR="000730DF" w:rsidRPr="00C1794C" w:rsidRDefault="007B19DB">
            <w:pPr>
              <w:widowControl/>
              <w:spacing w:line="480" w:lineRule="exact"/>
              <w:ind w:firstLineChars="200" w:firstLine="420"/>
              <w:jc w:val="righ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434123</w:t>
            </w:r>
          </w:p>
        </w:tc>
        <w:tc>
          <w:tcPr>
            <w:tcW w:w="1880"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51.3 </w:t>
            </w:r>
          </w:p>
        </w:tc>
      </w:tr>
      <w:tr w:rsidR="000730DF" w:rsidRPr="00C1794C" w:rsidTr="00C1794C">
        <w:trPr>
          <w:trHeight w:val="454"/>
          <w:jc w:val="center"/>
        </w:trPr>
        <w:tc>
          <w:tcPr>
            <w:tcW w:w="3990" w:type="dxa"/>
            <w:tcBorders>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其中：男性（人）</w:t>
            </w:r>
          </w:p>
        </w:tc>
        <w:tc>
          <w:tcPr>
            <w:tcW w:w="1703" w:type="dxa"/>
            <w:tcBorders>
              <w:top w:val="nil"/>
              <w:left w:val="nil"/>
              <w:right w:val="nil"/>
            </w:tcBorders>
            <w:vAlign w:val="center"/>
          </w:tcPr>
          <w:p w:rsidR="000730DF" w:rsidRPr="00C1794C" w:rsidRDefault="007B19DB">
            <w:pPr>
              <w:widowControl/>
              <w:spacing w:line="480" w:lineRule="exact"/>
              <w:ind w:firstLineChars="200" w:firstLine="420"/>
              <w:jc w:val="righ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430350</w:t>
            </w:r>
          </w:p>
        </w:tc>
        <w:tc>
          <w:tcPr>
            <w:tcW w:w="1880" w:type="dxa"/>
            <w:tcBorders>
              <w:top w:val="nil"/>
              <w:left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50.8 </w:t>
            </w:r>
          </w:p>
        </w:tc>
      </w:tr>
      <w:tr w:rsidR="000730DF" w:rsidRPr="00C1794C" w:rsidTr="00C1794C">
        <w:trPr>
          <w:trHeight w:val="454"/>
          <w:jc w:val="center"/>
        </w:trPr>
        <w:tc>
          <w:tcPr>
            <w:tcW w:w="3990" w:type="dxa"/>
            <w:tcBorders>
              <w:bottom w:val="single" w:sz="4" w:space="0" w:color="auto"/>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女性（人）</w:t>
            </w:r>
          </w:p>
        </w:tc>
        <w:tc>
          <w:tcPr>
            <w:tcW w:w="1703" w:type="dxa"/>
            <w:tcBorders>
              <w:top w:val="nil"/>
              <w:left w:val="nil"/>
              <w:bottom w:val="single" w:sz="4" w:space="0" w:color="auto"/>
              <w:right w:val="nil"/>
            </w:tcBorders>
            <w:vAlign w:val="center"/>
          </w:tcPr>
          <w:p w:rsidR="000730DF" w:rsidRPr="00C1794C" w:rsidRDefault="007B19DB">
            <w:pPr>
              <w:widowControl/>
              <w:spacing w:line="480" w:lineRule="exact"/>
              <w:ind w:firstLineChars="200" w:firstLine="420"/>
              <w:jc w:val="righ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416718</w:t>
            </w:r>
          </w:p>
        </w:tc>
        <w:tc>
          <w:tcPr>
            <w:tcW w:w="1880" w:type="dxa"/>
            <w:tcBorders>
              <w:top w:val="nil"/>
              <w:left w:val="nil"/>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49.2 </w:t>
            </w:r>
          </w:p>
        </w:tc>
      </w:tr>
    </w:tbl>
    <w:p w:rsidR="000730DF" w:rsidRPr="00C1794C" w:rsidRDefault="007B19DB">
      <w:pPr>
        <w:pStyle w:val="a7"/>
        <w:spacing w:before="0" w:beforeAutospacing="0" w:after="0" w:afterAutospacing="0" w:line="480" w:lineRule="exact"/>
        <w:ind w:right="45" w:firstLineChars="200" w:firstLine="420"/>
        <w:rPr>
          <w:b/>
          <w:bCs/>
          <w:color w:val="000000" w:themeColor="text1"/>
          <w:sz w:val="21"/>
          <w:szCs w:val="21"/>
        </w:rPr>
      </w:pPr>
      <w:r w:rsidRPr="00C1794C">
        <w:rPr>
          <w:rFonts w:hint="eastAsia"/>
          <w:noProof/>
          <w:color w:val="000000" w:themeColor="text1"/>
          <w:sz w:val="21"/>
          <w:szCs w:val="21"/>
        </w:rPr>
        <w:lastRenderedPageBreak/>
        <w:drawing>
          <wp:anchor distT="0" distB="0" distL="0" distR="0" simplePos="0" relativeHeight="251658240" behindDoc="0" locked="0" layoutInCell="1" allowOverlap="1">
            <wp:simplePos x="0" y="0"/>
            <wp:positionH relativeFrom="column">
              <wp:posOffset>440690</wp:posOffset>
            </wp:positionH>
            <wp:positionV relativeFrom="paragraph">
              <wp:posOffset>141605</wp:posOffset>
            </wp:positionV>
            <wp:extent cx="4882515" cy="3279775"/>
            <wp:effectExtent l="4445" t="4445" r="8890" b="1143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Pr="00C1794C">
        <w:rPr>
          <w:rFonts w:hint="eastAsia"/>
          <w:bCs/>
          <w:color w:val="000000" w:themeColor="text1"/>
          <w:sz w:val="21"/>
          <w:szCs w:val="21"/>
        </w:rPr>
        <w:t>2020年城镇新增就业人员15661人，比上年下降23.7%。新增转移农村劳动力1215人，比上年增长6.1%。年末城镇登记失业人数4729人，比上年增长23.3%。城镇登记失业率3.41％，比上年增加0.62个百分点</w:t>
      </w:r>
      <w:r w:rsidRPr="00C1794C">
        <w:rPr>
          <w:rFonts w:hint="eastAsia"/>
          <w:b/>
          <w:bCs/>
          <w:color w:val="000000" w:themeColor="text1"/>
          <w:sz w:val="21"/>
          <w:szCs w:val="21"/>
        </w:rPr>
        <w:t>。</w:t>
      </w:r>
    </w:p>
    <w:p w:rsidR="000730DF" w:rsidRPr="00C1794C" w:rsidRDefault="007B19DB">
      <w:pPr>
        <w:widowControl/>
        <w:shd w:val="clear" w:color="auto" w:fill="FFFFFF"/>
        <w:spacing w:line="480" w:lineRule="exact"/>
        <w:ind w:firstLineChars="200" w:firstLine="420"/>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截止2020年，全区共有各类市场主体67514户，比上年增长7.9%。其中内资企业14261户，外资企业26户，个体工商户52511户，农民专业合作社686户。</w:t>
      </w:r>
    </w:p>
    <w:p w:rsidR="000730DF" w:rsidRPr="00C1794C" w:rsidRDefault="007B19DB">
      <w:pPr>
        <w:widowControl/>
        <w:shd w:val="clear" w:color="auto" w:fill="FFFFFF"/>
        <w:spacing w:line="480" w:lineRule="exact"/>
        <w:ind w:firstLineChars="200" w:firstLine="420"/>
        <w:rPr>
          <w:rFonts w:ascii="宋体" w:hAnsi="宋体" w:cs="宋体"/>
          <w:b/>
          <w:color w:val="000000" w:themeColor="text1"/>
          <w:kern w:val="0"/>
          <w:szCs w:val="21"/>
        </w:rPr>
      </w:pPr>
      <w:r w:rsidRPr="00C1794C">
        <w:rPr>
          <w:rFonts w:ascii="宋体" w:hAnsi="宋体" w:cs="宋体" w:hint="eastAsia"/>
          <w:bCs/>
          <w:color w:val="000000" w:themeColor="text1"/>
          <w:kern w:val="0"/>
          <w:szCs w:val="21"/>
        </w:rPr>
        <w:t>全年一般公共预算收入302186万元，比上年同口径增长8.0%。其中，税收收入177641万元，同口径增长1.0%；非税收收入124545万元，同口径增长19.9。一般公共预算支出947051万元，较上年同期增长3.0%。其中，一般公共服务支出87628万元，下降9.6%；教育支出198766万元，增长0.3%；社会保障和就业支出116491万元，增长2.9%；城乡社区支出71975万元，增长1.0%；卫生健康支出110025万元，增长4.5%。</w:t>
      </w:r>
    </w:p>
    <w:p w:rsidR="000730DF" w:rsidRPr="00C1794C" w:rsidRDefault="007B19DB">
      <w:pPr>
        <w:widowControl/>
        <w:shd w:val="clear" w:color="auto" w:fill="FFFFFF"/>
        <w:spacing w:line="480" w:lineRule="exact"/>
        <w:ind w:firstLineChars="200" w:firstLine="422"/>
        <w:rPr>
          <w:rFonts w:ascii="宋体" w:hAnsi="宋体" w:cs="宋体"/>
          <w:b/>
          <w:color w:val="000000" w:themeColor="text1"/>
          <w:kern w:val="0"/>
          <w:szCs w:val="21"/>
        </w:rPr>
      </w:pPr>
      <w:r w:rsidRPr="00C1794C">
        <w:rPr>
          <w:rFonts w:ascii="宋体" w:hAnsi="宋体" w:cs="宋体" w:hint="eastAsia"/>
          <w:b/>
          <w:color w:val="000000" w:themeColor="text1"/>
          <w:kern w:val="0"/>
          <w:szCs w:val="21"/>
        </w:rPr>
        <w:t>二、农业</w:t>
      </w:r>
    </w:p>
    <w:p w:rsidR="000730DF" w:rsidRPr="00C1794C" w:rsidRDefault="007B19DB">
      <w:pPr>
        <w:widowControl/>
        <w:shd w:val="clear" w:color="auto" w:fill="FFFFFF"/>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全年完成农林牧渔业总产值976735万元，比上年增长7.1%。全年粮食播种面积664131亩，粮食产量289101吨，增长0.2%。蔬菜播种面积298647亩，蔬菜产量613601吨，增长5.5%。肉类总产量48647吨，增长8.7%。</w:t>
      </w:r>
    </w:p>
    <w:p w:rsidR="000730DF" w:rsidRPr="00C1794C" w:rsidRDefault="007B19DB">
      <w:pPr>
        <w:widowControl/>
        <w:shd w:val="clear" w:color="auto" w:fill="FFFFFF"/>
        <w:tabs>
          <w:tab w:val="left" w:pos="571"/>
          <w:tab w:val="center" w:pos="4493"/>
        </w:tabs>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ab/>
      </w:r>
      <w:r w:rsidRPr="00C1794C">
        <w:rPr>
          <w:rFonts w:ascii="宋体" w:hAnsi="宋体" w:cs="宋体" w:hint="eastAsia"/>
          <w:b/>
          <w:bCs/>
          <w:color w:val="000000" w:themeColor="text1"/>
          <w:kern w:val="0"/>
          <w:szCs w:val="21"/>
        </w:rPr>
        <w:tab/>
      </w:r>
    </w:p>
    <w:p w:rsidR="000730DF" w:rsidRPr="00C1794C" w:rsidRDefault="000730DF">
      <w:pPr>
        <w:widowControl/>
        <w:shd w:val="clear" w:color="auto" w:fill="FFFFFF"/>
        <w:tabs>
          <w:tab w:val="left" w:pos="571"/>
          <w:tab w:val="center" w:pos="4493"/>
        </w:tabs>
        <w:spacing w:line="480" w:lineRule="exact"/>
        <w:ind w:firstLineChars="200" w:firstLine="422"/>
        <w:jc w:val="center"/>
        <w:rPr>
          <w:rFonts w:ascii="宋体" w:hAnsi="宋体" w:cs="宋体"/>
          <w:b/>
          <w:bCs/>
          <w:color w:val="000000" w:themeColor="text1"/>
          <w:kern w:val="0"/>
          <w:szCs w:val="21"/>
        </w:rPr>
      </w:pPr>
    </w:p>
    <w:p w:rsidR="000730DF" w:rsidRPr="00C1794C" w:rsidRDefault="007B19DB">
      <w:pPr>
        <w:widowControl/>
        <w:shd w:val="clear" w:color="auto" w:fill="FFFFFF"/>
        <w:tabs>
          <w:tab w:val="left" w:pos="571"/>
          <w:tab w:val="center" w:pos="4493"/>
        </w:tabs>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lastRenderedPageBreak/>
        <w:t>表2　2020年主要农产品产量及其增长速度</w:t>
      </w:r>
    </w:p>
    <w:tbl>
      <w:tblPr>
        <w:tblW w:w="8200" w:type="dxa"/>
        <w:jc w:val="center"/>
        <w:tblLayout w:type="fixed"/>
        <w:tblCellMar>
          <w:top w:w="15" w:type="dxa"/>
          <w:left w:w="15" w:type="dxa"/>
          <w:bottom w:w="15" w:type="dxa"/>
          <w:right w:w="15" w:type="dxa"/>
        </w:tblCellMar>
        <w:tblLook w:val="04A0"/>
      </w:tblPr>
      <w:tblGrid>
        <w:gridCol w:w="2700"/>
        <w:gridCol w:w="1755"/>
        <w:gridCol w:w="1989"/>
        <w:gridCol w:w="1756"/>
      </w:tblGrid>
      <w:tr w:rsidR="000730DF" w:rsidRPr="00C1794C" w:rsidTr="00C1794C">
        <w:trPr>
          <w:trHeight w:val="340"/>
          <w:jc w:val="center"/>
        </w:trPr>
        <w:tc>
          <w:tcPr>
            <w:tcW w:w="2700" w:type="dxa"/>
            <w:tcBorders>
              <w:top w:val="single" w:sz="4" w:space="0" w:color="000000"/>
              <w:bottom w:val="single" w:sz="4" w:space="0" w:color="000000"/>
              <w:right w:val="single" w:sz="4" w:space="0" w:color="000000"/>
            </w:tcBorders>
            <w:vAlign w:val="center"/>
          </w:tcPr>
          <w:p w:rsidR="000730DF" w:rsidRPr="00C1794C" w:rsidRDefault="007B19DB" w:rsidP="00C1794C">
            <w:pPr>
              <w:pStyle w:val="a7"/>
              <w:tabs>
                <w:tab w:val="left" w:pos="580"/>
              </w:tabs>
              <w:adjustRightInd w:val="0"/>
              <w:snapToGrid w:val="0"/>
              <w:spacing w:before="0" w:beforeAutospacing="0" w:after="0" w:afterAutospacing="0"/>
              <w:ind w:left="45" w:right="45" w:firstLineChars="200" w:firstLine="422"/>
              <w:rPr>
                <w:color w:val="000000" w:themeColor="text1"/>
                <w:sz w:val="21"/>
                <w:szCs w:val="21"/>
              </w:rPr>
            </w:pPr>
            <w:r w:rsidRPr="00C1794C">
              <w:rPr>
                <w:rFonts w:hint="eastAsia"/>
                <w:b/>
                <w:color w:val="000000" w:themeColor="text1"/>
                <w:sz w:val="21"/>
                <w:szCs w:val="21"/>
              </w:rPr>
              <w:tab/>
            </w:r>
            <w:r w:rsidRPr="00C1794C">
              <w:rPr>
                <w:rFonts w:hint="eastAsia"/>
                <w:color w:val="000000" w:themeColor="text1"/>
                <w:sz w:val="21"/>
                <w:szCs w:val="21"/>
              </w:rPr>
              <w:t>产品名称</w:t>
            </w:r>
          </w:p>
        </w:tc>
        <w:tc>
          <w:tcPr>
            <w:tcW w:w="1755" w:type="dxa"/>
            <w:tcBorders>
              <w:top w:val="single" w:sz="4" w:space="0" w:color="000000"/>
              <w:bottom w:val="single" w:sz="4" w:space="0" w:color="000000"/>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单位</w:t>
            </w:r>
          </w:p>
        </w:tc>
        <w:tc>
          <w:tcPr>
            <w:tcW w:w="1989" w:type="dxa"/>
            <w:tcBorders>
              <w:top w:val="single" w:sz="4" w:space="0" w:color="000000"/>
              <w:bottom w:val="single" w:sz="4" w:space="0" w:color="000000"/>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2020年</w:t>
            </w:r>
          </w:p>
        </w:tc>
        <w:tc>
          <w:tcPr>
            <w:tcW w:w="1756" w:type="dxa"/>
            <w:tcBorders>
              <w:top w:val="single" w:sz="4" w:space="0" w:color="000000"/>
              <w:bottom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比上年±%</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粮食播种面积</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亩</w:t>
            </w:r>
          </w:p>
        </w:tc>
        <w:tc>
          <w:tcPr>
            <w:tcW w:w="1989" w:type="dxa"/>
            <w:vAlign w:val="center"/>
          </w:tcPr>
          <w:p w:rsidR="000730DF" w:rsidRPr="00C1794C" w:rsidRDefault="007B19DB" w:rsidP="00C1794C">
            <w:pPr>
              <w:widowControl/>
              <w:adjustRightInd w:val="0"/>
              <w:snapToGrid w:val="0"/>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szCs w:val="21"/>
              </w:rPr>
              <w:t xml:space="preserve">664131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0.2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粮食产量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289101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0.2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＃小麦</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18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-50.0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稻谷</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175245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-0.1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玉米</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38211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1.3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高粱</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5937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-9.2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油料产量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25339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3.0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蔬菜面积</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亩</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298647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2.8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蔬菜产量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613601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5.5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肉类产量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48647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8.7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＃猪肉</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33906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11.0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禽肉</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12089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3.0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生猪出栏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头</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444715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9.3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羊出栏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头</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20325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4.0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家禽出栏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只</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7891196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2.2 </w:t>
            </w:r>
          </w:p>
        </w:tc>
      </w:tr>
      <w:tr w:rsidR="000730DF" w:rsidRPr="00C1794C" w:rsidTr="00C1794C">
        <w:trPr>
          <w:trHeight w:val="340"/>
          <w:jc w:val="center"/>
        </w:trPr>
        <w:tc>
          <w:tcPr>
            <w:tcW w:w="2700" w:type="dxa"/>
            <w:tcBorders>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禽蛋产量</w:t>
            </w:r>
          </w:p>
        </w:tc>
        <w:tc>
          <w:tcPr>
            <w:tcW w:w="1755" w:type="dxa"/>
            <w:tcBorders>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12065 </w:t>
            </w:r>
          </w:p>
        </w:tc>
        <w:tc>
          <w:tcPr>
            <w:tcW w:w="1756" w:type="dxa"/>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12.9 </w:t>
            </w:r>
          </w:p>
        </w:tc>
      </w:tr>
      <w:tr w:rsidR="000730DF" w:rsidRPr="00C1794C" w:rsidTr="00C1794C">
        <w:trPr>
          <w:trHeight w:val="340"/>
          <w:jc w:val="center"/>
        </w:trPr>
        <w:tc>
          <w:tcPr>
            <w:tcW w:w="2700" w:type="dxa"/>
            <w:tcBorders>
              <w:bottom w:val="single" w:sz="4" w:space="0" w:color="000000"/>
              <w:right w:val="single" w:sz="4" w:space="0" w:color="000000"/>
            </w:tcBorders>
            <w:vAlign w:val="center"/>
          </w:tcPr>
          <w:p w:rsidR="000730DF" w:rsidRPr="00C1794C" w:rsidRDefault="007B19DB" w:rsidP="00C1794C">
            <w:pPr>
              <w:widowControl/>
              <w:adjustRightInd w:val="0"/>
              <w:snapToGrid w:val="0"/>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牛奶产量</w:t>
            </w:r>
          </w:p>
        </w:tc>
        <w:tc>
          <w:tcPr>
            <w:tcW w:w="1755" w:type="dxa"/>
            <w:tcBorders>
              <w:bottom w:val="single" w:sz="4" w:space="0" w:color="000000"/>
              <w:right w:val="single" w:sz="4" w:space="0" w:color="000000"/>
            </w:tcBorders>
            <w:vAlign w:val="center"/>
          </w:tcPr>
          <w:p w:rsidR="000730DF" w:rsidRPr="00C1794C" w:rsidRDefault="007B19DB" w:rsidP="00C1794C">
            <w:pPr>
              <w:widowControl/>
              <w:adjustRightInd w:val="0"/>
              <w:snapToGrid w:val="0"/>
              <w:ind w:firstLineChars="200" w:firstLine="420"/>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吨</w:t>
            </w:r>
          </w:p>
        </w:tc>
        <w:tc>
          <w:tcPr>
            <w:tcW w:w="1989" w:type="dxa"/>
            <w:tcBorders>
              <w:bottom w:val="single" w:sz="4" w:space="0" w:color="000000"/>
            </w:tcBorders>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3405 </w:t>
            </w:r>
          </w:p>
        </w:tc>
        <w:tc>
          <w:tcPr>
            <w:tcW w:w="1756" w:type="dxa"/>
            <w:tcBorders>
              <w:bottom w:val="single" w:sz="4" w:space="0" w:color="000000"/>
            </w:tcBorders>
            <w:vAlign w:val="center"/>
          </w:tcPr>
          <w:p w:rsidR="000730DF" w:rsidRPr="00C1794C" w:rsidRDefault="007B19DB" w:rsidP="00C1794C">
            <w:pPr>
              <w:adjustRightInd w:val="0"/>
              <w:snapToGrid w:val="0"/>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0.2 </w:t>
            </w:r>
          </w:p>
        </w:tc>
      </w:tr>
    </w:tbl>
    <w:p w:rsidR="000730DF" w:rsidRPr="00C1794C" w:rsidRDefault="007B19DB">
      <w:pPr>
        <w:pStyle w:val="a7"/>
        <w:tabs>
          <w:tab w:val="left" w:pos="580"/>
        </w:tabs>
        <w:spacing w:before="0" w:beforeAutospacing="0" w:after="0" w:afterAutospacing="0" w:line="480" w:lineRule="exact"/>
        <w:ind w:left="45" w:right="45" w:firstLineChars="200" w:firstLine="422"/>
        <w:rPr>
          <w:b/>
          <w:color w:val="000000" w:themeColor="text1"/>
          <w:sz w:val="21"/>
          <w:szCs w:val="21"/>
        </w:rPr>
      </w:pPr>
      <w:r w:rsidRPr="00C1794C">
        <w:rPr>
          <w:rFonts w:hint="eastAsia"/>
          <w:b/>
          <w:color w:val="000000" w:themeColor="text1"/>
          <w:sz w:val="21"/>
          <w:szCs w:val="21"/>
        </w:rPr>
        <w:t>三、工业和建筑业</w:t>
      </w:r>
    </w:p>
    <w:p w:rsidR="000730DF" w:rsidRPr="00C1794C" w:rsidRDefault="007B19DB" w:rsidP="00C1794C">
      <w:pPr>
        <w:pStyle w:val="a7"/>
        <w:spacing w:before="0" w:beforeAutospacing="0" w:after="0" w:afterAutospacing="0" w:line="480" w:lineRule="exact"/>
        <w:ind w:left="45" w:right="45" w:firstLineChars="200" w:firstLine="420"/>
        <w:jc w:val="both"/>
        <w:rPr>
          <w:b/>
          <w:bCs/>
          <w:color w:val="000000" w:themeColor="text1"/>
          <w:sz w:val="21"/>
          <w:szCs w:val="21"/>
        </w:rPr>
      </w:pPr>
      <w:r w:rsidRPr="00C1794C">
        <w:rPr>
          <w:rFonts w:hint="eastAsia"/>
          <w:color w:val="000000" w:themeColor="text1"/>
          <w:sz w:val="21"/>
          <w:szCs w:val="21"/>
        </w:rPr>
        <w:t>全年实现工业增加值2881275万元，比上年增长6.1%其中规模以上工业增加值增长6.1%。规模以上工业企业完成产值 8682075万元，增长7.5％。</w:t>
      </w:r>
    </w:p>
    <w:p w:rsidR="00C1794C" w:rsidRDefault="00C1794C">
      <w:pPr>
        <w:pStyle w:val="a7"/>
        <w:spacing w:before="0" w:beforeAutospacing="0" w:after="0" w:afterAutospacing="0" w:line="480" w:lineRule="exact"/>
        <w:ind w:right="45"/>
        <w:jc w:val="center"/>
        <w:rPr>
          <w:b/>
          <w:bCs/>
          <w:color w:val="000000" w:themeColor="text1"/>
          <w:sz w:val="21"/>
          <w:szCs w:val="21"/>
        </w:rPr>
      </w:pPr>
      <w:r>
        <w:rPr>
          <w:rFonts w:hint="eastAsia"/>
          <w:b/>
          <w:bCs/>
          <w:noProof/>
          <w:color w:val="000000" w:themeColor="text1"/>
          <w:sz w:val="21"/>
          <w:szCs w:val="21"/>
        </w:rPr>
        <w:drawing>
          <wp:anchor distT="0" distB="0" distL="0" distR="0" simplePos="0" relativeHeight="251659264" behindDoc="0" locked="0" layoutInCell="1" allowOverlap="1">
            <wp:simplePos x="0" y="0"/>
            <wp:positionH relativeFrom="column">
              <wp:posOffset>647147</wp:posOffset>
            </wp:positionH>
            <wp:positionV relativeFrom="paragraph">
              <wp:posOffset>208032</wp:posOffset>
            </wp:positionV>
            <wp:extent cx="4670343" cy="2832900"/>
            <wp:effectExtent l="19050" t="0" r="15957" b="5550"/>
            <wp:wrapNone/>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C1794C" w:rsidRDefault="00C1794C">
      <w:pPr>
        <w:pStyle w:val="a7"/>
        <w:spacing w:before="0" w:beforeAutospacing="0" w:after="0" w:afterAutospacing="0" w:line="480" w:lineRule="exact"/>
        <w:ind w:right="45"/>
        <w:jc w:val="center"/>
        <w:rPr>
          <w:b/>
          <w:bCs/>
          <w:color w:val="000000" w:themeColor="text1"/>
          <w:sz w:val="21"/>
          <w:szCs w:val="21"/>
        </w:rPr>
      </w:pPr>
    </w:p>
    <w:p w:rsidR="000730DF" w:rsidRPr="00C1794C" w:rsidRDefault="007B19DB">
      <w:pPr>
        <w:pStyle w:val="a7"/>
        <w:spacing w:before="0" w:beforeAutospacing="0" w:after="0" w:afterAutospacing="0" w:line="480" w:lineRule="exact"/>
        <w:ind w:right="45"/>
        <w:jc w:val="center"/>
        <w:rPr>
          <w:b/>
          <w:bCs/>
          <w:color w:val="000000" w:themeColor="text1"/>
          <w:sz w:val="21"/>
          <w:szCs w:val="21"/>
        </w:rPr>
      </w:pPr>
      <w:r w:rsidRPr="00C1794C">
        <w:rPr>
          <w:rFonts w:hint="eastAsia"/>
          <w:b/>
          <w:bCs/>
          <w:color w:val="000000" w:themeColor="text1"/>
          <w:sz w:val="21"/>
          <w:szCs w:val="21"/>
        </w:rPr>
        <w:lastRenderedPageBreak/>
        <w:t>表3　2020年规模以上工业企业主要产品产量及其增长速度</w:t>
      </w:r>
    </w:p>
    <w:tbl>
      <w:tblPr>
        <w:tblW w:w="7470" w:type="dxa"/>
        <w:jc w:val="center"/>
        <w:tblLayout w:type="fixed"/>
        <w:tblLook w:val="04A0"/>
      </w:tblPr>
      <w:tblGrid>
        <w:gridCol w:w="2171"/>
        <w:gridCol w:w="1301"/>
        <w:gridCol w:w="1999"/>
        <w:gridCol w:w="1999"/>
      </w:tblGrid>
      <w:tr w:rsidR="000730DF" w:rsidRPr="00C1794C" w:rsidTr="00C1794C">
        <w:trPr>
          <w:trHeight w:hRule="exact" w:val="1028"/>
          <w:jc w:val="center"/>
        </w:trPr>
        <w:tc>
          <w:tcPr>
            <w:tcW w:w="2171" w:type="dxa"/>
            <w:tcBorders>
              <w:top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jc w:val="center"/>
              <w:rPr>
                <w:rFonts w:ascii="宋体" w:hAnsi="宋体" w:cs="宋体"/>
                <w:bCs/>
                <w:color w:val="000000" w:themeColor="text1"/>
                <w:kern w:val="0"/>
                <w:szCs w:val="21"/>
              </w:rPr>
            </w:pPr>
            <w:bookmarkStart w:id="0" w:name="_GoBack" w:colFirst="0" w:colLast="3"/>
            <w:r w:rsidRPr="00C1794C">
              <w:rPr>
                <w:rFonts w:ascii="宋体" w:hAnsi="宋体" w:cs="宋体" w:hint="eastAsia"/>
                <w:bCs/>
                <w:color w:val="000000" w:themeColor="text1"/>
                <w:kern w:val="0"/>
                <w:szCs w:val="21"/>
              </w:rPr>
              <w:t>产品名称</w:t>
            </w:r>
          </w:p>
        </w:tc>
        <w:tc>
          <w:tcPr>
            <w:tcW w:w="1301" w:type="dxa"/>
            <w:tcBorders>
              <w:top w:val="single" w:sz="4" w:space="0" w:color="auto"/>
              <w:left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jc w:val="center"/>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单位</w:t>
            </w:r>
          </w:p>
        </w:tc>
        <w:tc>
          <w:tcPr>
            <w:tcW w:w="1999" w:type="dxa"/>
            <w:tcBorders>
              <w:top w:val="single" w:sz="4" w:space="0" w:color="auto"/>
              <w:left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jc w:val="center"/>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产量</w:t>
            </w:r>
          </w:p>
        </w:tc>
        <w:tc>
          <w:tcPr>
            <w:tcW w:w="1999" w:type="dxa"/>
            <w:tcBorders>
              <w:top w:val="single" w:sz="4" w:space="0" w:color="auto"/>
              <w:left w:val="single" w:sz="4" w:space="0" w:color="auto"/>
              <w:bottom w:val="single" w:sz="4" w:space="0" w:color="auto"/>
            </w:tcBorders>
            <w:vAlign w:val="center"/>
          </w:tcPr>
          <w:p w:rsidR="000730DF" w:rsidRPr="00C1794C" w:rsidRDefault="007B19DB">
            <w:pPr>
              <w:widowControl/>
              <w:shd w:val="clear" w:color="auto" w:fill="FFFFFF"/>
              <w:spacing w:line="480" w:lineRule="exact"/>
              <w:jc w:val="center"/>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比上年增长(%)</w:t>
            </w:r>
          </w:p>
        </w:tc>
      </w:tr>
      <w:bookmarkEnd w:id="0"/>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widowControl/>
              <w:spacing w:line="480" w:lineRule="exact"/>
              <w:ind w:firstLineChars="200" w:firstLine="420"/>
              <w:jc w:val="left"/>
              <w:rPr>
                <w:rFonts w:ascii="宋体" w:hAnsi="宋体" w:cs="宋体"/>
                <w:color w:val="000000" w:themeColor="text1"/>
                <w:kern w:val="0"/>
                <w:szCs w:val="21"/>
              </w:rPr>
            </w:pPr>
            <w:r w:rsidRPr="00C1794C">
              <w:rPr>
                <w:rFonts w:ascii="宋体" w:hAnsi="宋体" w:cs="宋体" w:hint="eastAsia"/>
                <w:color w:val="000000" w:themeColor="text1"/>
                <w:szCs w:val="21"/>
              </w:rPr>
              <w:t>原煤</w:t>
            </w:r>
          </w:p>
        </w:tc>
        <w:tc>
          <w:tcPr>
            <w:tcW w:w="1301" w:type="dxa"/>
            <w:tcBorders>
              <w:top w:val="single" w:sz="4" w:space="0" w:color="auto"/>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widowControl/>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szCs w:val="21"/>
              </w:rPr>
              <w:t xml:space="preserve">369491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0.7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商品混凝土</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立方米</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3639641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25.3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家具</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件</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718556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19.8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饲料</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1321975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8.6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鲜、冷藏肉</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60012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-10.7 </w:t>
            </w:r>
          </w:p>
        </w:tc>
      </w:tr>
      <w:tr w:rsidR="000730DF" w:rsidRPr="00C1794C" w:rsidTr="00C1794C">
        <w:trPr>
          <w:trHeight w:hRule="exact" w:val="626"/>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精制茶</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101448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-5.6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苎麻布</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万米</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3996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1.3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纸制品</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157769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-1.0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不锈钢日用制品</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9034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-24.1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阀门</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157726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9.1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电子元件</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万只</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689166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25.2 </w:t>
            </w:r>
          </w:p>
        </w:tc>
      </w:tr>
      <w:tr w:rsidR="000730DF" w:rsidRPr="00C1794C" w:rsidTr="00C1794C">
        <w:trPr>
          <w:trHeight w:hRule="exact" w:val="510"/>
          <w:jc w:val="center"/>
        </w:trPr>
        <w:tc>
          <w:tcPr>
            <w:tcW w:w="2171" w:type="dxa"/>
            <w:tcBorders>
              <w:top w:val="nil"/>
              <w:left w:val="nil"/>
              <w:bottom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印制电路板</w:t>
            </w:r>
          </w:p>
        </w:tc>
        <w:tc>
          <w:tcPr>
            <w:tcW w:w="1301" w:type="dxa"/>
            <w:tcBorders>
              <w:top w:val="nil"/>
              <w:left w:val="single" w:sz="4" w:space="0" w:color="auto"/>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平方米</w:t>
            </w:r>
          </w:p>
        </w:tc>
        <w:tc>
          <w:tcPr>
            <w:tcW w:w="1999" w:type="dxa"/>
            <w:tcBorders>
              <w:top w:val="nil"/>
              <w:left w:val="single" w:sz="4" w:space="0" w:color="auto"/>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664223 </w:t>
            </w:r>
          </w:p>
        </w:tc>
        <w:tc>
          <w:tcPr>
            <w:tcW w:w="199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9.3 </w:t>
            </w:r>
          </w:p>
        </w:tc>
      </w:tr>
      <w:tr w:rsidR="000730DF" w:rsidRPr="00C1794C" w:rsidTr="00C1794C">
        <w:trPr>
          <w:trHeight w:hRule="exact" w:val="510"/>
          <w:jc w:val="center"/>
        </w:trPr>
        <w:tc>
          <w:tcPr>
            <w:tcW w:w="2171" w:type="dxa"/>
            <w:tcBorders>
              <w:top w:val="nil"/>
              <w:left w:val="nil"/>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兽用药品</w:t>
            </w:r>
          </w:p>
        </w:tc>
        <w:tc>
          <w:tcPr>
            <w:tcW w:w="1301" w:type="dxa"/>
            <w:tcBorders>
              <w:top w:val="nil"/>
              <w:left w:val="single" w:sz="4" w:space="0" w:color="auto"/>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37719 </w:t>
            </w:r>
          </w:p>
        </w:tc>
        <w:tc>
          <w:tcPr>
            <w:tcW w:w="1999" w:type="dxa"/>
            <w:tcBorders>
              <w:top w:val="nil"/>
              <w:left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60.4 </w:t>
            </w:r>
          </w:p>
        </w:tc>
      </w:tr>
      <w:tr w:rsidR="000730DF" w:rsidRPr="00C1794C" w:rsidTr="00C1794C">
        <w:trPr>
          <w:trHeight w:hRule="exact" w:val="519"/>
          <w:jc w:val="center"/>
        </w:trPr>
        <w:tc>
          <w:tcPr>
            <w:tcW w:w="2171" w:type="dxa"/>
            <w:tcBorders>
              <w:top w:val="nil"/>
              <w:left w:val="nil"/>
              <w:bottom w:val="single" w:sz="4" w:space="0" w:color="auto"/>
              <w:right w:val="single" w:sz="4" w:space="0" w:color="auto"/>
            </w:tcBorders>
            <w:vAlign w:val="center"/>
          </w:tcPr>
          <w:p w:rsidR="000730DF" w:rsidRPr="00C1794C" w:rsidRDefault="007B19DB">
            <w:pPr>
              <w:spacing w:line="480" w:lineRule="exact"/>
              <w:ind w:firstLineChars="200" w:firstLine="420"/>
              <w:jc w:val="left"/>
              <w:rPr>
                <w:rFonts w:ascii="宋体" w:hAnsi="宋体" w:cs="宋体"/>
                <w:color w:val="000000" w:themeColor="text1"/>
                <w:szCs w:val="21"/>
              </w:rPr>
            </w:pPr>
            <w:r w:rsidRPr="00C1794C">
              <w:rPr>
                <w:rFonts w:ascii="宋体" w:hAnsi="宋体" w:cs="宋体" w:hint="eastAsia"/>
                <w:color w:val="000000" w:themeColor="text1"/>
                <w:szCs w:val="21"/>
              </w:rPr>
              <w:t>日用玻璃制品</w:t>
            </w:r>
          </w:p>
        </w:tc>
        <w:tc>
          <w:tcPr>
            <w:tcW w:w="1301" w:type="dxa"/>
            <w:tcBorders>
              <w:top w:val="nil"/>
              <w:left w:val="single" w:sz="4" w:space="0" w:color="auto"/>
              <w:bottom w:val="single" w:sz="4" w:space="0" w:color="auto"/>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吨</w:t>
            </w:r>
          </w:p>
        </w:tc>
        <w:tc>
          <w:tcPr>
            <w:tcW w:w="1999" w:type="dxa"/>
            <w:tcBorders>
              <w:top w:val="nil"/>
              <w:left w:val="single" w:sz="4" w:space="0" w:color="auto"/>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9270 </w:t>
            </w:r>
          </w:p>
        </w:tc>
        <w:tc>
          <w:tcPr>
            <w:tcW w:w="1999" w:type="dxa"/>
            <w:tcBorders>
              <w:top w:val="nil"/>
              <w:left w:val="nil"/>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-30.9 </w:t>
            </w:r>
          </w:p>
        </w:tc>
      </w:tr>
    </w:tbl>
    <w:p w:rsidR="000730DF" w:rsidRPr="00C1794C"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全区建筑业实现增加值948326万元，比上年增长8.1%。年末在荣昌注册具有资质等级的总承包和专业承包的独立核算建筑业法人企业54家，实现建筑业总产值达到191.97亿元，增长15.1%。全年建筑企业房屋施工面积746.76万平方米，比上年增长27.9%；房屋建筑竣工面积464.38万平方米，比上年增长12.2% 。</w:t>
      </w:r>
    </w:p>
    <w:p w:rsidR="000730DF" w:rsidRPr="00C1794C" w:rsidRDefault="007B19DB">
      <w:pPr>
        <w:spacing w:line="480" w:lineRule="exact"/>
        <w:ind w:firstLineChars="200" w:firstLine="420"/>
        <w:rPr>
          <w:rFonts w:ascii="宋体" w:hAnsi="宋体" w:cs="宋体"/>
          <w:b/>
          <w:color w:val="000000" w:themeColor="text1"/>
          <w:kern w:val="0"/>
          <w:szCs w:val="21"/>
        </w:rPr>
      </w:pPr>
      <w:r w:rsidRPr="00C1794C">
        <w:rPr>
          <w:rFonts w:ascii="宋体" w:hAnsi="宋体" w:cs="宋体" w:hint="eastAsia"/>
          <w:noProof/>
          <w:color w:val="000000" w:themeColor="text1"/>
          <w:szCs w:val="21"/>
        </w:rPr>
        <w:lastRenderedPageBreak/>
        <w:drawing>
          <wp:anchor distT="0" distB="0" distL="0" distR="0" simplePos="0" relativeHeight="251660288" behindDoc="0" locked="0" layoutInCell="1" allowOverlap="1">
            <wp:simplePos x="0" y="0"/>
            <wp:positionH relativeFrom="column">
              <wp:posOffset>454025</wp:posOffset>
            </wp:positionH>
            <wp:positionV relativeFrom="paragraph">
              <wp:posOffset>66675</wp:posOffset>
            </wp:positionV>
            <wp:extent cx="4598670" cy="2688590"/>
            <wp:effectExtent l="4445" t="4445" r="6985" b="12065"/>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C1794C">
        <w:rPr>
          <w:rFonts w:ascii="宋体" w:hAnsi="宋体" w:cs="宋体" w:hint="eastAsia"/>
          <w:b/>
          <w:color w:val="000000" w:themeColor="text1"/>
          <w:kern w:val="0"/>
          <w:szCs w:val="21"/>
        </w:rPr>
        <w:t>四、固定资产投资</w:t>
      </w:r>
    </w:p>
    <w:p w:rsidR="000730DF" w:rsidRPr="00C1794C" w:rsidRDefault="007B19DB">
      <w:pPr>
        <w:widowControl/>
        <w:shd w:val="clear" w:color="auto" w:fill="FFFFFF"/>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 xml:space="preserve">全年固定资产投资273.74亿元，比上年增长10.8％。其中基础设施建设投资44.33亿元，下降22.0%；工业投资156.11亿元，增长13.9%；房地产开发投资38.69亿元，增长25.4%。从投资主体看，国有投资下降7.9%；民间投资增长12.7%。从三次产业投资看，第一产业投资增长48.4%；第二产业投资增长13.9%；第三产业投资增长4.1%。 </w:t>
      </w:r>
    </w:p>
    <w:p w:rsidR="000730DF" w:rsidRPr="00C1794C" w:rsidRDefault="007B19DB">
      <w:pPr>
        <w:widowControl/>
        <w:shd w:val="clear" w:color="auto" w:fill="FFFFFF"/>
        <w:spacing w:line="480" w:lineRule="exact"/>
        <w:ind w:firstLineChars="200" w:firstLine="420"/>
        <w:jc w:val="center"/>
        <w:rPr>
          <w:rFonts w:ascii="宋体" w:hAnsi="宋体" w:cs="宋体"/>
          <w:color w:val="000000" w:themeColor="text1"/>
          <w:kern w:val="0"/>
          <w:szCs w:val="21"/>
        </w:rPr>
      </w:pPr>
      <w:r w:rsidRPr="00C1794C">
        <w:rPr>
          <w:rFonts w:ascii="宋体" w:hAnsi="宋体" w:cs="宋体" w:hint="eastAsia"/>
          <w:noProof/>
          <w:color w:val="000000" w:themeColor="text1"/>
          <w:szCs w:val="21"/>
        </w:rPr>
        <w:drawing>
          <wp:anchor distT="0" distB="0" distL="0" distR="0" simplePos="0" relativeHeight="251661312" behindDoc="0" locked="0" layoutInCell="1" allowOverlap="1">
            <wp:simplePos x="0" y="0"/>
            <wp:positionH relativeFrom="column">
              <wp:posOffset>337185</wp:posOffset>
            </wp:positionH>
            <wp:positionV relativeFrom="paragraph">
              <wp:posOffset>170815</wp:posOffset>
            </wp:positionV>
            <wp:extent cx="5100320" cy="2951480"/>
            <wp:effectExtent l="4445" t="4445" r="19685" b="15875"/>
            <wp:wrapTopAndBottom/>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1794C" w:rsidRDefault="00C1794C">
      <w:pPr>
        <w:widowControl/>
        <w:shd w:val="clear" w:color="auto" w:fill="FFFFFF"/>
        <w:spacing w:line="480" w:lineRule="exact"/>
        <w:ind w:firstLineChars="200" w:firstLine="422"/>
        <w:jc w:val="center"/>
        <w:rPr>
          <w:rFonts w:ascii="宋体" w:hAnsi="宋体" w:cs="宋体"/>
          <w:b/>
          <w:bCs/>
          <w:color w:val="000000" w:themeColor="text1"/>
          <w:kern w:val="0"/>
          <w:szCs w:val="21"/>
        </w:rPr>
      </w:pPr>
    </w:p>
    <w:p w:rsidR="00C1794C" w:rsidRDefault="00C1794C">
      <w:pPr>
        <w:widowControl/>
        <w:shd w:val="clear" w:color="auto" w:fill="FFFFFF"/>
        <w:spacing w:line="480" w:lineRule="exact"/>
        <w:ind w:firstLineChars="200" w:firstLine="422"/>
        <w:jc w:val="center"/>
        <w:rPr>
          <w:rFonts w:ascii="宋体" w:hAnsi="宋体" w:cs="宋体"/>
          <w:b/>
          <w:bCs/>
          <w:color w:val="000000" w:themeColor="text1"/>
          <w:kern w:val="0"/>
          <w:szCs w:val="21"/>
        </w:rPr>
      </w:pPr>
    </w:p>
    <w:p w:rsidR="00C1794C" w:rsidRDefault="00C1794C">
      <w:pPr>
        <w:widowControl/>
        <w:shd w:val="clear" w:color="auto" w:fill="FFFFFF"/>
        <w:spacing w:line="480" w:lineRule="exact"/>
        <w:ind w:firstLineChars="200" w:firstLine="422"/>
        <w:jc w:val="center"/>
        <w:rPr>
          <w:rFonts w:ascii="宋体" w:hAnsi="宋体" w:cs="宋体"/>
          <w:b/>
          <w:bCs/>
          <w:color w:val="000000" w:themeColor="text1"/>
          <w:kern w:val="0"/>
          <w:szCs w:val="21"/>
        </w:rPr>
      </w:pPr>
    </w:p>
    <w:p w:rsidR="000730DF" w:rsidRPr="00C1794C" w:rsidRDefault="007B19DB">
      <w:pPr>
        <w:widowControl/>
        <w:shd w:val="clear" w:color="auto" w:fill="FFFFFF"/>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lastRenderedPageBreak/>
        <w:t>表4　2020年固定资产投资及其增长速度</w:t>
      </w:r>
    </w:p>
    <w:tbl>
      <w:tblPr>
        <w:tblW w:w="7938" w:type="dxa"/>
        <w:jc w:val="center"/>
        <w:tblLayout w:type="fixed"/>
        <w:tblLook w:val="04A0"/>
      </w:tblPr>
      <w:tblGrid>
        <w:gridCol w:w="3390"/>
        <w:gridCol w:w="2274"/>
        <w:gridCol w:w="2274"/>
      </w:tblGrid>
      <w:tr w:rsidR="000730DF" w:rsidRPr="00C1794C" w:rsidTr="00C1794C">
        <w:trPr>
          <w:trHeight w:val="1079"/>
          <w:jc w:val="center"/>
        </w:trPr>
        <w:tc>
          <w:tcPr>
            <w:tcW w:w="3390" w:type="dxa"/>
            <w:tcBorders>
              <w:top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ind w:firstLineChars="200" w:firstLine="420"/>
              <w:jc w:val="center"/>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指标名称</w:t>
            </w:r>
          </w:p>
        </w:tc>
        <w:tc>
          <w:tcPr>
            <w:tcW w:w="2274" w:type="dxa"/>
            <w:tcBorders>
              <w:top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jc w:val="center"/>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完成数</w:t>
            </w:r>
          </w:p>
        </w:tc>
        <w:tc>
          <w:tcPr>
            <w:tcW w:w="2274" w:type="dxa"/>
            <w:tcBorders>
              <w:top w:val="single" w:sz="4" w:space="0" w:color="auto"/>
              <w:left w:val="single" w:sz="4" w:space="0" w:color="auto"/>
              <w:bottom w:val="single" w:sz="4" w:space="0" w:color="auto"/>
            </w:tcBorders>
            <w:vAlign w:val="center"/>
          </w:tcPr>
          <w:p w:rsidR="000730DF" w:rsidRPr="00C1794C" w:rsidRDefault="007B19DB">
            <w:pPr>
              <w:widowControl/>
              <w:shd w:val="clear" w:color="auto" w:fill="FFFFFF"/>
              <w:spacing w:line="480" w:lineRule="exact"/>
              <w:jc w:val="center"/>
              <w:rPr>
                <w:rFonts w:ascii="宋体" w:hAnsi="宋体" w:cs="宋体"/>
                <w:bCs/>
                <w:color w:val="000000" w:themeColor="text1"/>
                <w:kern w:val="0"/>
                <w:szCs w:val="21"/>
              </w:rPr>
            </w:pPr>
            <w:r w:rsidRPr="00C1794C">
              <w:rPr>
                <w:rFonts w:ascii="宋体" w:hAnsi="宋体" w:cs="宋体" w:hint="eastAsia"/>
                <w:bCs/>
                <w:color w:val="000000" w:themeColor="text1"/>
                <w:kern w:val="0"/>
                <w:szCs w:val="21"/>
              </w:rPr>
              <w:t>比上年增长(%)</w:t>
            </w:r>
          </w:p>
        </w:tc>
      </w:tr>
      <w:tr w:rsidR="000730DF" w:rsidRPr="00C1794C">
        <w:trPr>
          <w:trHeight w:hRule="exact" w:val="624"/>
          <w:jc w:val="center"/>
        </w:trPr>
        <w:tc>
          <w:tcPr>
            <w:tcW w:w="3390" w:type="dxa"/>
            <w:tcBorders>
              <w:top w:val="single" w:sz="4" w:space="0" w:color="auto"/>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投资总额（万元）</w:t>
            </w:r>
          </w:p>
        </w:tc>
        <w:tc>
          <w:tcPr>
            <w:tcW w:w="2274" w:type="dxa"/>
            <w:tcBorders>
              <w:top w:val="nil"/>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2737420 </w:t>
            </w:r>
          </w:p>
        </w:tc>
        <w:tc>
          <w:tcPr>
            <w:tcW w:w="2274" w:type="dxa"/>
            <w:tcBorders>
              <w:top w:val="nil"/>
              <w:left w:val="nil"/>
              <w:bottom w:val="nil"/>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kern w:val="0"/>
                <w:szCs w:val="21"/>
              </w:rPr>
            </w:pPr>
            <w:r w:rsidRPr="00C1794C">
              <w:rPr>
                <w:rFonts w:ascii="宋体" w:hAnsi="宋体" w:cs="宋体" w:hint="eastAsia"/>
                <w:bCs/>
                <w:color w:val="000000" w:themeColor="text1"/>
                <w:szCs w:val="21"/>
              </w:rPr>
              <w:t xml:space="preserve">10.8 </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按投资类别分</w:t>
            </w:r>
          </w:p>
        </w:tc>
        <w:tc>
          <w:tcPr>
            <w:tcW w:w="2274" w:type="dxa"/>
            <w:tcBorders>
              <w:right w:val="nil"/>
            </w:tcBorders>
            <w:vAlign w:val="center"/>
          </w:tcPr>
          <w:p w:rsidR="000730DF" w:rsidRPr="00C1794C" w:rsidRDefault="000730DF">
            <w:pPr>
              <w:widowControl/>
              <w:spacing w:line="480" w:lineRule="exact"/>
              <w:ind w:firstLineChars="200" w:firstLine="420"/>
              <w:jc w:val="right"/>
              <w:rPr>
                <w:rFonts w:ascii="宋体" w:hAnsi="宋体" w:cs="宋体"/>
                <w:bCs/>
                <w:color w:val="000000" w:themeColor="text1"/>
                <w:szCs w:val="21"/>
              </w:rPr>
            </w:pP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　</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建设与改造</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2350529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8.7</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＃基础设施</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443334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-22.0</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房地产开发</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386891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25.4</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按登记注册类型分</w:t>
            </w:r>
          </w:p>
        </w:tc>
        <w:tc>
          <w:tcPr>
            <w:tcW w:w="2274" w:type="dxa"/>
            <w:tcBorders>
              <w:right w:val="nil"/>
            </w:tcBorders>
            <w:vAlign w:val="center"/>
          </w:tcPr>
          <w:p w:rsidR="000730DF" w:rsidRPr="00C1794C" w:rsidRDefault="000730DF">
            <w:pPr>
              <w:widowControl/>
              <w:spacing w:line="480" w:lineRule="exact"/>
              <w:ind w:firstLineChars="200" w:firstLine="420"/>
              <w:jc w:val="right"/>
              <w:rPr>
                <w:rFonts w:ascii="宋体" w:hAnsi="宋体" w:cs="宋体"/>
                <w:bCs/>
                <w:color w:val="000000" w:themeColor="text1"/>
                <w:szCs w:val="21"/>
              </w:rPr>
            </w:pP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　</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国有投资</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382790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-7.9</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民间投资</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2282175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12.7</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按三次产业分</w:t>
            </w:r>
          </w:p>
        </w:tc>
        <w:tc>
          <w:tcPr>
            <w:tcW w:w="2274" w:type="dxa"/>
            <w:tcBorders>
              <w:right w:val="nil"/>
            </w:tcBorders>
            <w:vAlign w:val="center"/>
          </w:tcPr>
          <w:p w:rsidR="000730DF" w:rsidRPr="00C1794C" w:rsidRDefault="000730DF">
            <w:pPr>
              <w:widowControl/>
              <w:spacing w:line="480" w:lineRule="exact"/>
              <w:ind w:firstLineChars="200" w:firstLine="420"/>
              <w:jc w:val="right"/>
              <w:rPr>
                <w:rFonts w:ascii="宋体" w:hAnsi="宋体" w:cs="宋体"/>
                <w:bCs/>
                <w:color w:val="000000" w:themeColor="text1"/>
                <w:szCs w:val="21"/>
              </w:rPr>
            </w:pP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　</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第一产业</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100385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48.4</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第二产业</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1561111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13.9</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＃工业投资</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1561111 </w:t>
            </w:r>
          </w:p>
        </w:tc>
        <w:tc>
          <w:tcPr>
            <w:tcW w:w="2274"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13.9</w:t>
            </w:r>
          </w:p>
        </w:tc>
      </w:tr>
      <w:tr w:rsidR="000730DF" w:rsidRPr="00C1794C">
        <w:trPr>
          <w:trHeight w:hRule="exact" w:val="624"/>
          <w:jc w:val="center"/>
        </w:trPr>
        <w:tc>
          <w:tcPr>
            <w:tcW w:w="3390" w:type="dxa"/>
            <w:tcBorders>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第三产业</w:t>
            </w:r>
          </w:p>
        </w:tc>
        <w:tc>
          <w:tcPr>
            <w:tcW w:w="2274" w:type="dxa"/>
            <w:tcBorders>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1075924 </w:t>
            </w:r>
          </w:p>
        </w:tc>
        <w:tc>
          <w:tcPr>
            <w:tcW w:w="2274" w:type="dxa"/>
            <w:tcBorders>
              <w:top w:val="nil"/>
              <w:left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4.1</w:t>
            </w:r>
          </w:p>
        </w:tc>
      </w:tr>
      <w:tr w:rsidR="000730DF" w:rsidRPr="00C1794C">
        <w:trPr>
          <w:trHeight w:hRule="exact" w:val="624"/>
          <w:jc w:val="center"/>
        </w:trPr>
        <w:tc>
          <w:tcPr>
            <w:tcW w:w="3390" w:type="dxa"/>
            <w:tcBorders>
              <w:bottom w:val="single" w:sz="4" w:space="0" w:color="auto"/>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 xml:space="preserve">  ＃房地产业</w:t>
            </w:r>
          </w:p>
        </w:tc>
        <w:tc>
          <w:tcPr>
            <w:tcW w:w="2274" w:type="dxa"/>
            <w:tcBorders>
              <w:bottom w:val="single" w:sz="4" w:space="0" w:color="auto"/>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394633 </w:t>
            </w:r>
          </w:p>
        </w:tc>
        <w:tc>
          <w:tcPr>
            <w:tcW w:w="2274" w:type="dxa"/>
            <w:tcBorders>
              <w:top w:val="nil"/>
              <w:left w:val="nil"/>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23.4</w:t>
            </w:r>
          </w:p>
        </w:tc>
      </w:tr>
    </w:tbl>
    <w:p w:rsidR="000730DF" w:rsidRPr="00C1794C" w:rsidRDefault="007B19DB">
      <w:pPr>
        <w:widowControl/>
        <w:shd w:val="clear" w:color="auto" w:fill="FFFFFF"/>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全年商品房施工面积294.23万平方米，比上年下降1.4%；商品房竣工面积59.98万平方米，增长23.4 %。商品房销售面积101.67万平方米，增长8.6%；其中住宅销售面积78.51万平方米，下降8.8 %。商品房销售额66.02亿元，增长28.0%。</w:t>
      </w:r>
    </w:p>
    <w:p w:rsidR="000730DF" w:rsidRPr="00C1794C" w:rsidRDefault="007B19DB">
      <w:pPr>
        <w:widowControl/>
        <w:shd w:val="clear" w:color="auto" w:fill="FFFFFF"/>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全年完成城市棚户区改造430户。完成农村危旧房改造8.54万平方米，增长39.8%。</w:t>
      </w:r>
    </w:p>
    <w:p w:rsidR="000730DF" w:rsidRPr="00C1794C" w:rsidRDefault="000730DF">
      <w:pPr>
        <w:widowControl/>
        <w:shd w:val="clear" w:color="auto" w:fill="FFFFFF"/>
        <w:spacing w:line="480" w:lineRule="exact"/>
        <w:ind w:rightChars="-100" w:right="-210" w:firstLineChars="200" w:firstLine="422"/>
        <w:jc w:val="center"/>
        <w:rPr>
          <w:rFonts w:ascii="宋体" w:hAnsi="宋体" w:cs="宋体"/>
          <w:b/>
          <w:bCs/>
          <w:color w:val="000000" w:themeColor="text1"/>
          <w:kern w:val="0"/>
          <w:szCs w:val="21"/>
        </w:rPr>
      </w:pPr>
    </w:p>
    <w:p w:rsidR="000730DF" w:rsidRDefault="000730DF">
      <w:pPr>
        <w:widowControl/>
        <w:shd w:val="clear" w:color="auto" w:fill="FFFFFF"/>
        <w:spacing w:line="480" w:lineRule="exact"/>
        <w:ind w:rightChars="-100" w:right="-210" w:firstLineChars="200" w:firstLine="422"/>
        <w:jc w:val="center"/>
        <w:rPr>
          <w:rFonts w:ascii="宋体" w:hAnsi="宋体" w:cs="宋体"/>
          <w:b/>
          <w:bCs/>
          <w:color w:val="000000" w:themeColor="text1"/>
          <w:kern w:val="0"/>
          <w:szCs w:val="21"/>
        </w:rPr>
      </w:pPr>
    </w:p>
    <w:p w:rsidR="000730DF" w:rsidRPr="00C1794C" w:rsidRDefault="007B19DB">
      <w:pPr>
        <w:widowControl/>
        <w:shd w:val="clear" w:color="auto" w:fill="FFFFFF"/>
        <w:spacing w:line="480" w:lineRule="exact"/>
        <w:ind w:rightChars="-100" w:right="-210"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lastRenderedPageBreak/>
        <w:t>表5　2020年房地产开发和销售主要指标完成情况及其增长速度</w:t>
      </w:r>
    </w:p>
    <w:tbl>
      <w:tblPr>
        <w:tblW w:w="8325" w:type="dxa"/>
        <w:jc w:val="center"/>
        <w:tblLayout w:type="fixed"/>
        <w:tblLook w:val="04A0"/>
      </w:tblPr>
      <w:tblGrid>
        <w:gridCol w:w="4477"/>
        <w:gridCol w:w="1989"/>
        <w:gridCol w:w="1859"/>
      </w:tblGrid>
      <w:tr w:rsidR="000730DF" w:rsidRPr="00C1794C" w:rsidTr="00C1794C">
        <w:trPr>
          <w:trHeight w:hRule="exact" w:val="532"/>
          <w:jc w:val="center"/>
        </w:trPr>
        <w:tc>
          <w:tcPr>
            <w:tcW w:w="4477" w:type="dxa"/>
            <w:tcBorders>
              <w:top w:val="single" w:sz="4" w:space="0" w:color="auto"/>
              <w:bottom w:val="single" w:sz="4" w:space="0" w:color="auto"/>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指标名称</w:t>
            </w:r>
          </w:p>
        </w:tc>
        <w:tc>
          <w:tcPr>
            <w:tcW w:w="1989" w:type="dxa"/>
            <w:tcBorders>
              <w:top w:val="single" w:sz="4" w:space="0" w:color="auto"/>
              <w:left w:val="single" w:sz="4" w:space="0" w:color="auto"/>
              <w:bottom w:val="single" w:sz="4" w:space="0" w:color="auto"/>
              <w:right w:val="single" w:sz="4" w:space="0" w:color="auto"/>
            </w:tcBorders>
            <w:vAlign w:val="center"/>
          </w:tcPr>
          <w:p w:rsidR="000730DF" w:rsidRPr="00C1794C" w:rsidRDefault="007B19DB">
            <w:pPr>
              <w:widowControl/>
              <w:spacing w:line="480" w:lineRule="exact"/>
              <w:ind w:firstLineChars="200" w:firstLine="420"/>
              <w:jc w:val="center"/>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2020年</w:t>
            </w:r>
          </w:p>
        </w:tc>
        <w:tc>
          <w:tcPr>
            <w:tcW w:w="1859" w:type="dxa"/>
            <w:tcBorders>
              <w:top w:val="single" w:sz="4" w:space="0" w:color="auto"/>
              <w:left w:val="single" w:sz="4" w:space="0" w:color="auto"/>
              <w:bottom w:val="single" w:sz="4" w:space="0" w:color="auto"/>
            </w:tcBorders>
            <w:vAlign w:val="center"/>
          </w:tcPr>
          <w:p w:rsidR="000730DF" w:rsidRPr="00C1794C" w:rsidRDefault="007B19DB">
            <w:pPr>
              <w:widowControl/>
              <w:spacing w:line="480" w:lineRule="exact"/>
              <w:jc w:val="center"/>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比上年增长(%)</w:t>
            </w:r>
          </w:p>
        </w:tc>
      </w:tr>
      <w:tr w:rsidR="000730DF" w:rsidRPr="00C1794C">
        <w:trPr>
          <w:trHeight w:hRule="exact" w:val="567"/>
          <w:jc w:val="center"/>
        </w:trPr>
        <w:tc>
          <w:tcPr>
            <w:tcW w:w="4477" w:type="dxa"/>
            <w:tcBorders>
              <w:top w:val="single" w:sz="4" w:space="0" w:color="auto"/>
              <w:left w:val="nil"/>
              <w:bottom w:val="nil"/>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商品房施工面积（万平方米）</w:t>
            </w:r>
          </w:p>
        </w:tc>
        <w:tc>
          <w:tcPr>
            <w:tcW w:w="1989" w:type="dxa"/>
            <w:tcBorders>
              <w:top w:val="nil"/>
              <w:left w:val="nil"/>
              <w:bottom w:val="nil"/>
              <w:right w:val="nil"/>
            </w:tcBorders>
            <w:shd w:val="clear" w:color="auto" w:fill="FFFFFF"/>
            <w:vAlign w:val="center"/>
          </w:tcPr>
          <w:p w:rsidR="000730DF" w:rsidRPr="00C1794C" w:rsidRDefault="007B19DB">
            <w:pPr>
              <w:widowControl/>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szCs w:val="21"/>
              </w:rPr>
              <w:t>294.23</w:t>
            </w:r>
          </w:p>
        </w:tc>
        <w:tc>
          <w:tcPr>
            <w:tcW w:w="185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-1.4 </w:t>
            </w:r>
          </w:p>
        </w:tc>
      </w:tr>
      <w:tr w:rsidR="000730DF" w:rsidRPr="00C1794C">
        <w:trPr>
          <w:trHeight w:hRule="exact" w:val="567"/>
          <w:jc w:val="center"/>
        </w:trPr>
        <w:tc>
          <w:tcPr>
            <w:tcW w:w="4477" w:type="dxa"/>
            <w:tcBorders>
              <w:top w:val="nil"/>
              <w:left w:val="nil"/>
              <w:bottom w:val="nil"/>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＃：住宅</w:t>
            </w:r>
          </w:p>
        </w:tc>
        <w:tc>
          <w:tcPr>
            <w:tcW w:w="1989"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224.17</w:t>
            </w:r>
          </w:p>
        </w:tc>
        <w:tc>
          <w:tcPr>
            <w:tcW w:w="185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-1.8 </w:t>
            </w:r>
          </w:p>
        </w:tc>
      </w:tr>
      <w:tr w:rsidR="000730DF" w:rsidRPr="00C1794C">
        <w:trPr>
          <w:trHeight w:hRule="exact" w:val="567"/>
          <w:jc w:val="center"/>
        </w:trPr>
        <w:tc>
          <w:tcPr>
            <w:tcW w:w="4477" w:type="dxa"/>
            <w:tcBorders>
              <w:left w:val="nil"/>
              <w:bottom w:val="nil"/>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新开工面积（万平方米）</w:t>
            </w:r>
          </w:p>
        </w:tc>
        <w:tc>
          <w:tcPr>
            <w:tcW w:w="1989" w:type="dxa"/>
            <w:tcBorders>
              <w:top w:val="nil"/>
              <w:left w:val="single" w:sz="4" w:space="0" w:color="auto"/>
              <w:bottom w:val="nil"/>
              <w:right w:val="nil"/>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59.89</w:t>
            </w:r>
          </w:p>
        </w:tc>
        <w:tc>
          <w:tcPr>
            <w:tcW w:w="1859" w:type="dxa"/>
            <w:tcBorders>
              <w:top w:val="nil"/>
              <w:left w:val="nil"/>
              <w:bottom w:val="nil"/>
              <w:right w:val="nil"/>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-59.7 </w:t>
            </w:r>
          </w:p>
        </w:tc>
      </w:tr>
      <w:tr w:rsidR="000730DF" w:rsidRPr="00C1794C">
        <w:trPr>
          <w:trHeight w:hRule="exact" w:val="567"/>
          <w:jc w:val="center"/>
        </w:trPr>
        <w:tc>
          <w:tcPr>
            <w:tcW w:w="4477" w:type="dxa"/>
            <w:tcBorders>
              <w:top w:val="nil"/>
              <w:left w:val="nil"/>
              <w:bottom w:val="nil"/>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＃：住宅</w:t>
            </w:r>
          </w:p>
        </w:tc>
        <w:tc>
          <w:tcPr>
            <w:tcW w:w="1989" w:type="dxa"/>
            <w:tcBorders>
              <w:top w:val="nil"/>
              <w:left w:val="single" w:sz="4" w:space="0" w:color="auto"/>
              <w:right w:val="nil"/>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46.08</w:t>
            </w:r>
          </w:p>
        </w:tc>
        <w:tc>
          <w:tcPr>
            <w:tcW w:w="1859" w:type="dxa"/>
            <w:tcBorders>
              <w:top w:val="nil"/>
              <w:left w:val="nil"/>
              <w:right w:val="nil"/>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-60.0 </w:t>
            </w:r>
          </w:p>
        </w:tc>
      </w:tr>
      <w:tr w:rsidR="000730DF" w:rsidRPr="00C1794C">
        <w:trPr>
          <w:trHeight w:hRule="exact" w:val="567"/>
          <w:jc w:val="center"/>
        </w:trPr>
        <w:tc>
          <w:tcPr>
            <w:tcW w:w="4477" w:type="dxa"/>
            <w:tcBorders>
              <w:left w:val="nil"/>
              <w:bottom w:val="nil"/>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商品房竣工面积（万平方米）</w:t>
            </w:r>
          </w:p>
        </w:tc>
        <w:tc>
          <w:tcPr>
            <w:tcW w:w="1989" w:type="dxa"/>
            <w:tcBorders>
              <w:left w:val="single" w:sz="4" w:space="0" w:color="auto"/>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59.98</w:t>
            </w:r>
          </w:p>
        </w:tc>
        <w:tc>
          <w:tcPr>
            <w:tcW w:w="1859" w:type="dxa"/>
            <w:tcBorders>
              <w:right w:val="nil"/>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23.4 </w:t>
            </w:r>
          </w:p>
        </w:tc>
      </w:tr>
      <w:tr w:rsidR="000730DF" w:rsidRPr="00C1794C">
        <w:trPr>
          <w:trHeight w:hRule="exact" w:val="567"/>
          <w:jc w:val="center"/>
        </w:trPr>
        <w:tc>
          <w:tcPr>
            <w:tcW w:w="4477" w:type="dxa"/>
            <w:tcBorders>
              <w:top w:val="nil"/>
              <w:left w:val="nil"/>
              <w:bottom w:val="nil"/>
              <w:right w:val="single" w:sz="4" w:space="0" w:color="auto"/>
            </w:tcBorders>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＃：住宅</w:t>
            </w:r>
          </w:p>
        </w:tc>
        <w:tc>
          <w:tcPr>
            <w:tcW w:w="1989" w:type="dxa"/>
            <w:tcBorders>
              <w:top w:val="nil"/>
              <w:left w:val="single" w:sz="4" w:space="0" w:color="auto"/>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45.25</w:t>
            </w:r>
          </w:p>
        </w:tc>
        <w:tc>
          <w:tcPr>
            <w:tcW w:w="1859" w:type="dxa"/>
            <w:tcBorders>
              <w:top w:val="nil"/>
              <w:right w:val="nil"/>
            </w:tcBorders>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23.6 </w:t>
            </w:r>
          </w:p>
        </w:tc>
      </w:tr>
      <w:tr w:rsidR="000730DF" w:rsidRPr="00C1794C">
        <w:trPr>
          <w:trHeight w:hRule="exact" w:val="567"/>
          <w:jc w:val="center"/>
        </w:trPr>
        <w:tc>
          <w:tcPr>
            <w:tcW w:w="4477" w:type="dxa"/>
            <w:tcBorders>
              <w:top w:val="nil"/>
              <w:left w:val="nil"/>
              <w:bottom w:val="nil"/>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商品房销售面积（万平方米）</w:t>
            </w:r>
          </w:p>
        </w:tc>
        <w:tc>
          <w:tcPr>
            <w:tcW w:w="1989" w:type="dxa"/>
            <w:tcBorders>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101.67</w:t>
            </w:r>
          </w:p>
        </w:tc>
        <w:tc>
          <w:tcPr>
            <w:tcW w:w="1859" w:type="dxa"/>
            <w:tcBorders>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8.6 </w:t>
            </w:r>
          </w:p>
        </w:tc>
      </w:tr>
      <w:tr w:rsidR="000730DF" w:rsidRPr="00C1794C">
        <w:trPr>
          <w:trHeight w:hRule="exact" w:val="567"/>
          <w:jc w:val="center"/>
        </w:trPr>
        <w:tc>
          <w:tcPr>
            <w:tcW w:w="4477" w:type="dxa"/>
            <w:tcBorders>
              <w:top w:val="nil"/>
              <w:left w:val="nil"/>
              <w:bottom w:val="nil"/>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＃：住宅</w:t>
            </w:r>
          </w:p>
        </w:tc>
        <w:tc>
          <w:tcPr>
            <w:tcW w:w="1989"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78.51</w:t>
            </w:r>
          </w:p>
        </w:tc>
        <w:tc>
          <w:tcPr>
            <w:tcW w:w="1859"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-8.8 </w:t>
            </w:r>
          </w:p>
        </w:tc>
      </w:tr>
      <w:tr w:rsidR="000730DF" w:rsidRPr="00C1794C">
        <w:trPr>
          <w:trHeight w:hRule="exact" w:val="567"/>
          <w:jc w:val="center"/>
        </w:trPr>
        <w:tc>
          <w:tcPr>
            <w:tcW w:w="4477" w:type="dxa"/>
            <w:tcBorders>
              <w:top w:val="nil"/>
              <w:left w:val="nil"/>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商品房销售额（万元）</w:t>
            </w:r>
          </w:p>
        </w:tc>
        <w:tc>
          <w:tcPr>
            <w:tcW w:w="1989" w:type="dxa"/>
            <w:tcBorders>
              <w:top w:val="nil"/>
              <w:left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660204</w:t>
            </w:r>
          </w:p>
        </w:tc>
        <w:tc>
          <w:tcPr>
            <w:tcW w:w="1859" w:type="dxa"/>
            <w:tcBorders>
              <w:top w:val="nil"/>
              <w:left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28.0 </w:t>
            </w:r>
          </w:p>
        </w:tc>
      </w:tr>
      <w:tr w:rsidR="000730DF" w:rsidRPr="00C1794C">
        <w:trPr>
          <w:trHeight w:hRule="exact" w:val="567"/>
          <w:jc w:val="center"/>
        </w:trPr>
        <w:tc>
          <w:tcPr>
            <w:tcW w:w="4477" w:type="dxa"/>
            <w:tcBorders>
              <w:top w:val="nil"/>
              <w:left w:val="nil"/>
              <w:bottom w:val="single" w:sz="4" w:space="0" w:color="auto"/>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＃：住宅</w:t>
            </w:r>
          </w:p>
        </w:tc>
        <w:tc>
          <w:tcPr>
            <w:tcW w:w="1989" w:type="dxa"/>
            <w:tcBorders>
              <w:top w:val="nil"/>
              <w:left w:val="nil"/>
              <w:bottom w:val="single" w:sz="4" w:space="0" w:color="auto"/>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477048</w:t>
            </w:r>
          </w:p>
        </w:tc>
        <w:tc>
          <w:tcPr>
            <w:tcW w:w="1859" w:type="dxa"/>
            <w:tcBorders>
              <w:top w:val="nil"/>
              <w:left w:val="nil"/>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-0.2 </w:t>
            </w:r>
          </w:p>
        </w:tc>
      </w:tr>
    </w:tbl>
    <w:p w:rsidR="000730DF" w:rsidRPr="00C1794C" w:rsidRDefault="007B19DB">
      <w:pPr>
        <w:pStyle w:val="a7"/>
        <w:spacing w:before="0" w:beforeAutospacing="0" w:after="0" w:afterAutospacing="0" w:line="480" w:lineRule="exact"/>
        <w:ind w:left="45" w:right="45" w:firstLineChars="200" w:firstLine="422"/>
        <w:jc w:val="both"/>
        <w:rPr>
          <w:b/>
          <w:color w:val="000000" w:themeColor="text1"/>
          <w:sz w:val="21"/>
          <w:szCs w:val="21"/>
        </w:rPr>
      </w:pPr>
      <w:r w:rsidRPr="00C1794C">
        <w:rPr>
          <w:rFonts w:hint="eastAsia"/>
          <w:b/>
          <w:color w:val="000000" w:themeColor="text1"/>
          <w:sz w:val="21"/>
          <w:szCs w:val="21"/>
        </w:rPr>
        <w:t xml:space="preserve"> 五、国内贸易</w:t>
      </w:r>
    </w:p>
    <w:p w:rsidR="000730DF" w:rsidRDefault="007B19DB">
      <w:pPr>
        <w:pStyle w:val="a7"/>
        <w:spacing w:before="0" w:beforeAutospacing="0" w:after="0" w:afterAutospacing="0" w:line="480" w:lineRule="exact"/>
        <w:ind w:left="45" w:right="45" w:firstLineChars="200" w:firstLine="420"/>
        <w:jc w:val="both"/>
        <w:rPr>
          <w:color w:val="000000" w:themeColor="text1"/>
          <w:sz w:val="21"/>
          <w:szCs w:val="21"/>
        </w:rPr>
      </w:pPr>
      <w:r w:rsidRPr="00C1794C">
        <w:rPr>
          <w:rFonts w:hint="eastAsia"/>
          <w:color w:val="000000" w:themeColor="text1"/>
          <w:sz w:val="21"/>
          <w:szCs w:val="21"/>
        </w:rPr>
        <w:t xml:space="preserve">全年批发和零售业实现增加值602660万元，比上年增长2.5%，占全区生产总值的8.5%。批发业销售额同比增长13.8%，零售业销售额同比增长7.7%。住宿和餐饮业实现增加值119780万元，比上年下降3.6%，占全区生产总值的1.7%。住宿业营业额同比增长4.4%，餐饮业营业额同比增长0.9%。 </w:t>
      </w: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r>
        <w:rPr>
          <w:rFonts w:hint="eastAsia"/>
          <w:noProof/>
          <w:color w:val="000000" w:themeColor="text1"/>
          <w:sz w:val="21"/>
          <w:szCs w:val="21"/>
        </w:rPr>
        <w:drawing>
          <wp:anchor distT="0" distB="0" distL="0" distR="0" simplePos="0" relativeHeight="251662336" behindDoc="0" locked="0" layoutInCell="1" allowOverlap="1">
            <wp:simplePos x="0" y="0"/>
            <wp:positionH relativeFrom="column">
              <wp:posOffset>345329</wp:posOffset>
            </wp:positionH>
            <wp:positionV relativeFrom="paragraph">
              <wp:posOffset>85283</wp:posOffset>
            </wp:positionV>
            <wp:extent cx="5059625" cy="2480807"/>
            <wp:effectExtent l="19050" t="0" r="26725" b="0"/>
            <wp:wrapNone/>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D210CE"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D210CE" w:rsidRPr="00C1794C" w:rsidRDefault="00D210CE">
      <w:pPr>
        <w:pStyle w:val="a7"/>
        <w:spacing w:before="0" w:beforeAutospacing="0" w:after="0" w:afterAutospacing="0" w:line="480" w:lineRule="exact"/>
        <w:ind w:left="45" w:right="45" w:firstLineChars="200" w:firstLine="420"/>
        <w:jc w:val="both"/>
        <w:rPr>
          <w:color w:val="000000" w:themeColor="text1"/>
          <w:sz w:val="21"/>
          <w:szCs w:val="21"/>
        </w:rPr>
      </w:pP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sz w:val="21"/>
          <w:szCs w:val="21"/>
        </w:rPr>
      </w:pPr>
      <w:r w:rsidRPr="00C1794C">
        <w:rPr>
          <w:rFonts w:hint="eastAsia"/>
          <w:color w:val="000000" w:themeColor="text1"/>
          <w:sz w:val="21"/>
          <w:szCs w:val="21"/>
        </w:rPr>
        <w:lastRenderedPageBreak/>
        <w:t>消费品市场平稳增长。全年社会消费品零售总额同比增长2.6%。从限额以上法人企业主要商品零售情况看，汽车类增长11.9％，粮油、食品类增长21.5％，建筑及装潢材料类增长85.0%，家用电器和音响器材类下降28.2％。</w:t>
      </w:r>
    </w:p>
    <w:p w:rsidR="000730DF" w:rsidRPr="00C1794C" w:rsidRDefault="007B19DB">
      <w:pPr>
        <w:pStyle w:val="a7"/>
        <w:spacing w:before="0" w:beforeAutospacing="0" w:after="0" w:afterAutospacing="0" w:line="480" w:lineRule="exact"/>
        <w:ind w:right="45" w:firstLineChars="200" w:firstLine="422"/>
        <w:jc w:val="both"/>
        <w:rPr>
          <w:rStyle w:val="a8"/>
          <w:color w:val="000000" w:themeColor="text1"/>
          <w:sz w:val="21"/>
          <w:szCs w:val="21"/>
        </w:rPr>
      </w:pPr>
      <w:r w:rsidRPr="00C1794C">
        <w:rPr>
          <w:rFonts w:hint="eastAsia"/>
          <w:b/>
          <w:color w:val="000000" w:themeColor="text1"/>
          <w:sz w:val="21"/>
          <w:szCs w:val="21"/>
        </w:rPr>
        <w:t>六、</w:t>
      </w:r>
      <w:r w:rsidRPr="00C1794C">
        <w:rPr>
          <w:rStyle w:val="a8"/>
          <w:rFonts w:hint="eastAsia"/>
          <w:color w:val="000000" w:themeColor="text1"/>
          <w:sz w:val="21"/>
          <w:szCs w:val="21"/>
        </w:rPr>
        <w:t>对外经济</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sz w:val="21"/>
          <w:szCs w:val="21"/>
        </w:rPr>
      </w:pPr>
      <w:r w:rsidRPr="00C1794C">
        <w:rPr>
          <w:rFonts w:hint="eastAsia"/>
          <w:color w:val="000000" w:themeColor="text1"/>
          <w:sz w:val="21"/>
          <w:szCs w:val="21"/>
        </w:rPr>
        <w:t>全年实现外贸进出口总值158418万元，比上年同期下降10.7％。其中：出口121971万元，下降29.4%；进口36448万元，增长669.8 %。全年实际使用外资金额9543万美元，增长30.8％。其中，外商直接投资2627万美元。</w:t>
      </w:r>
    </w:p>
    <w:p w:rsidR="000730DF" w:rsidRPr="00C1794C" w:rsidRDefault="007B19DB">
      <w:pPr>
        <w:pStyle w:val="a7"/>
        <w:spacing w:before="0" w:beforeAutospacing="0" w:after="0" w:afterAutospacing="0" w:line="480" w:lineRule="exact"/>
        <w:ind w:left="44" w:right="44" w:firstLineChars="200" w:firstLine="422"/>
        <w:jc w:val="both"/>
        <w:rPr>
          <w:b/>
          <w:color w:val="000000" w:themeColor="text1"/>
          <w:sz w:val="21"/>
          <w:szCs w:val="21"/>
        </w:rPr>
      </w:pPr>
      <w:r w:rsidRPr="00C1794C">
        <w:rPr>
          <w:rFonts w:hint="eastAsia"/>
          <w:b/>
          <w:color w:val="000000" w:themeColor="text1"/>
          <w:sz w:val="21"/>
          <w:szCs w:val="21"/>
        </w:rPr>
        <w:t>七、交通、邮电和旅游</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全年交通运输、仓储和邮政业实现增加值197566万元，比上年增长5.2％，占全区生产总值的比重为2.8%。</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全年公路客运量完成3616万人，比上年同期下降38.2%；公路旅客周转量139979万人公里，下降43.8%；公路货运量完成1341万吨，增长47.3%；公路货物周转量153450万吨公里，增长66.8%。</w:t>
      </w:r>
      <w:r w:rsidRPr="00C1794C">
        <w:rPr>
          <w:rFonts w:hint="eastAsia"/>
          <w:color w:val="000000" w:themeColor="text1"/>
          <w:kern w:val="2"/>
          <w:sz w:val="21"/>
          <w:szCs w:val="21"/>
        </w:rPr>
        <w:tab/>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年末全区拥有营运汽车7436辆，其中货车5941辆、客车426辆(含公交车)、出租汽车220辆。</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年底全区公路总里程2659.16公里。按行政等级划分：国道（高速公路）100.39公里，省道215.83公里，县道135.29公里，乡道293.81公里，专用公路11.33公里，村道1902.52公里。按技术等级分：高速公路65.80公里、一级公路25.01公里、二级公路244.93公里、三级公路66.43公里、四级公路2196.18公里，等外公路60.81公里。</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全年完成邮电业务总量54704万元，比上年增长8.0%。其中，邮政业务收入14688万元，增长16.4%；电信业务总量40016万元，增长5.2 %。年末固定电话用户数8.62万户，比上年下降9.6%；移动电话用户80.16万户，比上年增长6.0%。固定互联网宽带接入用户24.31万户，比上年增长14.1%；手机上网用户63.60万户，比上年增长10.0%；互联网络用户78.43万户，比上年增长11.2%。</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旅游业加快发展。全年接待游客人数818万人次，比上年增长16.6%；实现旅游总收入42.38亿元，比上年增长39.9％。年末全区拥有A级旅游景区3个，其中4A级景区1个，3A级景区2个。</w:t>
      </w:r>
    </w:p>
    <w:p w:rsidR="000730DF" w:rsidRPr="00C1794C" w:rsidRDefault="007B19DB">
      <w:pPr>
        <w:pStyle w:val="a7"/>
        <w:spacing w:before="0" w:beforeAutospacing="0" w:after="0" w:afterAutospacing="0" w:line="480" w:lineRule="exact"/>
        <w:ind w:left="44" w:right="44" w:firstLineChars="200" w:firstLine="422"/>
        <w:jc w:val="both"/>
        <w:rPr>
          <w:rStyle w:val="a8"/>
          <w:color w:val="000000" w:themeColor="text1"/>
          <w:sz w:val="21"/>
          <w:szCs w:val="21"/>
        </w:rPr>
      </w:pPr>
      <w:r w:rsidRPr="00C1794C">
        <w:rPr>
          <w:rStyle w:val="a8"/>
          <w:rFonts w:hint="eastAsia"/>
          <w:color w:val="000000" w:themeColor="text1"/>
          <w:sz w:val="21"/>
          <w:szCs w:val="21"/>
        </w:rPr>
        <w:t>八、金融</w:t>
      </w:r>
    </w:p>
    <w:p w:rsidR="000730DF" w:rsidRPr="00C1794C"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金融市场稳健运行。全年金融业实现增加值189629万元，比上年增长1.2%,占全区生产总值的2.7%。</w:t>
      </w:r>
    </w:p>
    <w:p w:rsidR="000730DF" w:rsidRPr="00C1794C"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金融市场规模进一步扩大。年末全区金融机构各项存款余额达到4371477万元，比年初增加</w:t>
      </w:r>
      <w:r w:rsidRPr="00C1794C">
        <w:rPr>
          <w:rFonts w:ascii="宋体" w:hAnsi="宋体" w:cs="宋体" w:hint="eastAsia"/>
          <w:color w:val="000000" w:themeColor="text1"/>
          <w:kern w:val="0"/>
          <w:szCs w:val="21"/>
        </w:rPr>
        <w:lastRenderedPageBreak/>
        <w:t>349064万元，增长8.7%。其中，企事业单位存款余额989593万元，比年初下降0.1%；个人储蓄存款余额3346520万元，比年初增长12.4%。年末金融机构贷款余额3760521万元，比年初增加434687万元，增长13.1%。其中，个人经营、个人消费类贷款1002119万元，增长3.8%。不良贷款率为0.29%。</w:t>
      </w:r>
    </w:p>
    <w:p w:rsidR="000730DF" w:rsidRPr="00C1794C" w:rsidRDefault="007B19DB">
      <w:pPr>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表6　　2020年末金融机构存贷款余额</w:t>
      </w:r>
    </w:p>
    <w:tbl>
      <w:tblPr>
        <w:tblW w:w="7800" w:type="dxa"/>
        <w:tblInd w:w="646" w:type="dxa"/>
        <w:tblLayout w:type="fixed"/>
        <w:tblLook w:val="04A0"/>
      </w:tblPr>
      <w:tblGrid>
        <w:gridCol w:w="3120"/>
        <w:gridCol w:w="2538"/>
        <w:gridCol w:w="2142"/>
      </w:tblGrid>
      <w:tr w:rsidR="000730DF" w:rsidRPr="00C1794C">
        <w:trPr>
          <w:trHeight w:hRule="exact" w:val="624"/>
        </w:trPr>
        <w:tc>
          <w:tcPr>
            <w:tcW w:w="3120" w:type="dxa"/>
            <w:tcBorders>
              <w:top w:val="single" w:sz="4" w:space="0" w:color="auto"/>
              <w:left w:val="nil"/>
              <w:bottom w:val="single" w:sz="4" w:space="0" w:color="auto"/>
              <w:right w:val="single" w:sz="4" w:space="0" w:color="auto"/>
            </w:tcBorders>
            <w:vAlign w:val="center"/>
          </w:tcPr>
          <w:p w:rsidR="000730DF" w:rsidRPr="00C1794C" w:rsidRDefault="007B19DB">
            <w:pPr>
              <w:widowControl/>
              <w:shd w:val="clear" w:color="auto" w:fill="FFFFFF"/>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指标</w:t>
            </w:r>
          </w:p>
        </w:tc>
        <w:tc>
          <w:tcPr>
            <w:tcW w:w="2538" w:type="dxa"/>
            <w:tcBorders>
              <w:top w:val="single" w:sz="4" w:space="0" w:color="auto"/>
              <w:left w:val="single" w:sz="4" w:space="0" w:color="auto"/>
              <w:bottom w:val="single" w:sz="4" w:space="0" w:color="auto"/>
              <w:right w:val="single" w:sz="4" w:space="0" w:color="auto"/>
            </w:tcBorders>
            <w:vAlign w:val="center"/>
          </w:tcPr>
          <w:p w:rsidR="000730DF" w:rsidRPr="00C1794C" w:rsidRDefault="007B19DB">
            <w:pPr>
              <w:widowControl/>
              <w:shd w:val="clear" w:color="auto" w:fill="FFFFFF"/>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年末数（万元）</w:t>
            </w:r>
          </w:p>
        </w:tc>
        <w:tc>
          <w:tcPr>
            <w:tcW w:w="2142" w:type="dxa"/>
            <w:tcBorders>
              <w:top w:val="single" w:sz="4" w:space="0" w:color="auto"/>
              <w:left w:val="single" w:sz="4" w:space="0" w:color="auto"/>
              <w:bottom w:val="single" w:sz="4" w:space="0" w:color="auto"/>
              <w:right w:val="nil"/>
            </w:tcBorders>
            <w:vAlign w:val="center"/>
          </w:tcPr>
          <w:p w:rsidR="000730DF" w:rsidRPr="00C1794C" w:rsidRDefault="007B19DB">
            <w:pPr>
              <w:widowControl/>
              <w:shd w:val="clear" w:color="auto" w:fill="FFFFFF"/>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t>比年初±％</w:t>
            </w:r>
          </w:p>
        </w:tc>
      </w:tr>
      <w:tr w:rsidR="000730DF" w:rsidRPr="00C1794C">
        <w:trPr>
          <w:trHeight w:hRule="exact" w:val="624"/>
        </w:trPr>
        <w:tc>
          <w:tcPr>
            <w:tcW w:w="3120" w:type="dxa"/>
            <w:tcBorders>
              <w:top w:val="single" w:sz="4" w:space="0" w:color="auto"/>
              <w:left w:val="nil"/>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金融机构存款余额</w:t>
            </w:r>
          </w:p>
        </w:tc>
        <w:tc>
          <w:tcPr>
            <w:tcW w:w="2538" w:type="dxa"/>
            <w:tcBorders>
              <w:top w:val="nil"/>
              <w:left w:val="nil"/>
              <w:bottom w:val="nil"/>
              <w:right w:val="nil"/>
            </w:tcBorders>
            <w:vAlign w:val="center"/>
          </w:tcPr>
          <w:p w:rsidR="000730DF" w:rsidRPr="00C1794C" w:rsidRDefault="007B19DB">
            <w:pPr>
              <w:widowControl/>
              <w:spacing w:line="480" w:lineRule="exact"/>
              <w:ind w:firstLineChars="200" w:firstLine="420"/>
              <w:jc w:val="right"/>
              <w:rPr>
                <w:rFonts w:ascii="宋体" w:hAnsi="宋体" w:cs="宋体"/>
                <w:bCs/>
                <w:color w:val="000000" w:themeColor="text1"/>
                <w:kern w:val="0"/>
                <w:szCs w:val="21"/>
              </w:rPr>
            </w:pPr>
            <w:r w:rsidRPr="00C1794C">
              <w:rPr>
                <w:rFonts w:ascii="宋体" w:hAnsi="宋体" w:cs="宋体" w:hint="eastAsia"/>
                <w:bCs/>
                <w:color w:val="000000" w:themeColor="text1"/>
                <w:szCs w:val="21"/>
              </w:rPr>
              <w:t xml:space="preserve">4371477 </w:t>
            </w:r>
          </w:p>
        </w:tc>
        <w:tc>
          <w:tcPr>
            <w:tcW w:w="2142"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8.7 </w:t>
            </w:r>
          </w:p>
        </w:tc>
      </w:tr>
      <w:tr w:rsidR="000730DF" w:rsidRPr="00C1794C">
        <w:trPr>
          <w:trHeight w:hRule="exact" w:val="624"/>
        </w:trPr>
        <w:tc>
          <w:tcPr>
            <w:tcW w:w="3120" w:type="dxa"/>
            <w:tcBorders>
              <w:top w:val="nil"/>
              <w:left w:val="nil"/>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＃企事业单位存款</w:t>
            </w:r>
          </w:p>
        </w:tc>
        <w:tc>
          <w:tcPr>
            <w:tcW w:w="2538"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989593 </w:t>
            </w:r>
          </w:p>
        </w:tc>
        <w:tc>
          <w:tcPr>
            <w:tcW w:w="2142"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-0.1 </w:t>
            </w:r>
          </w:p>
        </w:tc>
      </w:tr>
      <w:tr w:rsidR="000730DF" w:rsidRPr="00C1794C">
        <w:trPr>
          <w:trHeight w:hRule="exact" w:val="624"/>
        </w:trPr>
        <w:tc>
          <w:tcPr>
            <w:tcW w:w="3120" w:type="dxa"/>
            <w:tcBorders>
              <w:top w:val="nil"/>
              <w:left w:val="nil"/>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个人储蓄存款</w:t>
            </w:r>
          </w:p>
        </w:tc>
        <w:tc>
          <w:tcPr>
            <w:tcW w:w="2538"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3346520 </w:t>
            </w:r>
          </w:p>
        </w:tc>
        <w:tc>
          <w:tcPr>
            <w:tcW w:w="2142"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12.4 </w:t>
            </w:r>
          </w:p>
        </w:tc>
      </w:tr>
      <w:tr w:rsidR="000730DF" w:rsidRPr="00C1794C">
        <w:trPr>
          <w:trHeight w:hRule="exact" w:val="624"/>
        </w:trPr>
        <w:tc>
          <w:tcPr>
            <w:tcW w:w="3120" w:type="dxa"/>
            <w:tcBorders>
              <w:top w:val="nil"/>
              <w:left w:val="nil"/>
              <w:bottom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金融机构贷款余额</w:t>
            </w:r>
          </w:p>
        </w:tc>
        <w:tc>
          <w:tcPr>
            <w:tcW w:w="2538"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3760521 </w:t>
            </w:r>
          </w:p>
        </w:tc>
        <w:tc>
          <w:tcPr>
            <w:tcW w:w="2142"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13.1 </w:t>
            </w:r>
          </w:p>
        </w:tc>
      </w:tr>
      <w:tr w:rsidR="000730DF" w:rsidRPr="00C1794C">
        <w:trPr>
          <w:trHeight w:hRule="exact" w:val="624"/>
        </w:trPr>
        <w:tc>
          <w:tcPr>
            <w:tcW w:w="3120" w:type="dxa"/>
            <w:tcBorders>
              <w:top w:val="nil"/>
              <w:left w:val="nil"/>
              <w:bottom w:val="nil"/>
              <w:right w:val="single" w:sz="4" w:space="0" w:color="auto"/>
            </w:tcBorders>
            <w:shd w:val="clear" w:color="auto" w:fill="auto"/>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＃短期贷款</w:t>
            </w:r>
          </w:p>
        </w:tc>
        <w:tc>
          <w:tcPr>
            <w:tcW w:w="2538"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566882 </w:t>
            </w:r>
          </w:p>
        </w:tc>
        <w:tc>
          <w:tcPr>
            <w:tcW w:w="2142"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8.6 </w:t>
            </w:r>
          </w:p>
        </w:tc>
      </w:tr>
      <w:tr w:rsidR="000730DF" w:rsidRPr="00C1794C">
        <w:trPr>
          <w:trHeight w:hRule="exact" w:val="624"/>
        </w:trPr>
        <w:tc>
          <w:tcPr>
            <w:tcW w:w="3120" w:type="dxa"/>
            <w:tcBorders>
              <w:top w:val="nil"/>
              <w:left w:val="nil"/>
              <w:bottom w:val="nil"/>
              <w:right w:val="single" w:sz="4" w:space="0" w:color="auto"/>
            </w:tcBorders>
            <w:shd w:val="clear" w:color="auto" w:fill="auto"/>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中长期贷款</w:t>
            </w:r>
          </w:p>
        </w:tc>
        <w:tc>
          <w:tcPr>
            <w:tcW w:w="2538"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3140919 </w:t>
            </w:r>
          </w:p>
        </w:tc>
        <w:tc>
          <w:tcPr>
            <w:tcW w:w="2142" w:type="dxa"/>
            <w:tcBorders>
              <w:top w:val="nil"/>
              <w:left w:val="nil"/>
              <w:bottom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13.7 </w:t>
            </w:r>
          </w:p>
        </w:tc>
      </w:tr>
      <w:tr w:rsidR="000730DF" w:rsidRPr="00C1794C">
        <w:trPr>
          <w:trHeight w:hRule="exact" w:val="624"/>
        </w:trPr>
        <w:tc>
          <w:tcPr>
            <w:tcW w:w="3120" w:type="dxa"/>
            <w:tcBorders>
              <w:top w:val="nil"/>
              <w:left w:val="nil"/>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＃个人消费贷款</w:t>
            </w:r>
          </w:p>
        </w:tc>
        <w:tc>
          <w:tcPr>
            <w:tcW w:w="2538" w:type="dxa"/>
            <w:tcBorders>
              <w:top w:val="nil"/>
              <w:left w:val="nil"/>
              <w:right w:val="nil"/>
            </w:tcBorders>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1002119 </w:t>
            </w:r>
          </w:p>
        </w:tc>
        <w:tc>
          <w:tcPr>
            <w:tcW w:w="2142" w:type="dxa"/>
            <w:tcBorders>
              <w:top w:val="nil"/>
              <w:left w:val="nil"/>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3.8 </w:t>
            </w:r>
          </w:p>
        </w:tc>
      </w:tr>
      <w:tr w:rsidR="000730DF" w:rsidRPr="00C1794C">
        <w:trPr>
          <w:trHeight w:hRule="exact" w:val="624"/>
        </w:trPr>
        <w:tc>
          <w:tcPr>
            <w:tcW w:w="3120" w:type="dxa"/>
            <w:tcBorders>
              <w:top w:val="nil"/>
              <w:left w:val="nil"/>
              <w:bottom w:val="single" w:sz="4" w:space="0" w:color="auto"/>
              <w:right w:val="single" w:sz="4" w:space="0" w:color="auto"/>
            </w:tcBorders>
            <w:vAlign w:val="center"/>
          </w:tcPr>
          <w:p w:rsidR="000730DF" w:rsidRPr="00C1794C" w:rsidRDefault="007B19DB">
            <w:pPr>
              <w:spacing w:line="480" w:lineRule="exact"/>
              <w:ind w:firstLineChars="200" w:firstLine="420"/>
              <w:rPr>
                <w:rFonts w:ascii="宋体" w:hAnsi="宋体" w:cs="宋体"/>
                <w:color w:val="000000" w:themeColor="text1"/>
                <w:szCs w:val="21"/>
              </w:rPr>
            </w:pPr>
            <w:r w:rsidRPr="00C1794C">
              <w:rPr>
                <w:rFonts w:ascii="宋体" w:hAnsi="宋体" w:cs="宋体" w:hint="eastAsia"/>
                <w:color w:val="000000" w:themeColor="text1"/>
                <w:szCs w:val="21"/>
              </w:rPr>
              <w:t>＃不良贷款</w:t>
            </w:r>
          </w:p>
        </w:tc>
        <w:tc>
          <w:tcPr>
            <w:tcW w:w="2538" w:type="dxa"/>
            <w:tcBorders>
              <w:top w:val="nil"/>
              <w:left w:val="nil"/>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bCs/>
                <w:color w:val="000000" w:themeColor="text1"/>
                <w:szCs w:val="21"/>
              </w:rPr>
            </w:pPr>
            <w:r w:rsidRPr="00C1794C">
              <w:rPr>
                <w:rFonts w:ascii="宋体" w:hAnsi="宋体" w:cs="宋体" w:hint="eastAsia"/>
                <w:bCs/>
                <w:color w:val="000000" w:themeColor="text1"/>
                <w:szCs w:val="21"/>
              </w:rPr>
              <w:t xml:space="preserve">10749 </w:t>
            </w:r>
          </w:p>
        </w:tc>
        <w:tc>
          <w:tcPr>
            <w:tcW w:w="2142" w:type="dxa"/>
            <w:tcBorders>
              <w:top w:val="nil"/>
              <w:left w:val="nil"/>
              <w:bottom w:val="single" w:sz="4" w:space="0" w:color="auto"/>
              <w:right w:val="nil"/>
            </w:tcBorders>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 xml:space="preserve">8.9 </w:t>
            </w:r>
          </w:p>
        </w:tc>
      </w:tr>
    </w:tbl>
    <w:p w:rsidR="000730DF" w:rsidRDefault="007B19DB">
      <w:pPr>
        <w:spacing w:line="480" w:lineRule="exact"/>
        <w:ind w:firstLineChars="200" w:firstLine="420"/>
        <w:rPr>
          <w:rFonts w:ascii="宋体" w:hAnsi="宋体" w:cs="宋体"/>
          <w:color w:val="000000" w:themeColor="text1"/>
          <w:kern w:val="0"/>
          <w:szCs w:val="21"/>
        </w:rPr>
      </w:pPr>
      <w:r w:rsidRPr="00C1794C">
        <w:rPr>
          <w:rFonts w:ascii="宋体" w:hAnsi="宋体" w:cs="宋体" w:hint="eastAsia"/>
          <w:color w:val="000000" w:themeColor="text1"/>
          <w:kern w:val="0"/>
          <w:szCs w:val="21"/>
        </w:rPr>
        <w:t>保险业稳定发展。全年保险机构实现保费收入95293万元，比上年同期下降3.4 %。理赔金额26300万元，下降16.8%。</w:t>
      </w:r>
    </w:p>
    <w:p w:rsidR="00C1794C" w:rsidRDefault="00C1794C">
      <w:pPr>
        <w:spacing w:line="480" w:lineRule="exact"/>
        <w:ind w:firstLineChars="200" w:firstLine="420"/>
        <w:rPr>
          <w:rFonts w:ascii="宋体" w:hAnsi="宋体" w:cs="宋体"/>
          <w:color w:val="000000" w:themeColor="text1"/>
          <w:kern w:val="0"/>
          <w:szCs w:val="21"/>
        </w:rPr>
      </w:pPr>
      <w:r>
        <w:rPr>
          <w:rFonts w:ascii="宋体" w:hAnsi="宋体" w:cs="宋体" w:hint="eastAsia"/>
          <w:noProof/>
          <w:color w:val="000000" w:themeColor="text1"/>
          <w:kern w:val="0"/>
          <w:szCs w:val="21"/>
        </w:rPr>
        <w:drawing>
          <wp:anchor distT="0" distB="0" distL="0" distR="0" simplePos="0" relativeHeight="251657216" behindDoc="0" locked="0" layoutInCell="1" allowOverlap="1">
            <wp:simplePos x="0" y="0"/>
            <wp:positionH relativeFrom="column">
              <wp:posOffset>289560</wp:posOffset>
            </wp:positionH>
            <wp:positionV relativeFrom="paragraph">
              <wp:posOffset>165735</wp:posOffset>
            </wp:positionV>
            <wp:extent cx="5313680" cy="2861945"/>
            <wp:effectExtent l="19050" t="0" r="20320" b="0"/>
            <wp:wrapNone/>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C1794C" w:rsidRDefault="00C1794C">
      <w:pPr>
        <w:spacing w:line="480" w:lineRule="exact"/>
        <w:ind w:firstLineChars="200" w:firstLine="420"/>
        <w:rPr>
          <w:rFonts w:ascii="宋体" w:hAnsi="宋体" w:cs="宋体"/>
          <w:color w:val="000000" w:themeColor="text1"/>
          <w:kern w:val="0"/>
          <w:szCs w:val="21"/>
        </w:rPr>
      </w:pPr>
    </w:p>
    <w:p w:rsidR="000730DF" w:rsidRPr="00C1794C" w:rsidRDefault="007B19DB">
      <w:pPr>
        <w:pStyle w:val="a7"/>
        <w:spacing w:before="0" w:beforeAutospacing="0" w:after="0" w:afterAutospacing="0" w:line="480" w:lineRule="exact"/>
        <w:ind w:right="44" w:firstLineChars="200" w:firstLine="422"/>
        <w:jc w:val="both"/>
        <w:rPr>
          <w:rStyle w:val="a8"/>
          <w:color w:val="000000" w:themeColor="text1"/>
          <w:sz w:val="21"/>
          <w:szCs w:val="21"/>
        </w:rPr>
      </w:pPr>
      <w:r w:rsidRPr="00C1794C">
        <w:rPr>
          <w:rStyle w:val="a8"/>
          <w:rFonts w:hint="eastAsia"/>
          <w:color w:val="000000" w:themeColor="text1"/>
          <w:sz w:val="21"/>
          <w:szCs w:val="21"/>
        </w:rPr>
        <w:lastRenderedPageBreak/>
        <w:t>九、人民生活和社会保障</w:t>
      </w:r>
    </w:p>
    <w:p w:rsidR="000730DF" w:rsidRPr="00C1794C" w:rsidRDefault="007B19DB">
      <w:pPr>
        <w:pStyle w:val="a7"/>
        <w:spacing w:before="0" w:beforeAutospacing="0" w:after="0" w:afterAutospacing="0" w:line="480" w:lineRule="exact"/>
        <w:ind w:left="44" w:right="44" w:firstLineChars="200" w:firstLine="420"/>
        <w:jc w:val="both"/>
        <w:rPr>
          <w:rStyle w:val="a8"/>
          <w:b w:val="0"/>
          <w:color w:val="000000" w:themeColor="text1"/>
          <w:sz w:val="21"/>
          <w:szCs w:val="21"/>
        </w:rPr>
      </w:pPr>
      <w:r w:rsidRPr="00C1794C">
        <w:rPr>
          <w:rStyle w:val="a8"/>
          <w:rFonts w:hint="eastAsia"/>
          <w:b w:val="0"/>
          <w:color w:val="000000" w:themeColor="text1"/>
          <w:sz w:val="21"/>
          <w:szCs w:val="21"/>
        </w:rPr>
        <w:t>居民收入持续增加。全区常住居民人均可支配收入31973元，比上年增长7.2%。其中，人均工资性收入16885元，增长7.9%；人均经营净收入5506元，增长5.7%；人均财产净收入1706元，增长7.2%；人均转移净收入7876元，增长6.9%。</w:t>
      </w:r>
    </w:p>
    <w:p w:rsidR="000730DF" w:rsidRPr="00C1794C" w:rsidRDefault="007B19DB">
      <w:pPr>
        <w:pStyle w:val="a7"/>
        <w:spacing w:before="0" w:beforeAutospacing="0" w:after="0" w:afterAutospacing="0" w:line="480" w:lineRule="exact"/>
        <w:ind w:right="44" w:firstLineChars="200" w:firstLine="420"/>
        <w:jc w:val="both"/>
        <w:rPr>
          <w:rStyle w:val="a8"/>
          <w:b w:val="0"/>
          <w:color w:val="000000" w:themeColor="text1"/>
          <w:sz w:val="21"/>
          <w:szCs w:val="21"/>
        </w:rPr>
      </w:pPr>
      <w:r w:rsidRPr="00C1794C">
        <w:rPr>
          <w:rFonts w:hint="eastAsia"/>
          <w:noProof/>
          <w:color w:val="000000" w:themeColor="text1"/>
          <w:sz w:val="21"/>
          <w:szCs w:val="21"/>
        </w:rPr>
        <w:drawing>
          <wp:anchor distT="0" distB="0" distL="0" distR="0" simplePos="0" relativeHeight="251663360" behindDoc="0" locked="0" layoutInCell="1" allowOverlap="1">
            <wp:simplePos x="0" y="0"/>
            <wp:positionH relativeFrom="column">
              <wp:posOffset>248285</wp:posOffset>
            </wp:positionH>
            <wp:positionV relativeFrom="paragraph">
              <wp:posOffset>92710</wp:posOffset>
            </wp:positionV>
            <wp:extent cx="5257800" cy="3592195"/>
            <wp:effectExtent l="4445" t="4445" r="14605" b="22860"/>
            <wp:wrapTopAndBottom/>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Pr="00C1794C">
        <w:rPr>
          <w:rStyle w:val="a8"/>
          <w:rFonts w:hint="eastAsia"/>
          <w:b w:val="0"/>
          <w:color w:val="000000" w:themeColor="text1"/>
          <w:sz w:val="21"/>
          <w:szCs w:val="21"/>
        </w:rPr>
        <w:t>城镇常住居民人均可支配收入40489元，增长5.5%。其中，人均工资性收入23982元，增长5.7%；人均经营净收入4523元，增长5.5%；人均财产净收入2729元，增长4.3%；人均转移净收入9255元，增长5.6%。城镇居民恩格尔系数31.30%，比上年下降0.52个百分点。城镇居民人均住房面积44.28平方米，比上年增长0.1%。</w:t>
      </w:r>
    </w:p>
    <w:p w:rsidR="000730DF" w:rsidRPr="00C1794C" w:rsidRDefault="007B19DB">
      <w:pPr>
        <w:pStyle w:val="a7"/>
        <w:spacing w:before="0" w:beforeAutospacing="0" w:after="0" w:afterAutospacing="0" w:line="480" w:lineRule="exact"/>
        <w:ind w:left="44" w:right="44" w:firstLineChars="200" w:firstLine="420"/>
        <w:jc w:val="both"/>
        <w:rPr>
          <w:rStyle w:val="a8"/>
          <w:b w:val="0"/>
          <w:color w:val="000000" w:themeColor="text1"/>
          <w:sz w:val="21"/>
          <w:szCs w:val="21"/>
        </w:rPr>
      </w:pPr>
      <w:r w:rsidRPr="00C1794C">
        <w:rPr>
          <w:rStyle w:val="a8"/>
          <w:rFonts w:hint="eastAsia"/>
          <w:b w:val="0"/>
          <w:color w:val="000000" w:themeColor="text1"/>
          <w:sz w:val="21"/>
          <w:szCs w:val="21"/>
        </w:rPr>
        <w:t>农村常住居民人均可支配收入20034元，增长7.3%。其中，人均工资性收入6936元，增长7.4%；人均经营净收入6883元，增长7.4%；人均财产净收入271元，增长6.7%；人均转移净收入5944元，增长7.1％。农村常住居民人均生活消费支出12727元，增长8.0%；其中，衣着795元，增长6.7%；居住2138元，增长6.2%；生活用品及服务1104元，增长8.6%；交通通信1450元，增长7.3%；教育文化娱乐1200元，增长7.1%；医疗保健1032元，增长7.8%。农村居民恩格尔系数38.23%，比上年增长1.53个百分点。农村居民人均住房面积44.36平方米，比上年增长2.06%。</w:t>
      </w:r>
    </w:p>
    <w:p w:rsidR="000730DF" w:rsidRPr="00C1794C" w:rsidRDefault="000730DF">
      <w:pPr>
        <w:spacing w:line="480" w:lineRule="exact"/>
        <w:ind w:firstLineChars="200" w:firstLine="422"/>
        <w:jc w:val="center"/>
        <w:rPr>
          <w:rFonts w:ascii="宋体" w:hAnsi="宋体" w:cs="宋体"/>
          <w:b/>
          <w:bCs/>
          <w:color w:val="000000" w:themeColor="text1"/>
          <w:kern w:val="0"/>
          <w:szCs w:val="21"/>
        </w:rPr>
      </w:pPr>
    </w:p>
    <w:p w:rsidR="000730DF" w:rsidRPr="00C1794C" w:rsidRDefault="000730DF">
      <w:pPr>
        <w:spacing w:line="480" w:lineRule="exact"/>
        <w:ind w:firstLineChars="200" w:firstLine="422"/>
        <w:jc w:val="center"/>
        <w:rPr>
          <w:rFonts w:ascii="宋体" w:hAnsi="宋体" w:cs="宋体"/>
          <w:b/>
          <w:bCs/>
          <w:color w:val="000000" w:themeColor="text1"/>
          <w:kern w:val="0"/>
          <w:szCs w:val="21"/>
        </w:rPr>
      </w:pPr>
    </w:p>
    <w:p w:rsidR="000730DF" w:rsidRPr="00C1794C" w:rsidRDefault="007B19DB">
      <w:pPr>
        <w:spacing w:line="480" w:lineRule="exact"/>
        <w:ind w:firstLineChars="200" w:firstLine="422"/>
        <w:jc w:val="center"/>
        <w:rPr>
          <w:rFonts w:ascii="宋体" w:hAnsi="宋体" w:cs="宋体"/>
          <w:b/>
          <w:bCs/>
          <w:color w:val="000000" w:themeColor="text1"/>
          <w:kern w:val="0"/>
          <w:szCs w:val="21"/>
        </w:rPr>
      </w:pPr>
      <w:r w:rsidRPr="00C1794C">
        <w:rPr>
          <w:rFonts w:ascii="宋体" w:hAnsi="宋体" w:cs="宋体" w:hint="eastAsia"/>
          <w:b/>
          <w:bCs/>
          <w:color w:val="000000" w:themeColor="text1"/>
          <w:kern w:val="0"/>
          <w:szCs w:val="21"/>
        </w:rPr>
        <w:lastRenderedPageBreak/>
        <w:t>表7  2020年居民人均可支配收入及其增长速度</w:t>
      </w:r>
    </w:p>
    <w:tbl>
      <w:tblPr>
        <w:tblW w:w="8140" w:type="dxa"/>
        <w:jc w:val="center"/>
        <w:tblLayout w:type="fixed"/>
        <w:tblCellMar>
          <w:top w:w="15" w:type="dxa"/>
          <w:left w:w="15" w:type="dxa"/>
          <w:bottom w:w="15" w:type="dxa"/>
          <w:right w:w="15" w:type="dxa"/>
        </w:tblCellMar>
        <w:tblLook w:val="04A0"/>
      </w:tblPr>
      <w:tblGrid>
        <w:gridCol w:w="1890"/>
        <w:gridCol w:w="985"/>
        <w:gridCol w:w="1087"/>
        <w:gridCol w:w="985"/>
        <w:gridCol w:w="1118"/>
        <w:gridCol w:w="985"/>
        <w:gridCol w:w="1090"/>
      </w:tblGrid>
      <w:tr w:rsidR="000730DF" w:rsidRPr="00C1794C" w:rsidTr="00C1794C">
        <w:trPr>
          <w:trHeight w:val="555"/>
          <w:jc w:val="center"/>
        </w:trPr>
        <w:tc>
          <w:tcPr>
            <w:tcW w:w="1890" w:type="dxa"/>
            <w:vMerge w:val="restart"/>
            <w:tcBorders>
              <w:top w:val="single" w:sz="4" w:space="0" w:color="000000"/>
              <w:bottom w:val="single" w:sz="4" w:space="0" w:color="000000"/>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指标</w:t>
            </w:r>
          </w:p>
        </w:tc>
        <w:tc>
          <w:tcPr>
            <w:tcW w:w="2072" w:type="dxa"/>
            <w:gridSpan w:val="2"/>
            <w:tcBorders>
              <w:top w:val="single" w:sz="4" w:space="0" w:color="000000"/>
              <w:left w:val="single" w:sz="4" w:space="0" w:color="000000"/>
              <w:bottom w:val="single" w:sz="4" w:space="0" w:color="000000"/>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全区常住居民</w:t>
            </w:r>
          </w:p>
        </w:tc>
        <w:tc>
          <w:tcPr>
            <w:tcW w:w="2103" w:type="dxa"/>
            <w:gridSpan w:val="2"/>
            <w:tcBorders>
              <w:top w:val="single" w:sz="4" w:space="0" w:color="000000"/>
              <w:left w:val="single" w:sz="4" w:space="0" w:color="000000"/>
              <w:bottom w:val="single" w:sz="4" w:space="0" w:color="000000"/>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城镇常住居民</w:t>
            </w:r>
          </w:p>
        </w:tc>
        <w:tc>
          <w:tcPr>
            <w:tcW w:w="2075" w:type="dxa"/>
            <w:gridSpan w:val="2"/>
            <w:tcBorders>
              <w:top w:val="single" w:sz="4" w:space="0" w:color="000000"/>
              <w:left w:val="single" w:sz="4" w:space="0" w:color="000000"/>
              <w:bottom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村常住居民</w:t>
            </w:r>
          </w:p>
        </w:tc>
      </w:tr>
      <w:tr w:rsidR="000730DF" w:rsidRPr="00C1794C" w:rsidTr="00C1794C">
        <w:trPr>
          <w:trHeight w:val="936"/>
          <w:jc w:val="center"/>
        </w:trPr>
        <w:tc>
          <w:tcPr>
            <w:tcW w:w="1890" w:type="dxa"/>
            <w:vMerge/>
            <w:tcBorders>
              <w:top w:val="single" w:sz="4" w:space="0" w:color="000000"/>
              <w:bottom w:val="single" w:sz="4" w:space="0" w:color="000000"/>
              <w:right w:val="single" w:sz="4" w:space="0" w:color="000000"/>
            </w:tcBorders>
            <w:vAlign w:val="center"/>
          </w:tcPr>
          <w:p w:rsidR="000730DF" w:rsidRPr="00C1794C" w:rsidRDefault="000730DF">
            <w:pPr>
              <w:spacing w:line="480" w:lineRule="exact"/>
              <w:ind w:firstLineChars="200" w:firstLine="420"/>
              <w:jc w:val="center"/>
              <w:rPr>
                <w:rFonts w:ascii="宋体" w:hAnsi="宋体" w:cs="宋体"/>
                <w:color w:val="000000" w:themeColor="text1"/>
                <w:szCs w:val="21"/>
              </w:rPr>
            </w:pPr>
          </w:p>
        </w:tc>
        <w:tc>
          <w:tcPr>
            <w:tcW w:w="985" w:type="dxa"/>
            <w:tcBorders>
              <w:top w:val="single" w:sz="4" w:space="0" w:color="000000"/>
              <w:left w:val="single" w:sz="4" w:space="0" w:color="000000"/>
              <w:bottom w:val="single" w:sz="4" w:space="0" w:color="auto"/>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绝对量（元）</w:t>
            </w:r>
          </w:p>
        </w:tc>
        <w:tc>
          <w:tcPr>
            <w:tcW w:w="1087" w:type="dxa"/>
            <w:tcBorders>
              <w:top w:val="single" w:sz="4" w:space="0" w:color="000000"/>
              <w:left w:val="single" w:sz="4" w:space="0" w:color="000000"/>
              <w:bottom w:val="single" w:sz="4" w:space="0" w:color="auto"/>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比上年增长（%）</w:t>
            </w:r>
          </w:p>
        </w:tc>
        <w:tc>
          <w:tcPr>
            <w:tcW w:w="985" w:type="dxa"/>
            <w:tcBorders>
              <w:top w:val="single" w:sz="4" w:space="0" w:color="000000"/>
              <w:left w:val="single" w:sz="4" w:space="0" w:color="000000"/>
              <w:bottom w:val="single" w:sz="4" w:space="0" w:color="auto"/>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绝对量（元）</w:t>
            </w:r>
          </w:p>
        </w:tc>
        <w:tc>
          <w:tcPr>
            <w:tcW w:w="1118" w:type="dxa"/>
            <w:tcBorders>
              <w:top w:val="single" w:sz="4" w:space="0" w:color="000000"/>
              <w:left w:val="single" w:sz="4" w:space="0" w:color="000000"/>
              <w:bottom w:val="single" w:sz="4" w:space="0" w:color="auto"/>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比上年增长（%）</w:t>
            </w:r>
          </w:p>
        </w:tc>
        <w:tc>
          <w:tcPr>
            <w:tcW w:w="985" w:type="dxa"/>
            <w:tcBorders>
              <w:top w:val="single" w:sz="4" w:space="0" w:color="000000"/>
              <w:left w:val="single" w:sz="4" w:space="0" w:color="000000"/>
              <w:bottom w:val="single" w:sz="4" w:space="0" w:color="auto"/>
              <w:right w:val="single" w:sz="4" w:space="0" w:color="000000"/>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绝对量（元）</w:t>
            </w:r>
          </w:p>
        </w:tc>
        <w:tc>
          <w:tcPr>
            <w:tcW w:w="1090" w:type="dxa"/>
            <w:tcBorders>
              <w:top w:val="single" w:sz="4" w:space="0" w:color="000000"/>
              <w:left w:val="single" w:sz="4" w:space="0" w:color="000000"/>
              <w:bottom w:val="single" w:sz="4" w:space="0" w:color="auto"/>
            </w:tcBorders>
            <w:vAlign w:val="center"/>
          </w:tcPr>
          <w:p w:rsidR="000730DF" w:rsidRPr="00C1794C" w:rsidRDefault="007B19DB">
            <w:pPr>
              <w:widowControl/>
              <w:spacing w:line="480" w:lineRule="exact"/>
              <w:jc w:val="center"/>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比上年增长（%）</w:t>
            </w:r>
          </w:p>
        </w:tc>
      </w:tr>
      <w:tr w:rsidR="000730DF" w:rsidRPr="00C1794C" w:rsidTr="00C1794C">
        <w:trPr>
          <w:trHeight w:val="555"/>
          <w:jc w:val="center"/>
        </w:trPr>
        <w:tc>
          <w:tcPr>
            <w:tcW w:w="1890" w:type="dxa"/>
            <w:tcBorders>
              <w:bottom w:val="single" w:sz="4" w:space="0" w:color="000000"/>
              <w:right w:val="single" w:sz="4" w:space="0" w:color="auto"/>
            </w:tcBorders>
            <w:shd w:val="clear" w:color="auto" w:fill="auto"/>
            <w:vAlign w:val="center"/>
          </w:tcPr>
          <w:p w:rsidR="000730DF" w:rsidRPr="00C1794C" w:rsidRDefault="007B19DB">
            <w:pPr>
              <w:widowControl/>
              <w:spacing w:line="480" w:lineRule="exact"/>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人均可支配收入</w:t>
            </w:r>
          </w:p>
        </w:tc>
        <w:tc>
          <w:tcPr>
            <w:tcW w:w="985" w:type="dxa"/>
            <w:tcBorders>
              <w:top w:val="single" w:sz="4" w:space="0" w:color="auto"/>
              <w:left w:val="single" w:sz="4" w:space="0" w:color="auto"/>
              <w:bottom w:val="nil"/>
              <w:right w:val="nil"/>
            </w:tcBorders>
            <w:shd w:val="clear" w:color="auto" w:fill="auto"/>
            <w:vAlign w:val="center"/>
          </w:tcPr>
          <w:p w:rsidR="000730DF" w:rsidRPr="00C1794C" w:rsidRDefault="007B19DB">
            <w:pPr>
              <w:widowControl/>
              <w:spacing w:line="480" w:lineRule="exact"/>
              <w:ind w:firstLineChars="200" w:firstLine="420"/>
              <w:jc w:val="right"/>
              <w:rPr>
                <w:rFonts w:ascii="宋体" w:hAnsi="宋体" w:cs="宋体"/>
                <w:color w:val="000000" w:themeColor="text1"/>
                <w:kern w:val="0"/>
                <w:szCs w:val="21"/>
              </w:rPr>
            </w:pPr>
            <w:r w:rsidRPr="00C1794C">
              <w:rPr>
                <w:rFonts w:ascii="宋体" w:hAnsi="宋体" w:cs="宋体" w:hint="eastAsia"/>
                <w:color w:val="000000" w:themeColor="text1"/>
                <w:szCs w:val="21"/>
              </w:rPr>
              <w:t>31973</w:t>
            </w:r>
          </w:p>
        </w:tc>
        <w:tc>
          <w:tcPr>
            <w:tcW w:w="1087" w:type="dxa"/>
            <w:tcBorders>
              <w:top w:val="single" w:sz="4" w:space="0" w:color="auto"/>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7.2</w:t>
            </w:r>
          </w:p>
        </w:tc>
        <w:tc>
          <w:tcPr>
            <w:tcW w:w="985" w:type="dxa"/>
            <w:tcBorders>
              <w:top w:val="single" w:sz="4" w:space="0" w:color="auto"/>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40489</w:t>
            </w:r>
          </w:p>
        </w:tc>
        <w:tc>
          <w:tcPr>
            <w:tcW w:w="1118" w:type="dxa"/>
            <w:tcBorders>
              <w:top w:val="single" w:sz="4" w:space="0" w:color="auto"/>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5.5</w:t>
            </w:r>
          </w:p>
        </w:tc>
        <w:tc>
          <w:tcPr>
            <w:tcW w:w="985" w:type="dxa"/>
            <w:tcBorders>
              <w:top w:val="single" w:sz="4" w:space="0" w:color="auto"/>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20034</w:t>
            </w:r>
          </w:p>
        </w:tc>
        <w:tc>
          <w:tcPr>
            <w:tcW w:w="1090" w:type="dxa"/>
            <w:tcBorders>
              <w:top w:val="single" w:sz="4" w:space="0" w:color="auto"/>
              <w:left w:val="nil"/>
              <w:bottom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7.3</w:t>
            </w:r>
          </w:p>
        </w:tc>
      </w:tr>
      <w:tr w:rsidR="000730DF" w:rsidRPr="00C1794C" w:rsidTr="00C1794C">
        <w:trPr>
          <w:trHeight w:val="555"/>
          <w:jc w:val="center"/>
        </w:trPr>
        <w:tc>
          <w:tcPr>
            <w:tcW w:w="1890" w:type="dxa"/>
            <w:tcBorders>
              <w:top w:val="single" w:sz="4" w:space="0" w:color="000000"/>
              <w:bottom w:val="single" w:sz="4" w:space="0" w:color="000000"/>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工资性收入</w:t>
            </w:r>
          </w:p>
        </w:tc>
        <w:tc>
          <w:tcPr>
            <w:tcW w:w="985" w:type="dxa"/>
            <w:tcBorders>
              <w:top w:val="nil"/>
              <w:left w:val="single" w:sz="4" w:space="0" w:color="auto"/>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16885</w:t>
            </w:r>
          </w:p>
        </w:tc>
        <w:tc>
          <w:tcPr>
            <w:tcW w:w="1087"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7.9</w:t>
            </w:r>
          </w:p>
        </w:tc>
        <w:tc>
          <w:tcPr>
            <w:tcW w:w="985"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23982</w:t>
            </w:r>
          </w:p>
        </w:tc>
        <w:tc>
          <w:tcPr>
            <w:tcW w:w="1118"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5.7</w:t>
            </w:r>
          </w:p>
        </w:tc>
        <w:tc>
          <w:tcPr>
            <w:tcW w:w="985"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6936</w:t>
            </w:r>
          </w:p>
        </w:tc>
        <w:tc>
          <w:tcPr>
            <w:tcW w:w="1090" w:type="dxa"/>
            <w:tcBorders>
              <w:top w:val="nil"/>
              <w:left w:val="nil"/>
              <w:bottom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7.4</w:t>
            </w:r>
          </w:p>
        </w:tc>
      </w:tr>
      <w:tr w:rsidR="000730DF" w:rsidRPr="00C1794C" w:rsidTr="00C1794C">
        <w:trPr>
          <w:trHeight w:val="555"/>
          <w:jc w:val="center"/>
        </w:trPr>
        <w:tc>
          <w:tcPr>
            <w:tcW w:w="1890" w:type="dxa"/>
            <w:tcBorders>
              <w:top w:val="single" w:sz="4" w:space="0" w:color="000000"/>
              <w:bottom w:val="single" w:sz="4" w:space="0" w:color="000000"/>
              <w:right w:val="single" w:sz="4" w:space="0" w:color="auto"/>
            </w:tcBorders>
            <w:shd w:val="clear" w:color="auto" w:fill="auto"/>
            <w:vAlign w:val="center"/>
          </w:tcPr>
          <w:p w:rsidR="000730DF" w:rsidRPr="00C1794C" w:rsidRDefault="007B19DB">
            <w:pPr>
              <w:widowControl/>
              <w:spacing w:line="480" w:lineRule="exact"/>
              <w:ind w:firstLineChars="200" w:firstLine="420"/>
              <w:textAlignment w:val="center"/>
              <w:rPr>
                <w:rFonts w:ascii="宋体" w:hAnsi="宋体" w:cs="宋体"/>
                <w:color w:val="000000" w:themeColor="text1"/>
                <w:kern w:val="0"/>
                <w:szCs w:val="21"/>
              </w:rPr>
            </w:pPr>
            <w:r w:rsidRPr="00C1794C">
              <w:rPr>
                <w:rFonts w:ascii="宋体" w:hAnsi="宋体" w:cs="宋体" w:hint="eastAsia"/>
                <w:color w:val="000000" w:themeColor="text1"/>
                <w:kern w:val="0"/>
                <w:szCs w:val="21"/>
              </w:rPr>
              <w:t>经营净收入</w:t>
            </w:r>
          </w:p>
        </w:tc>
        <w:tc>
          <w:tcPr>
            <w:tcW w:w="985" w:type="dxa"/>
            <w:tcBorders>
              <w:top w:val="nil"/>
              <w:left w:val="single" w:sz="4" w:space="0" w:color="auto"/>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5506</w:t>
            </w:r>
          </w:p>
        </w:tc>
        <w:tc>
          <w:tcPr>
            <w:tcW w:w="1087"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5.7</w:t>
            </w:r>
          </w:p>
        </w:tc>
        <w:tc>
          <w:tcPr>
            <w:tcW w:w="985"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4523</w:t>
            </w:r>
          </w:p>
        </w:tc>
        <w:tc>
          <w:tcPr>
            <w:tcW w:w="1118"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5.5</w:t>
            </w:r>
          </w:p>
        </w:tc>
        <w:tc>
          <w:tcPr>
            <w:tcW w:w="985"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6883</w:t>
            </w:r>
          </w:p>
        </w:tc>
        <w:tc>
          <w:tcPr>
            <w:tcW w:w="1090" w:type="dxa"/>
            <w:tcBorders>
              <w:top w:val="nil"/>
              <w:left w:val="nil"/>
              <w:bottom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7.4</w:t>
            </w:r>
          </w:p>
        </w:tc>
      </w:tr>
      <w:tr w:rsidR="000730DF" w:rsidRPr="00C1794C" w:rsidTr="00C1794C">
        <w:trPr>
          <w:trHeight w:val="555"/>
          <w:jc w:val="center"/>
        </w:trPr>
        <w:tc>
          <w:tcPr>
            <w:tcW w:w="1890" w:type="dxa"/>
            <w:tcBorders>
              <w:top w:val="single" w:sz="4" w:space="0" w:color="000000"/>
              <w:bottom w:val="single" w:sz="4" w:space="0" w:color="000000"/>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财产净收入</w:t>
            </w:r>
          </w:p>
        </w:tc>
        <w:tc>
          <w:tcPr>
            <w:tcW w:w="985" w:type="dxa"/>
            <w:tcBorders>
              <w:top w:val="nil"/>
              <w:left w:val="single" w:sz="4" w:space="0" w:color="auto"/>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1706</w:t>
            </w:r>
          </w:p>
        </w:tc>
        <w:tc>
          <w:tcPr>
            <w:tcW w:w="1087"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7.2</w:t>
            </w:r>
          </w:p>
        </w:tc>
        <w:tc>
          <w:tcPr>
            <w:tcW w:w="985"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2729</w:t>
            </w:r>
          </w:p>
        </w:tc>
        <w:tc>
          <w:tcPr>
            <w:tcW w:w="1118" w:type="dxa"/>
            <w:tcBorders>
              <w:top w:val="nil"/>
              <w:left w:val="nil"/>
              <w:bottom w:val="nil"/>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4.3</w:t>
            </w:r>
          </w:p>
        </w:tc>
        <w:tc>
          <w:tcPr>
            <w:tcW w:w="985" w:type="dxa"/>
            <w:tcBorders>
              <w:top w:val="nil"/>
              <w:left w:val="nil"/>
              <w:bottom w:val="nil"/>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271</w:t>
            </w:r>
          </w:p>
        </w:tc>
        <w:tc>
          <w:tcPr>
            <w:tcW w:w="1090" w:type="dxa"/>
            <w:tcBorders>
              <w:top w:val="nil"/>
              <w:left w:val="nil"/>
              <w:bottom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6.7</w:t>
            </w:r>
          </w:p>
        </w:tc>
      </w:tr>
      <w:tr w:rsidR="000730DF" w:rsidRPr="00C1794C" w:rsidTr="00C1794C">
        <w:trPr>
          <w:trHeight w:val="582"/>
          <w:jc w:val="center"/>
        </w:trPr>
        <w:tc>
          <w:tcPr>
            <w:tcW w:w="1890" w:type="dxa"/>
            <w:tcBorders>
              <w:top w:val="single" w:sz="4" w:space="0" w:color="000000"/>
              <w:bottom w:val="single" w:sz="4" w:space="0" w:color="000000"/>
              <w:right w:val="single" w:sz="4" w:space="0" w:color="auto"/>
            </w:tcBorders>
            <w:shd w:val="clear" w:color="auto" w:fill="auto"/>
            <w:vAlign w:val="center"/>
          </w:tcPr>
          <w:p w:rsidR="000730DF" w:rsidRPr="00C1794C" w:rsidRDefault="007B19DB">
            <w:pPr>
              <w:widowControl/>
              <w:spacing w:line="480" w:lineRule="exact"/>
              <w:ind w:firstLineChars="200" w:firstLine="420"/>
              <w:jc w:val="left"/>
              <w:textAlignment w:val="center"/>
              <w:rPr>
                <w:rFonts w:ascii="宋体" w:hAnsi="宋体" w:cs="宋体"/>
                <w:color w:val="000000" w:themeColor="text1"/>
                <w:szCs w:val="21"/>
              </w:rPr>
            </w:pPr>
            <w:r w:rsidRPr="00C1794C">
              <w:rPr>
                <w:rFonts w:ascii="宋体" w:hAnsi="宋体" w:cs="宋体" w:hint="eastAsia"/>
                <w:color w:val="000000" w:themeColor="text1"/>
                <w:kern w:val="0"/>
                <w:szCs w:val="21"/>
              </w:rPr>
              <w:t>转移净收入</w:t>
            </w:r>
          </w:p>
        </w:tc>
        <w:tc>
          <w:tcPr>
            <w:tcW w:w="985" w:type="dxa"/>
            <w:tcBorders>
              <w:top w:val="nil"/>
              <w:left w:val="single" w:sz="4" w:space="0" w:color="auto"/>
              <w:bottom w:val="single" w:sz="4" w:space="0" w:color="auto"/>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7876</w:t>
            </w:r>
          </w:p>
        </w:tc>
        <w:tc>
          <w:tcPr>
            <w:tcW w:w="1087" w:type="dxa"/>
            <w:tcBorders>
              <w:top w:val="nil"/>
              <w:left w:val="nil"/>
              <w:bottom w:val="single" w:sz="4" w:space="0" w:color="auto"/>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6.9</w:t>
            </w:r>
          </w:p>
        </w:tc>
        <w:tc>
          <w:tcPr>
            <w:tcW w:w="985" w:type="dxa"/>
            <w:tcBorders>
              <w:top w:val="nil"/>
              <w:left w:val="nil"/>
              <w:bottom w:val="single" w:sz="4" w:space="0" w:color="auto"/>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9255</w:t>
            </w:r>
          </w:p>
        </w:tc>
        <w:tc>
          <w:tcPr>
            <w:tcW w:w="1118" w:type="dxa"/>
            <w:tcBorders>
              <w:top w:val="nil"/>
              <w:left w:val="nil"/>
              <w:bottom w:val="single" w:sz="4" w:space="0" w:color="auto"/>
              <w:right w:val="nil"/>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5.6</w:t>
            </w:r>
          </w:p>
        </w:tc>
        <w:tc>
          <w:tcPr>
            <w:tcW w:w="985" w:type="dxa"/>
            <w:tcBorders>
              <w:top w:val="nil"/>
              <w:left w:val="nil"/>
              <w:bottom w:val="single" w:sz="4" w:space="0" w:color="auto"/>
              <w:right w:val="nil"/>
            </w:tcBorders>
            <w:shd w:val="clear" w:color="auto" w:fill="auto"/>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5944</w:t>
            </w:r>
          </w:p>
        </w:tc>
        <w:tc>
          <w:tcPr>
            <w:tcW w:w="1090" w:type="dxa"/>
            <w:tcBorders>
              <w:top w:val="nil"/>
              <w:left w:val="nil"/>
              <w:bottom w:val="single" w:sz="4" w:space="0" w:color="auto"/>
            </w:tcBorders>
            <w:shd w:val="clear" w:color="auto" w:fill="FFFFFF"/>
            <w:vAlign w:val="center"/>
          </w:tcPr>
          <w:p w:rsidR="000730DF" w:rsidRPr="00C1794C" w:rsidRDefault="007B19DB">
            <w:pPr>
              <w:spacing w:line="480" w:lineRule="exact"/>
              <w:ind w:firstLineChars="200" w:firstLine="420"/>
              <w:jc w:val="right"/>
              <w:rPr>
                <w:rFonts w:ascii="宋体" w:hAnsi="宋体" w:cs="宋体"/>
                <w:color w:val="000000" w:themeColor="text1"/>
                <w:szCs w:val="21"/>
              </w:rPr>
            </w:pPr>
            <w:r w:rsidRPr="00C1794C">
              <w:rPr>
                <w:rFonts w:ascii="宋体" w:hAnsi="宋体" w:cs="宋体" w:hint="eastAsia"/>
                <w:color w:val="000000" w:themeColor="text1"/>
                <w:szCs w:val="21"/>
              </w:rPr>
              <w:t>7.1</w:t>
            </w:r>
          </w:p>
        </w:tc>
      </w:tr>
    </w:tbl>
    <w:p w:rsidR="000730DF" w:rsidRPr="00C1794C" w:rsidRDefault="007B19DB">
      <w:pPr>
        <w:pStyle w:val="a7"/>
        <w:tabs>
          <w:tab w:val="left" w:pos="1081"/>
        </w:tabs>
        <w:spacing w:before="0" w:beforeAutospacing="0" w:after="0" w:afterAutospacing="0" w:line="480" w:lineRule="exact"/>
        <w:ind w:right="44" w:firstLineChars="200" w:firstLine="420"/>
        <w:jc w:val="both"/>
        <w:rPr>
          <w:rStyle w:val="a8"/>
          <w:b w:val="0"/>
          <w:color w:val="000000" w:themeColor="text1"/>
          <w:sz w:val="21"/>
          <w:szCs w:val="21"/>
        </w:rPr>
      </w:pPr>
      <w:r w:rsidRPr="00C1794C">
        <w:rPr>
          <w:rStyle w:val="a8"/>
          <w:rFonts w:hint="eastAsia"/>
          <w:b w:val="0"/>
          <w:color w:val="000000" w:themeColor="text1"/>
          <w:sz w:val="21"/>
          <w:szCs w:val="21"/>
        </w:rPr>
        <w:t>社会保障建设稳步推进。全区城乡居民社会养老保险参保人数34.80万人，比上年下降0.03%。参加城镇企业职工基本养老保险人数为145462人，比上年增长16.8%。城镇登记失业人数4729人，城镇登记失业率3.41%。参加失业保险职工人数63624人，增长23.7%；领取失业保险人数2183人，增长20.7%。参加工伤保险人数147459人，增长8.2%。全区城镇职工基本医疗保险参保人数117828人，增长13.2%。城乡居民合作医疗保险参保人数653318人，下降2.3%；全年城乡居民合作医疗基金总支出58099万元，增长5.8%。生育保险参保人数72488人，增长21.0％。</w:t>
      </w:r>
    </w:p>
    <w:p w:rsidR="000730DF" w:rsidRPr="00C1794C" w:rsidRDefault="007B19DB">
      <w:pPr>
        <w:pStyle w:val="a7"/>
        <w:spacing w:before="0" w:beforeAutospacing="0" w:after="0" w:afterAutospacing="0" w:line="480" w:lineRule="exact"/>
        <w:ind w:left="44" w:right="44" w:firstLineChars="200" w:firstLine="422"/>
        <w:jc w:val="both"/>
        <w:rPr>
          <w:b/>
          <w:color w:val="000000" w:themeColor="text1"/>
          <w:kern w:val="2"/>
          <w:sz w:val="21"/>
          <w:szCs w:val="21"/>
        </w:rPr>
      </w:pPr>
      <w:r w:rsidRPr="00C1794C">
        <w:rPr>
          <w:rFonts w:hint="eastAsia"/>
          <w:b/>
          <w:color w:val="000000" w:themeColor="text1"/>
          <w:kern w:val="2"/>
          <w:sz w:val="21"/>
          <w:szCs w:val="21"/>
        </w:rPr>
        <w:t>十、教育、科学技术和文化</w:t>
      </w:r>
    </w:p>
    <w:p w:rsidR="000730DF" w:rsidRPr="00C1794C" w:rsidRDefault="007B19DB">
      <w:pPr>
        <w:pStyle w:val="a7"/>
        <w:spacing w:before="0" w:beforeAutospacing="0" w:after="0" w:afterAutospacing="0" w:line="480" w:lineRule="exact"/>
        <w:ind w:left="44" w:right="44" w:firstLineChars="200" w:firstLine="420"/>
        <w:jc w:val="both"/>
        <w:rPr>
          <w:color w:val="000000" w:themeColor="text1"/>
          <w:kern w:val="2"/>
          <w:sz w:val="21"/>
          <w:szCs w:val="21"/>
        </w:rPr>
      </w:pPr>
      <w:r w:rsidRPr="00C1794C">
        <w:rPr>
          <w:rFonts w:hint="eastAsia"/>
          <w:color w:val="000000" w:themeColor="text1"/>
          <w:kern w:val="2"/>
          <w:sz w:val="21"/>
          <w:szCs w:val="21"/>
        </w:rPr>
        <w:t>全区共有区属各类学校295所。其中，普通中学 20所（含4所高完中），中等职业学校1所，小学121所，幼儿园151所，特殊学校１所。在职教职工8476人，其中公办教师6214人，民办教师2262人。中等职业学校招生2357人，在校生5850人，毕业生1645人；普通高中招生4774人，在校生14127人，毕业生4804人；普通初中招生8927人，在校生26420人，毕业生8723人；小学招生6696人，在校生43721人，毕业生8895人；学前教育招生9133人，在校生20018人，毕业生9022人；特殊学校招生13人，在校生186人，毕业生4人。2020年全年全区初中入学率为100%，小学的入学率为100%。</w:t>
      </w:r>
    </w:p>
    <w:p w:rsidR="00D210CE" w:rsidRDefault="00D210CE">
      <w:pPr>
        <w:pStyle w:val="a7"/>
        <w:spacing w:before="0" w:beforeAutospacing="0" w:after="0" w:afterAutospacing="0" w:line="480" w:lineRule="exact"/>
        <w:ind w:left="44" w:right="44" w:firstLineChars="200" w:firstLine="420"/>
        <w:jc w:val="both"/>
        <w:rPr>
          <w:color w:val="000000" w:themeColor="text1"/>
          <w:kern w:val="2"/>
          <w:sz w:val="21"/>
          <w:szCs w:val="21"/>
        </w:rPr>
      </w:pPr>
    </w:p>
    <w:p w:rsidR="000730DF" w:rsidRPr="00C1794C" w:rsidRDefault="007B19DB">
      <w:pPr>
        <w:pStyle w:val="a7"/>
        <w:spacing w:before="0" w:beforeAutospacing="0" w:after="0" w:afterAutospacing="0" w:line="480" w:lineRule="exact"/>
        <w:ind w:left="44" w:right="44" w:firstLineChars="200" w:firstLine="420"/>
        <w:jc w:val="both"/>
        <w:rPr>
          <w:color w:val="000000" w:themeColor="text1"/>
          <w:kern w:val="2"/>
          <w:sz w:val="21"/>
          <w:szCs w:val="21"/>
        </w:rPr>
      </w:pPr>
      <w:r w:rsidRPr="00C1794C">
        <w:rPr>
          <w:rFonts w:hint="eastAsia"/>
          <w:noProof/>
          <w:color w:val="000000" w:themeColor="text1"/>
          <w:sz w:val="21"/>
          <w:szCs w:val="21"/>
        </w:rPr>
        <w:lastRenderedPageBreak/>
        <w:drawing>
          <wp:anchor distT="0" distB="0" distL="0" distR="0" simplePos="0" relativeHeight="251664384" behindDoc="0" locked="0" layoutInCell="1" allowOverlap="1">
            <wp:simplePos x="0" y="0"/>
            <wp:positionH relativeFrom="column">
              <wp:posOffset>372745</wp:posOffset>
            </wp:positionH>
            <wp:positionV relativeFrom="paragraph">
              <wp:posOffset>241300</wp:posOffset>
            </wp:positionV>
            <wp:extent cx="5100320" cy="2546350"/>
            <wp:effectExtent l="4445" t="4445" r="19685" b="20955"/>
            <wp:wrapTopAndBottom/>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C1794C">
        <w:rPr>
          <w:rFonts w:hint="eastAsia"/>
          <w:color w:val="000000" w:themeColor="text1"/>
          <w:kern w:val="2"/>
          <w:sz w:val="21"/>
          <w:szCs w:val="21"/>
        </w:rPr>
        <w:t>全年高新技术企业103家，高新技术产品52个。全年获得专利授权875件。</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全区共有中国驰名商标3件；地理标志量7件。</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全区共有文化馆1个，图书馆1个，剧场、影剧院5个，体育场馆2998个。有线电视用户15.87万户。出版发行报纸128.60亿份，出版发行期刊142198份。</w:t>
      </w:r>
    </w:p>
    <w:p w:rsidR="000730DF" w:rsidRPr="00C1794C" w:rsidRDefault="007B19DB">
      <w:pPr>
        <w:pStyle w:val="a7"/>
        <w:spacing w:before="0" w:beforeAutospacing="0" w:after="0" w:afterAutospacing="0" w:line="480" w:lineRule="exact"/>
        <w:ind w:left="45" w:right="45" w:firstLineChars="200" w:firstLine="422"/>
        <w:jc w:val="both"/>
        <w:rPr>
          <w:b/>
          <w:color w:val="000000" w:themeColor="text1"/>
          <w:kern w:val="2"/>
          <w:sz w:val="21"/>
          <w:szCs w:val="21"/>
        </w:rPr>
      </w:pPr>
      <w:r w:rsidRPr="00C1794C">
        <w:rPr>
          <w:rFonts w:hint="eastAsia"/>
          <w:b/>
          <w:color w:val="000000" w:themeColor="text1"/>
          <w:kern w:val="2"/>
          <w:sz w:val="21"/>
          <w:szCs w:val="21"/>
        </w:rPr>
        <w:t>十一、卫生和社会服务</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年末全区共有各级各类医疗卫生机构419个，其中，医院12个，乡镇卫生院15个，社区卫生服务中心6个，诊所类（含门诊部、医务室）140个，村卫生室241个，疾病预防控制中心1个，卫生健康行政综合执法支队1个，中心血库1个，妇幼保健院1个，卫生健康培训学校1所。共有医疗卫生机构实有床位数4258张。全区共有卫生技术人员5171人，其中执业医师和执业助理医师2037人，注册护士2283人。</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年末全区共有9779户16884人享受城乡居民最低生活保障，比上年增加2439人，增长16.9%，其中城镇居民最低生活保障4031户，比上年增加205户，城镇居民最低生活保障人数为6323人，比上年增加401人；农村居民最低生活保障5748户，比上年增加967户，农村居民最低生活保障人数为10561人，比上年增加2038人。全年共救助城乡低保对象16884人，发放低保金8964万元，其中农村低保发放4960万元，城镇低保发放4004万元。农村特困人员救助供养人数5157人。</w:t>
      </w:r>
    </w:p>
    <w:p w:rsidR="000730DF" w:rsidRPr="00C1794C" w:rsidRDefault="007B19DB">
      <w:pPr>
        <w:pStyle w:val="a7"/>
        <w:spacing w:before="0" w:beforeAutospacing="0" w:after="0" w:afterAutospacing="0" w:line="480" w:lineRule="exact"/>
        <w:ind w:left="45" w:right="45" w:firstLineChars="200" w:firstLine="420"/>
        <w:jc w:val="both"/>
        <w:rPr>
          <w:color w:val="000000" w:themeColor="text1"/>
          <w:kern w:val="2"/>
          <w:sz w:val="21"/>
          <w:szCs w:val="21"/>
        </w:rPr>
      </w:pPr>
      <w:r w:rsidRPr="00C1794C">
        <w:rPr>
          <w:rFonts w:hint="eastAsia"/>
          <w:color w:val="000000" w:themeColor="text1"/>
          <w:kern w:val="2"/>
          <w:sz w:val="21"/>
          <w:szCs w:val="21"/>
        </w:rPr>
        <w:t>城市居民最低生活保障标准为620元/月，农村居民最低生活保障标准为496元/月，分别比上年增长6.9%和12.7%。</w:t>
      </w:r>
    </w:p>
    <w:p w:rsidR="000730DF" w:rsidRPr="00C1794C" w:rsidRDefault="007B19DB">
      <w:pPr>
        <w:pStyle w:val="a7"/>
        <w:spacing w:before="0" w:beforeAutospacing="0" w:after="0" w:afterAutospacing="0" w:line="480" w:lineRule="exact"/>
        <w:ind w:left="44" w:right="44" w:firstLineChars="200" w:firstLine="422"/>
        <w:jc w:val="both"/>
        <w:rPr>
          <w:b/>
          <w:color w:val="000000" w:themeColor="text1"/>
          <w:kern w:val="2"/>
          <w:sz w:val="21"/>
          <w:szCs w:val="21"/>
        </w:rPr>
      </w:pPr>
      <w:r w:rsidRPr="00C1794C">
        <w:rPr>
          <w:rFonts w:hint="eastAsia"/>
          <w:b/>
          <w:color w:val="000000" w:themeColor="text1"/>
          <w:kern w:val="2"/>
          <w:sz w:val="21"/>
          <w:szCs w:val="21"/>
        </w:rPr>
        <w:t>十二、资源和安全生产</w:t>
      </w:r>
    </w:p>
    <w:p w:rsidR="000730DF" w:rsidRPr="00C1794C" w:rsidRDefault="007B19DB">
      <w:pPr>
        <w:pStyle w:val="a7"/>
        <w:spacing w:before="0" w:beforeAutospacing="0" w:after="0" w:afterAutospacing="0" w:line="480" w:lineRule="exact"/>
        <w:ind w:left="44" w:right="44" w:firstLineChars="200" w:firstLine="420"/>
        <w:jc w:val="both"/>
        <w:rPr>
          <w:rStyle w:val="a8"/>
          <w:b w:val="0"/>
          <w:color w:val="000000" w:themeColor="text1"/>
          <w:sz w:val="21"/>
          <w:szCs w:val="21"/>
        </w:rPr>
      </w:pPr>
      <w:r w:rsidRPr="00C1794C">
        <w:rPr>
          <w:rFonts w:hint="eastAsia"/>
          <w:color w:val="000000" w:themeColor="text1"/>
          <w:kern w:val="2"/>
          <w:sz w:val="21"/>
          <w:szCs w:val="21"/>
        </w:rPr>
        <w:t>当年降水量1122毫米，比上年增长14.3%。</w:t>
      </w:r>
      <w:r w:rsidRPr="00C1794C">
        <w:rPr>
          <w:rStyle w:val="a8"/>
          <w:rFonts w:hint="eastAsia"/>
          <w:b w:val="0"/>
          <w:bCs/>
          <w:color w:val="000000" w:themeColor="text1"/>
          <w:sz w:val="21"/>
          <w:szCs w:val="21"/>
        </w:rPr>
        <w:t>建成区园林绿化覆盖面积1576.85公顷。</w:t>
      </w:r>
    </w:p>
    <w:p w:rsidR="000730DF" w:rsidRPr="00C1794C" w:rsidRDefault="007B19DB">
      <w:pPr>
        <w:pStyle w:val="a7"/>
        <w:spacing w:before="0" w:beforeAutospacing="0" w:after="0" w:afterAutospacing="0" w:line="480" w:lineRule="exact"/>
        <w:ind w:left="44" w:right="44" w:firstLineChars="200" w:firstLine="420"/>
        <w:jc w:val="both"/>
        <w:rPr>
          <w:rStyle w:val="a8"/>
          <w:b w:val="0"/>
          <w:color w:val="000000" w:themeColor="text1"/>
          <w:sz w:val="21"/>
          <w:szCs w:val="21"/>
        </w:rPr>
      </w:pPr>
      <w:r w:rsidRPr="00C1794C">
        <w:rPr>
          <w:rStyle w:val="a8"/>
          <w:rFonts w:hint="eastAsia"/>
          <w:b w:val="0"/>
          <w:color w:val="000000" w:themeColor="text1"/>
          <w:sz w:val="21"/>
          <w:szCs w:val="21"/>
        </w:rPr>
        <w:lastRenderedPageBreak/>
        <w:t>全年全区全社会用电量13.70亿千瓦时，增长8.4%。其中城乡居民生活用电4.49亿千瓦时</w:t>
      </w:r>
      <w:r w:rsidRPr="00823708">
        <w:rPr>
          <w:rStyle w:val="a8"/>
          <w:rFonts w:hint="eastAsia"/>
          <w:color w:val="000000" w:themeColor="text1"/>
          <w:sz w:val="21"/>
          <w:szCs w:val="21"/>
        </w:rPr>
        <w:t>，</w:t>
      </w:r>
      <w:r w:rsidRPr="00C1794C">
        <w:rPr>
          <w:rStyle w:val="a8"/>
          <w:rFonts w:hint="eastAsia"/>
          <w:b w:val="0"/>
          <w:color w:val="000000" w:themeColor="text1"/>
          <w:sz w:val="21"/>
          <w:szCs w:val="21"/>
        </w:rPr>
        <w:t>增长8.5%；工业用电量6.79亿千瓦时，增长9.2%。</w:t>
      </w:r>
    </w:p>
    <w:p w:rsidR="000730DF" w:rsidRPr="00C1794C" w:rsidRDefault="007B19DB">
      <w:pPr>
        <w:pStyle w:val="a7"/>
        <w:spacing w:before="0" w:beforeAutospacing="0" w:after="0" w:afterAutospacing="0" w:line="480" w:lineRule="exact"/>
        <w:ind w:left="44" w:right="44" w:firstLineChars="200" w:firstLine="420"/>
        <w:jc w:val="both"/>
        <w:rPr>
          <w:rStyle w:val="a8"/>
          <w:b w:val="0"/>
          <w:color w:val="000000" w:themeColor="text1"/>
          <w:sz w:val="21"/>
          <w:szCs w:val="21"/>
        </w:rPr>
      </w:pPr>
      <w:r w:rsidRPr="00C1794C">
        <w:rPr>
          <w:rStyle w:val="a8"/>
          <w:rFonts w:hint="eastAsia"/>
          <w:b w:val="0"/>
          <w:color w:val="000000" w:themeColor="text1"/>
          <w:sz w:val="21"/>
          <w:szCs w:val="21"/>
        </w:rPr>
        <w:t>2020年全区共发生11起生产安全死亡事故，死亡12人。同比事故起数减少4起，下降26.7%；死亡人数减少3人，下降20.0%。其中，道路运输行业发生5起客货运道路运输事故，死亡5人。</w:t>
      </w:r>
    </w:p>
    <w:p w:rsidR="000730DF" w:rsidRPr="00C1794C" w:rsidRDefault="000730DF">
      <w:pPr>
        <w:pStyle w:val="a7"/>
        <w:spacing w:before="0" w:beforeAutospacing="0" w:after="0" w:afterAutospacing="0" w:line="520" w:lineRule="exact"/>
        <w:ind w:leftChars="62" w:left="130" w:right="45" w:firstLineChars="200" w:firstLine="420"/>
        <w:rPr>
          <w:color w:val="000000" w:themeColor="text1"/>
          <w:sz w:val="21"/>
          <w:szCs w:val="21"/>
        </w:rPr>
      </w:pPr>
    </w:p>
    <w:p w:rsidR="000730DF" w:rsidRPr="00C1794C" w:rsidRDefault="000730DF">
      <w:pPr>
        <w:pStyle w:val="a7"/>
        <w:spacing w:before="0" w:beforeAutospacing="0" w:after="0" w:afterAutospacing="0" w:line="520" w:lineRule="exact"/>
        <w:ind w:leftChars="62" w:left="130" w:right="45" w:firstLineChars="200" w:firstLine="420"/>
        <w:rPr>
          <w:color w:val="000000" w:themeColor="text1"/>
          <w:sz w:val="21"/>
          <w:szCs w:val="21"/>
        </w:rPr>
      </w:pPr>
    </w:p>
    <w:p w:rsidR="000730DF" w:rsidRPr="00C1794C" w:rsidRDefault="000730DF">
      <w:pPr>
        <w:pStyle w:val="a7"/>
        <w:spacing w:before="0" w:beforeAutospacing="0" w:after="0" w:afterAutospacing="0" w:line="520" w:lineRule="exact"/>
        <w:ind w:leftChars="62" w:left="130" w:right="45" w:firstLineChars="200" w:firstLine="420"/>
        <w:rPr>
          <w:color w:val="000000" w:themeColor="text1"/>
          <w:sz w:val="21"/>
          <w:szCs w:val="21"/>
        </w:rPr>
      </w:pPr>
    </w:p>
    <w:p w:rsidR="000730DF" w:rsidRPr="00C1794C" w:rsidRDefault="000730DF">
      <w:pPr>
        <w:pStyle w:val="a7"/>
        <w:spacing w:before="0" w:beforeAutospacing="0" w:after="0" w:afterAutospacing="0" w:line="520" w:lineRule="exact"/>
        <w:ind w:leftChars="62" w:left="130" w:right="45" w:firstLineChars="200" w:firstLine="420"/>
        <w:rPr>
          <w:color w:val="000000" w:themeColor="text1"/>
          <w:sz w:val="21"/>
          <w:szCs w:val="21"/>
        </w:rPr>
      </w:pPr>
    </w:p>
    <w:p w:rsidR="000730DF" w:rsidRPr="00C1794C" w:rsidRDefault="000730DF">
      <w:pPr>
        <w:pStyle w:val="a7"/>
        <w:spacing w:before="0" w:beforeAutospacing="0" w:after="0" w:afterAutospacing="0" w:line="520" w:lineRule="exact"/>
        <w:ind w:right="45" w:firstLineChars="200" w:firstLine="420"/>
        <w:rPr>
          <w:color w:val="000000" w:themeColor="text1"/>
          <w:sz w:val="21"/>
          <w:szCs w:val="21"/>
        </w:rPr>
      </w:pPr>
    </w:p>
    <w:p w:rsidR="000730DF" w:rsidRPr="00C1794C" w:rsidRDefault="000730DF">
      <w:pPr>
        <w:pStyle w:val="a7"/>
        <w:spacing w:before="0" w:beforeAutospacing="0" w:after="0" w:afterAutospacing="0" w:line="520" w:lineRule="exact"/>
        <w:ind w:right="45"/>
        <w:rPr>
          <w:color w:val="000000" w:themeColor="text1"/>
          <w:sz w:val="21"/>
          <w:szCs w:val="21"/>
        </w:rPr>
      </w:pP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注：</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1、本公报中2020年的数据均为初步统计数，最终数据以《2021荣昌统计年鉴》为准。肉类产量为上报数。部分数据因四舍五入的原因，存在着与分项不等的情况。</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2、2016-2018年地区生产总值、各产业增加值根据第四次经济普查资料进行了修订，绝对数按现价计算，增长速度按可比价计算。</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3、规模以上工业、有资质的建筑业、限额以上批发零售业、限额以上住宿和餐饮业、全部房地产开发经营业、规模以上服务业等行业统计标准：</w:t>
      </w:r>
    </w:p>
    <w:p w:rsidR="000730DF" w:rsidRPr="00C1794C" w:rsidRDefault="007B19DB">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规模以上工业：</w:t>
      </w:r>
      <w:r w:rsidRPr="00C1794C">
        <w:rPr>
          <w:rFonts w:hint="eastAsia"/>
          <w:color w:val="000000" w:themeColor="text1"/>
          <w:sz w:val="18"/>
          <w:szCs w:val="18"/>
        </w:rPr>
        <w:t>年主营业务收入2000万元及以上的工业法人企业。</w:t>
      </w:r>
    </w:p>
    <w:p w:rsidR="000730DF" w:rsidRPr="00C1794C" w:rsidRDefault="007B19DB">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有资质的建筑业：</w:t>
      </w:r>
      <w:r w:rsidRPr="00C1794C">
        <w:rPr>
          <w:rFonts w:hint="eastAsia"/>
          <w:color w:val="000000" w:themeColor="text1"/>
          <w:sz w:val="18"/>
          <w:szCs w:val="18"/>
        </w:rPr>
        <w:t>有总承包、专业承包和劳务分包资质的建筑业法人单位。</w:t>
      </w:r>
    </w:p>
    <w:p w:rsidR="000730DF" w:rsidRPr="00C1794C" w:rsidRDefault="007B19DB">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限额以上批发和零售业：</w:t>
      </w:r>
      <w:r w:rsidRPr="00C1794C">
        <w:rPr>
          <w:rFonts w:hint="eastAsia"/>
          <w:color w:val="000000" w:themeColor="text1"/>
          <w:sz w:val="18"/>
          <w:szCs w:val="18"/>
        </w:rPr>
        <w:t>年主营业务收入2000万元及以上的批发业、年主营业务收入500万元及以上的零售业法人单位。</w:t>
      </w:r>
    </w:p>
    <w:p w:rsidR="000730DF" w:rsidRPr="00C1794C" w:rsidRDefault="007B19DB">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限额以上住宿和餐饮业：</w:t>
      </w:r>
      <w:r w:rsidRPr="00C1794C">
        <w:rPr>
          <w:rFonts w:hint="eastAsia"/>
          <w:color w:val="000000" w:themeColor="text1"/>
          <w:sz w:val="18"/>
          <w:szCs w:val="18"/>
        </w:rPr>
        <w:t>年主营业务收入200万元及以上的住宿和餐饮业法人单位。</w:t>
      </w:r>
    </w:p>
    <w:p w:rsidR="000730DF" w:rsidRPr="00C1794C" w:rsidRDefault="007B19DB">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房地产开发经营业：</w:t>
      </w:r>
      <w:r w:rsidRPr="00C1794C">
        <w:rPr>
          <w:rFonts w:hint="eastAsia"/>
          <w:color w:val="000000" w:themeColor="text1"/>
          <w:sz w:val="18"/>
          <w:szCs w:val="18"/>
        </w:rPr>
        <w:t>全部房地产开发经营业法人单位。</w:t>
      </w:r>
    </w:p>
    <w:p w:rsidR="000730DF" w:rsidRPr="00C1794C" w:rsidRDefault="007B19DB">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规模以上服务业：</w:t>
      </w:r>
      <w:r w:rsidRPr="00C1794C">
        <w:rPr>
          <w:rFonts w:hint="eastAsia"/>
          <w:color w:val="000000" w:themeColor="text1"/>
          <w:sz w:val="18"/>
          <w:szCs w:val="18"/>
        </w:rPr>
        <w:t>一定规模以上的服务业法人单位。包括：交通运输、仓储和邮政业，信息传输、软件和信息技术服务服务业，租赁和商务服务业，科学研究和技术服务业，水利、环境和公共设施管理业，居民服务、修理和其他服务业，教育，卫生和社会工作，文化、体育和娱乐业，物业管理、房地产中介服务等行业。</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4、基础设施投资指用于电力、燃气及水的生产和供应业，交通运输和邮政业，电信和其他信息传输服务业，水利、环境和公共设施管理业等的投资。</w:t>
      </w:r>
    </w:p>
    <w:p w:rsidR="00AC673A"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lastRenderedPageBreak/>
        <w:t>5、</w:t>
      </w:r>
      <w:r w:rsidRPr="00C1794C">
        <w:rPr>
          <w:rFonts w:hint="eastAsia"/>
          <w:b/>
          <w:color w:val="000000" w:themeColor="text1"/>
          <w:sz w:val="18"/>
          <w:szCs w:val="18"/>
        </w:rPr>
        <w:t>常住人口</w:t>
      </w:r>
      <w:r w:rsidRPr="00C1794C">
        <w:rPr>
          <w:rFonts w:hint="eastAsia"/>
          <w:color w:val="000000" w:themeColor="text1"/>
          <w:sz w:val="18"/>
          <w:szCs w:val="18"/>
        </w:rPr>
        <w:t xml:space="preserve"> 是指在本乡镇（街道）居住半年以上的人口，或虽居住不满半年但离开户口登记地半年以上人口以及户口待定人口。</w:t>
      </w:r>
    </w:p>
    <w:p w:rsidR="00AC673A"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6、</w:t>
      </w:r>
      <w:r w:rsidRPr="00C1794C">
        <w:rPr>
          <w:rFonts w:hint="eastAsia"/>
          <w:b/>
          <w:color w:val="000000" w:themeColor="text1"/>
          <w:sz w:val="18"/>
          <w:szCs w:val="18"/>
        </w:rPr>
        <w:t>户籍人口</w:t>
      </w:r>
      <w:r w:rsidRPr="00C1794C">
        <w:rPr>
          <w:rFonts w:hint="eastAsia"/>
          <w:color w:val="000000" w:themeColor="text1"/>
          <w:sz w:val="18"/>
          <w:szCs w:val="18"/>
        </w:rPr>
        <w:t xml:space="preserve"> 是指公民依照《中华人民共和国户口登记条例》，已在其经常居住地的公安户籍管理机关登记了常住户口的人。这类人口不管其是否外出，也不管外出时间长短，只要在某地注册有常住户口，则为该地区的户籍人口。户籍人口数一般是通过公安部门的经常性统计月报或年报取得的。</w:t>
      </w:r>
    </w:p>
    <w:p w:rsidR="00AC673A"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7、</w:t>
      </w:r>
      <w:r w:rsidRPr="00C1794C">
        <w:rPr>
          <w:rFonts w:hint="eastAsia"/>
          <w:b/>
          <w:color w:val="000000" w:themeColor="text1"/>
          <w:sz w:val="18"/>
          <w:szCs w:val="18"/>
        </w:rPr>
        <w:t>可支配收入</w:t>
      </w:r>
      <w:r w:rsidRPr="00C1794C">
        <w:rPr>
          <w:rFonts w:hint="eastAsia"/>
          <w:color w:val="000000" w:themeColor="text1"/>
          <w:sz w:val="18"/>
          <w:szCs w:val="18"/>
        </w:rPr>
        <w:t xml:space="preserve"> 是指调查户在调查期内获得的、可用于最终消费支出和储蓄的总和，即调查户可以用来自由支配的收入。可支配收入既包括现金，也包括实物收入。按照收入的来源，可支配收入包含四项，分别为：工资性收入、经营净收入、财产净收入和转移净收入。计算公式为：</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可支配收入=工资性收入+经营净收入+财产净收入+转移净收入</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其中：经营净收入=经营收入-经营费用-生产性固定资产折旧-生产税净额（生产税-生产补贴）</w:t>
      </w:r>
    </w:p>
    <w:p w:rsidR="000730DF" w:rsidRPr="00C1794C" w:rsidRDefault="007B19DB">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财产净收入=财产性收入-财产性支出</w:t>
      </w:r>
    </w:p>
    <w:p w:rsidR="00AC673A" w:rsidRDefault="007B19DB" w:rsidP="00AC673A">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转移净收入=转移性收入-转移性支出</w:t>
      </w:r>
    </w:p>
    <w:p w:rsidR="00AC673A" w:rsidRDefault="007B19DB" w:rsidP="00AC673A">
      <w:pPr>
        <w:pStyle w:val="a7"/>
        <w:spacing w:before="0" w:beforeAutospacing="0" w:after="0" w:afterAutospacing="0" w:line="480" w:lineRule="exact"/>
        <w:ind w:leftChars="62" w:left="130" w:right="45" w:firstLineChars="200" w:firstLine="361"/>
        <w:rPr>
          <w:color w:val="000000" w:themeColor="text1"/>
          <w:sz w:val="18"/>
          <w:szCs w:val="18"/>
        </w:rPr>
      </w:pPr>
      <w:r w:rsidRPr="00C1794C">
        <w:rPr>
          <w:rFonts w:hint="eastAsia"/>
          <w:b/>
          <w:color w:val="000000" w:themeColor="text1"/>
          <w:sz w:val="18"/>
          <w:szCs w:val="18"/>
        </w:rPr>
        <w:t>8、恩格尔系数</w:t>
      </w:r>
      <w:r w:rsidRPr="00C1794C">
        <w:rPr>
          <w:rFonts w:hint="eastAsia"/>
          <w:color w:val="000000" w:themeColor="text1"/>
          <w:sz w:val="18"/>
          <w:szCs w:val="18"/>
        </w:rPr>
        <w:t xml:space="preserve"> 是指居民食品消费支出占全部消费支出的比重。</w:t>
      </w:r>
    </w:p>
    <w:p w:rsidR="00AC673A" w:rsidRDefault="007B19DB" w:rsidP="00AC673A">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9、公报中水资源数据为初步数据。</w:t>
      </w:r>
    </w:p>
    <w:p w:rsidR="00AC673A" w:rsidRDefault="007B19DB" w:rsidP="00AC673A">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10、教育数据中没有包括西南大学荣昌校区、益民技校、永荣技校。</w:t>
      </w:r>
    </w:p>
    <w:p w:rsidR="00AC673A" w:rsidRDefault="007B19DB" w:rsidP="00AC673A">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11、部份数据由于计量单位取舍不同而产生的计算误差未作机械调整。</w:t>
      </w:r>
    </w:p>
    <w:p w:rsidR="00AC673A" w:rsidRDefault="007B19DB" w:rsidP="00AC673A">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12、资料来源：</w:t>
      </w:r>
    </w:p>
    <w:p w:rsidR="000730DF" w:rsidRPr="00C1794C" w:rsidRDefault="007B19DB" w:rsidP="00AC673A">
      <w:pPr>
        <w:pStyle w:val="a7"/>
        <w:spacing w:before="0" w:beforeAutospacing="0" w:after="0" w:afterAutospacing="0" w:line="480" w:lineRule="exact"/>
        <w:ind w:leftChars="62" w:left="130" w:right="45" w:firstLineChars="200" w:firstLine="360"/>
        <w:rPr>
          <w:color w:val="000000" w:themeColor="text1"/>
          <w:sz w:val="18"/>
          <w:szCs w:val="18"/>
        </w:rPr>
      </w:pPr>
      <w:r w:rsidRPr="00C1794C">
        <w:rPr>
          <w:rFonts w:hint="eastAsia"/>
          <w:color w:val="000000" w:themeColor="text1"/>
          <w:sz w:val="18"/>
          <w:szCs w:val="18"/>
        </w:rPr>
        <w:t>本公报中户籍人口、交通运输事故死亡数据来自区公安局；就业、失业、社会保障数据来自区人力社保局、医保数据来自区医保局；各类市场主体、商标数据来自区市场监管局；财政、金融、保险数据来自区财政局；教育数据来自区教委；农村危旧房改造、城市棚户区数据来自区住房城乡建委；进出口、利用外资数据来自区商务委；交通运输数据来自区交通局；邮政数据来自区邮政荣昌分公司；用电量来自区经济信息委；通信数据来自区大数据发展局；旅游数据来自区旅游景区管委会；科技、专利数据来自区科技局；文化数据来自区文化旅游委会；卫生数据来自区卫生健康委；最低生活保障标准数据来自区民政局；水资源数据来自区水利局；部分资源数据来自区城管局；安全生产事故数据来自区应急局；其他数据来自区统计局。</w:t>
      </w:r>
    </w:p>
    <w:p w:rsidR="000730DF" w:rsidRPr="00C1794C" w:rsidRDefault="000730DF">
      <w:pPr>
        <w:pStyle w:val="a7"/>
        <w:spacing w:before="0" w:beforeAutospacing="0" w:after="0" w:afterAutospacing="0" w:line="480" w:lineRule="exact"/>
        <w:ind w:firstLineChars="200" w:firstLine="360"/>
        <w:jc w:val="both"/>
        <w:rPr>
          <w:rFonts w:cs="仿宋"/>
          <w:color w:val="000000" w:themeColor="text1"/>
          <w:sz w:val="18"/>
          <w:szCs w:val="18"/>
        </w:rPr>
      </w:pPr>
    </w:p>
    <w:sectPr w:rsidR="000730DF" w:rsidRPr="00C1794C" w:rsidSect="00C1794C">
      <w:headerReference w:type="even" r:id="rId15"/>
      <w:headerReference w:type="default" r:id="rId16"/>
      <w:footerReference w:type="even" r:id="rId17"/>
      <w:footerReference w:type="default" r:id="rId18"/>
      <w:pgSz w:w="11906" w:h="16838" w:code="9"/>
      <w:pgMar w:top="1701" w:right="1418" w:bottom="1418" w:left="1418" w:header="1134" w:footer="113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C10" w:rsidRDefault="00CD2C10" w:rsidP="000730DF">
      <w:r>
        <w:separator/>
      </w:r>
    </w:p>
  </w:endnote>
  <w:endnote w:type="continuationSeparator" w:id="1">
    <w:p w:rsidR="00CD2C10" w:rsidRDefault="00CD2C10" w:rsidP="00073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宋三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0DF" w:rsidRDefault="007B19DB">
    <w:r>
      <w:rPr>
        <w:rStyle w:val="a9"/>
        <w:rFonts w:hint="eastAsia"/>
      </w:rPr>
      <w:t>-</w:t>
    </w:r>
    <w:r w:rsidR="002F1FF4">
      <w:rPr>
        <w:rStyle w:val="a9"/>
      </w:rPr>
      <w:fldChar w:fldCharType="begin"/>
    </w:r>
    <w:r>
      <w:rPr>
        <w:rStyle w:val="a9"/>
      </w:rPr>
      <w:instrText xml:space="preserve">PAGE  </w:instrText>
    </w:r>
    <w:r w:rsidR="002F1FF4">
      <w:rPr>
        <w:rStyle w:val="a9"/>
      </w:rPr>
      <w:fldChar w:fldCharType="separate"/>
    </w:r>
    <w:r w:rsidR="00376B57">
      <w:rPr>
        <w:rStyle w:val="a9"/>
        <w:noProof/>
      </w:rPr>
      <w:t>14</w:t>
    </w:r>
    <w:r w:rsidR="002F1FF4">
      <w:rPr>
        <w:rStyle w:val="a9"/>
      </w:rPr>
      <w:fldChar w:fldCharType="end"/>
    </w:r>
    <w:r>
      <w:rPr>
        <w:rStyle w:val="a9"/>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0DF" w:rsidRDefault="007B19DB">
    <w:pPr>
      <w:jc w:val="right"/>
      <w:rPr>
        <w:b/>
        <w:bCs/>
        <w:i/>
        <w:iCs/>
        <w:spacing w:val="5"/>
      </w:rPr>
    </w:pPr>
    <w:r>
      <w:rPr>
        <w:rStyle w:val="a9"/>
        <w:rFonts w:hint="eastAsia"/>
      </w:rPr>
      <w:t>-</w:t>
    </w:r>
    <w:r w:rsidR="002F1FF4">
      <w:rPr>
        <w:rStyle w:val="a9"/>
      </w:rPr>
      <w:fldChar w:fldCharType="begin"/>
    </w:r>
    <w:r>
      <w:rPr>
        <w:rStyle w:val="a9"/>
      </w:rPr>
      <w:instrText xml:space="preserve">PAGE  </w:instrText>
    </w:r>
    <w:r w:rsidR="002F1FF4">
      <w:rPr>
        <w:rStyle w:val="a9"/>
      </w:rPr>
      <w:fldChar w:fldCharType="separate"/>
    </w:r>
    <w:r w:rsidR="00376B57">
      <w:rPr>
        <w:rStyle w:val="a9"/>
        <w:noProof/>
      </w:rPr>
      <w:t>13</w:t>
    </w:r>
    <w:r w:rsidR="002F1FF4">
      <w:rPr>
        <w:rStyle w:val="a9"/>
      </w:rPr>
      <w:fldChar w:fldCharType="end"/>
    </w:r>
    <w:r>
      <w:rPr>
        <w:rStyle w:val="a9"/>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C10" w:rsidRDefault="00CD2C10" w:rsidP="000730DF">
      <w:r>
        <w:separator/>
      </w:r>
    </w:p>
  </w:footnote>
  <w:footnote w:type="continuationSeparator" w:id="1">
    <w:p w:rsidR="00CD2C10" w:rsidRDefault="00CD2C10" w:rsidP="000730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CE" w:rsidRDefault="00D210CE">
    <w:pPr>
      <w:rPr>
        <w:rFonts w:ascii="宋体" w:hAnsi="宋体"/>
        <w:b/>
        <w:sz w:val="18"/>
        <w:szCs w:val="18"/>
      </w:rPr>
    </w:pPr>
  </w:p>
  <w:p w:rsidR="000730DF" w:rsidRPr="00D210CE" w:rsidRDefault="002F1FF4">
    <w:pPr>
      <w:rPr>
        <w:rFonts w:ascii="方正黑体简体" w:eastAsia="方正黑体简体" w:hAnsi="宋体"/>
        <w:sz w:val="18"/>
        <w:szCs w:val="18"/>
      </w:rPr>
    </w:pPr>
    <w:r>
      <w:rPr>
        <w:rFonts w:ascii="方正黑体简体" w:eastAsia="方正黑体简体" w:hAnsi="宋体"/>
        <w:noProof/>
        <w:sz w:val="18"/>
        <w:szCs w:val="18"/>
      </w:rPr>
      <w:pict>
        <v:shapetype id="_x0000_t202" coordsize="21600,21600" o:spt="202" path="m,l,21600r21600,l21600,xe">
          <v:stroke joinstyle="miter"/>
          <v:path gradientshapeok="t" o:connecttype="rect"/>
        </v:shapetype>
        <v:shape id="_x0000_s4100" type="#_x0000_t202" style="position:absolute;left:0;text-align:left;margin-left:-2.9pt;margin-top:-.25pt;width:51.05pt;height:25.8pt;z-index:251660288;mso-width-relative:margin;mso-height-relative:margin" filled="f" stroked="f">
          <v:textbox style="mso-next-textbox:#_x0000_s4100">
            <w:txbxContent>
              <w:p w:rsidR="00D210CE" w:rsidRPr="00D210CE" w:rsidRDefault="00D210CE" w:rsidP="00D210CE">
                <w:pPr>
                  <w:adjustRightInd w:val="0"/>
                  <w:snapToGrid w:val="0"/>
                  <w:rPr>
                    <w:rFonts w:ascii="方正小标宋简体" w:eastAsia="方正小标宋简体"/>
                    <w:i/>
                    <w:sz w:val="32"/>
                    <w:szCs w:val="32"/>
                  </w:rPr>
                </w:pPr>
                <w:r w:rsidRPr="00D210CE">
                  <w:rPr>
                    <w:rFonts w:ascii="方正小标宋简体" w:eastAsia="方正小标宋简体" w:hint="eastAsia"/>
                    <w:i/>
                    <w:sz w:val="32"/>
                    <w:szCs w:val="32"/>
                  </w:rPr>
                  <w:t>2021</w:t>
                </w:r>
              </w:p>
            </w:txbxContent>
          </v:textbox>
        </v:shape>
      </w:pict>
    </w:r>
    <w:r w:rsidR="00D210CE">
      <w:rPr>
        <w:rFonts w:ascii="方正黑体简体" w:eastAsia="方正黑体简体" w:hAnsi="宋体" w:hint="eastAsia"/>
        <w:sz w:val="18"/>
        <w:szCs w:val="18"/>
      </w:rPr>
      <w:t xml:space="preserve">          </w:t>
    </w:r>
    <w:r w:rsidR="007B19DB" w:rsidRPr="00D210CE">
      <w:rPr>
        <w:rFonts w:ascii="方正黑体简体" w:eastAsia="方正黑体简体" w:hAnsi="宋体" w:hint="eastAsia"/>
        <w:sz w:val="18"/>
        <w:szCs w:val="18"/>
      </w:rPr>
      <w:t>荣昌统计年鉴</w:t>
    </w:r>
  </w:p>
  <w:p w:rsidR="000730DF" w:rsidRPr="00D210CE" w:rsidRDefault="00D210CE">
    <w:pPr>
      <w:rPr>
        <w:rFonts w:ascii="方正宋三简体" w:eastAsia="方正宋三简体"/>
        <w:sz w:val="15"/>
        <w:szCs w:val="15"/>
      </w:rPr>
    </w:pPr>
    <w:r>
      <w:rPr>
        <w:rFonts w:ascii="宋体" w:hAnsi="宋体" w:hint="eastAsia"/>
        <w:sz w:val="11"/>
        <w:szCs w:val="11"/>
      </w:rPr>
      <w:t xml:space="preserve">                 </w:t>
    </w:r>
    <w:r w:rsidR="007B19DB" w:rsidRPr="00D210CE">
      <w:rPr>
        <w:rFonts w:ascii="方正宋三简体" w:eastAsia="方正宋三简体" w:hAnsi="宋体" w:hint="eastAsia"/>
        <w:sz w:val="15"/>
        <w:szCs w:val="15"/>
      </w:rPr>
      <w:t>RONGCHANG STATISTICAL YEARBOOK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518" w:rsidRDefault="002F1FF4" w:rsidP="003B0518">
    <w:pPr>
      <w:pStyle w:val="a6"/>
      <w:ind w:right="320"/>
      <w:jc w:val="left"/>
    </w:pPr>
    <w:r w:rsidRPr="002F1FF4">
      <w:rPr>
        <w:rFonts w:ascii="黑体" w:eastAsia="黑体"/>
        <w:color w:val="7F7F7F"/>
      </w:rPr>
      <w:pict>
        <v:group id="组合 7" o:spid="_x0000_s4102" style="position:absolute;margin-left:443.25pt;margin-top:.2pt;width:10.9pt;height:28.35pt;z-index:251662336" coordsize="218,567">
          <v:rect id="矩形 5" o:spid="_x0000_s4103" style="position:absolute;width:57;height:567" fillcolor="#a5a5a5" stroked="f"/>
          <v:rect id="矩形 6" o:spid="_x0000_s4104" style="position:absolute;left:105;width:113;height:567" fillcolor="#a5a5a5" stroked="f"/>
        </v:group>
      </w:pict>
    </w:r>
  </w:p>
  <w:p w:rsidR="000730DF" w:rsidRPr="003B0518" w:rsidRDefault="003B0518" w:rsidP="003B0518">
    <w:pPr>
      <w:pStyle w:val="10"/>
      <w:rPr>
        <w:rFonts w:ascii="黑体" w:eastAsia="黑体"/>
        <w:color w:val="7F7F7F"/>
      </w:rPr>
    </w:pPr>
    <w:r>
      <w:rPr>
        <w:rFonts w:ascii="黑体" w:eastAsia="黑体" w:hint="eastAsia"/>
        <w:color w:val="7F7F7F"/>
      </w:rPr>
      <w:t>——公报——</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10242" strokecolor="#739cc3">
      <v:fill angle="90" type="gradient">
        <o:fill v:ext="view" type="gradientUnscaled"/>
      </v:fill>
      <v:stroke color="#739cc3" weight="1.25pt"/>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5A7228"/>
    <w:rsid w:val="00004A20"/>
    <w:rsid w:val="00020DA6"/>
    <w:rsid w:val="00020EFD"/>
    <w:rsid w:val="000261AD"/>
    <w:rsid w:val="00030B05"/>
    <w:rsid w:val="000730DF"/>
    <w:rsid w:val="00074FB4"/>
    <w:rsid w:val="000757BB"/>
    <w:rsid w:val="000813C1"/>
    <w:rsid w:val="0008299D"/>
    <w:rsid w:val="00086926"/>
    <w:rsid w:val="00092800"/>
    <w:rsid w:val="000A1F33"/>
    <w:rsid w:val="000A24DB"/>
    <w:rsid w:val="000D2DC3"/>
    <w:rsid w:val="000E1FBA"/>
    <w:rsid w:val="000E2CD8"/>
    <w:rsid w:val="000F549A"/>
    <w:rsid w:val="0010048F"/>
    <w:rsid w:val="0010119F"/>
    <w:rsid w:val="001170CC"/>
    <w:rsid w:val="00117764"/>
    <w:rsid w:val="001214DE"/>
    <w:rsid w:val="001248B7"/>
    <w:rsid w:val="001376ED"/>
    <w:rsid w:val="00145C36"/>
    <w:rsid w:val="00165F6C"/>
    <w:rsid w:val="001767F4"/>
    <w:rsid w:val="00176A74"/>
    <w:rsid w:val="001A1ECF"/>
    <w:rsid w:val="001A2944"/>
    <w:rsid w:val="001B1460"/>
    <w:rsid w:val="001B1B7C"/>
    <w:rsid w:val="001B7716"/>
    <w:rsid w:val="001C5D40"/>
    <w:rsid w:val="001C7449"/>
    <w:rsid w:val="001D0C5A"/>
    <w:rsid w:val="001D3762"/>
    <w:rsid w:val="001E7A99"/>
    <w:rsid w:val="001F776B"/>
    <w:rsid w:val="00200B70"/>
    <w:rsid w:val="00226E13"/>
    <w:rsid w:val="002341C1"/>
    <w:rsid w:val="00234F7E"/>
    <w:rsid w:val="00236CA8"/>
    <w:rsid w:val="0023727C"/>
    <w:rsid w:val="00240BB9"/>
    <w:rsid w:val="00242260"/>
    <w:rsid w:val="00243241"/>
    <w:rsid w:val="00245391"/>
    <w:rsid w:val="002553C1"/>
    <w:rsid w:val="002943D8"/>
    <w:rsid w:val="002B360A"/>
    <w:rsid w:val="002B62F5"/>
    <w:rsid w:val="002C76FA"/>
    <w:rsid w:val="002D590F"/>
    <w:rsid w:val="002E097E"/>
    <w:rsid w:val="002E1372"/>
    <w:rsid w:val="002E5A45"/>
    <w:rsid w:val="002F1FF4"/>
    <w:rsid w:val="00304EDE"/>
    <w:rsid w:val="003069FE"/>
    <w:rsid w:val="0031231B"/>
    <w:rsid w:val="00312CE1"/>
    <w:rsid w:val="00316FA6"/>
    <w:rsid w:val="00317ED7"/>
    <w:rsid w:val="0032474B"/>
    <w:rsid w:val="003319FD"/>
    <w:rsid w:val="00334542"/>
    <w:rsid w:val="00347084"/>
    <w:rsid w:val="00347D92"/>
    <w:rsid w:val="00366E6A"/>
    <w:rsid w:val="003742BF"/>
    <w:rsid w:val="00376B57"/>
    <w:rsid w:val="00377065"/>
    <w:rsid w:val="0038365F"/>
    <w:rsid w:val="00383BE7"/>
    <w:rsid w:val="003B0518"/>
    <w:rsid w:val="003C5D54"/>
    <w:rsid w:val="003D3394"/>
    <w:rsid w:val="003D701D"/>
    <w:rsid w:val="003E5984"/>
    <w:rsid w:val="003F1305"/>
    <w:rsid w:val="003F3552"/>
    <w:rsid w:val="00400E97"/>
    <w:rsid w:val="00402243"/>
    <w:rsid w:val="0040673A"/>
    <w:rsid w:val="00411604"/>
    <w:rsid w:val="004138EA"/>
    <w:rsid w:val="00425527"/>
    <w:rsid w:val="00427D00"/>
    <w:rsid w:val="00433F50"/>
    <w:rsid w:val="004555D9"/>
    <w:rsid w:val="0045672D"/>
    <w:rsid w:val="004625ED"/>
    <w:rsid w:val="00495ABC"/>
    <w:rsid w:val="00496407"/>
    <w:rsid w:val="004A4D5D"/>
    <w:rsid w:val="004A4EB1"/>
    <w:rsid w:val="004A58CD"/>
    <w:rsid w:val="004B3DEB"/>
    <w:rsid w:val="004C710F"/>
    <w:rsid w:val="004E35B9"/>
    <w:rsid w:val="004E6BCA"/>
    <w:rsid w:val="00501229"/>
    <w:rsid w:val="00551733"/>
    <w:rsid w:val="00561033"/>
    <w:rsid w:val="0057192A"/>
    <w:rsid w:val="00575EF0"/>
    <w:rsid w:val="005A282E"/>
    <w:rsid w:val="005A7228"/>
    <w:rsid w:val="005C5CBC"/>
    <w:rsid w:val="005F0CA4"/>
    <w:rsid w:val="00631A5F"/>
    <w:rsid w:val="00634B2D"/>
    <w:rsid w:val="0064468C"/>
    <w:rsid w:val="00656B48"/>
    <w:rsid w:val="00666122"/>
    <w:rsid w:val="00673034"/>
    <w:rsid w:val="0068676F"/>
    <w:rsid w:val="006941A5"/>
    <w:rsid w:val="006948F0"/>
    <w:rsid w:val="006A64F7"/>
    <w:rsid w:val="006B1335"/>
    <w:rsid w:val="006C1D93"/>
    <w:rsid w:val="006C3AD5"/>
    <w:rsid w:val="006D080D"/>
    <w:rsid w:val="006D4B81"/>
    <w:rsid w:val="006D76CF"/>
    <w:rsid w:val="0072214F"/>
    <w:rsid w:val="007429E3"/>
    <w:rsid w:val="007512D2"/>
    <w:rsid w:val="00753893"/>
    <w:rsid w:val="00766A78"/>
    <w:rsid w:val="00766AC1"/>
    <w:rsid w:val="00771509"/>
    <w:rsid w:val="007763C0"/>
    <w:rsid w:val="0078016C"/>
    <w:rsid w:val="00791434"/>
    <w:rsid w:val="007B19DB"/>
    <w:rsid w:val="007C1E1D"/>
    <w:rsid w:val="007C719C"/>
    <w:rsid w:val="007D470E"/>
    <w:rsid w:val="007E21B7"/>
    <w:rsid w:val="007E3239"/>
    <w:rsid w:val="007F3D42"/>
    <w:rsid w:val="007F6A3A"/>
    <w:rsid w:val="008006E5"/>
    <w:rsid w:val="00810424"/>
    <w:rsid w:val="00815C2D"/>
    <w:rsid w:val="00816157"/>
    <w:rsid w:val="00816D2A"/>
    <w:rsid w:val="00823708"/>
    <w:rsid w:val="008269B4"/>
    <w:rsid w:val="00837726"/>
    <w:rsid w:val="00845F08"/>
    <w:rsid w:val="00850774"/>
    <w:rsid w:val="008716A8"/>
    <w:rsid w:val="00893CAF"/>
    <w:rsid w:val="00895537"/>
    <w:rsid w:val="008A2BB2"/>
    <w:rsid w:val="008A2C2F"/>
    <w:rsid w:val="008A550D"/>
    <w:rsid w:val="008B1F07"/>
    <w:rsid w:val="008D4132"/>
    <w:rsid w:val="008D4613"/>
    <w:rsid w:val="008E15E8"/>
    <w:rsid w:val="008F7E08"/>
    <w:rsid w:val="009036E2"/>
    <w:rsid w:val="0092693C"/>
    <w:rsid w:val="009320ED"/>
    <w:rsid w:val="009416B0"/>
    <w:rsid w:val="0094172E"/>
    <w:rsid w:val="00941E31"/>
    <w:rsid w:val="00961AEF"/>
    <w:rsid w:val="00964416"/>
    <w:rsid w:val="00964AEB"/>
    <w:rsid w:val="00966B62"/>
    <w:rsid w:val="00970879"/>
    <w:rsid w:val="0097095F"/>
    <w:rsid w:val="00982424"/>
    <w:rsid w:val="009A5ADD"/>
    <w:rsid w:val="009A7644"/>
    <w:rsid w:val="009C0A0D"/>
    <w:rsid w:val="009C5848"/>
    <w:rsid w:val="009C5C6A"/>
    <w:rsid w:val="009E07E8"/>
    <w:rsid w:val="009E5346"/>
    <w:rsid w:val="009E5C78"/>
    <w:rsid w:val="00A01FF1"/>
    <w:rsid w:val="00A15F7A"/>
    <w:rsid w:val="00A22311"/>
    <w:rsid w:val="00A24110"/>
    <w:rsid w:val="00A26C13"/>
    <w:rsid w:val="00A33527"/>
    <w:rsid w:val="00A55226"/>
    <w:rsid w:val="00A72D79"/>
    <w:rsid w:val="00A76F69"/>
    <w:rsid w:val="00A8275E"/>
    <w:rsid w:val="00A97F59"/>
    <w:rsid w:val="00AA51A2"/>
    <w:rsid w:val="00AA67D2"/>
    <w:rsid w:val="00AA7CDB"/>
    <w:rsid w:val="00AC05C8"/>
    <w:rsid w:val="00AC08EC"/>
    <w:rsid w:val="00AC3794"/>
    <w:rsid w:val="00AC673A"/>
    <w:rsid w:val="00AD00A6"/>
    <w:rsid w:val="00AD6037"/>
    <w:rsid w:val="00AF7D85"/>
    <w:rsid w:val="00B12EC0"/>
    <w:rsid w:val="00B17BEE"/>
    <w:rsid w:val="00B251DC"/>
    <w:rsid w:val="00B25F2D"/>
    <w:rsid w:val="00B26F41"/>
    <w:rsid w:val="00B72CC7"/>
    <w:rsid w:val="00B86A1C"/>
    <w:rsid w:val="00BB1005"/>
    <w:rsid w:val="00BC4357"/>
    <w:rsid w:val="00BE3D72"/>
    <w:rsid w:val="00BE4853"/>
    <w:rsid w:val="00BF205B"/>
    <w:rsid w:val="00BF681C"/>
    <w:rsid w:val="00C00668"/>
    <w:rsid w:val="00C02B49"/>
    <w:rsid w:val="00C03F9E"/>
    <w:rsid w:val="00C060FD"/>
    <w:rsid w:val="00C168EA"/>
    <w:rsid w:val="00C1794C"/>
    <w:rsid w:val="00C2218B"/>
    <w:rsid w:val="00C37AEC"/>
    <w:rsid w:val="00C6047F"/>
    <w:rsid w:val="00C70619"/>
    <w:rsid w:val="00C70A62"/>
    <w:rsid w:val="00C83504"/>
    <w:rsid w:val="00C94E31"/>
    <w:rsid w:val="00CB5C4C"/>
    <w:rsid w:val="00CC4D11"/>
    <w:rsid w:val="00CC68D6"/>
    <w:rsid w:val="00CD2C10"/>
    <w:rsid w:val="00CD7A99"/>
    <w:rsid w:val="00CF66EA"/>
    <w:rsid w:val="00D07F92"/>
    <w:rsid w:val="00D10983"/>
    <w:rsid w:val="00D148B4"/>
    <w:rsid w:val="00D210CE"/>
    <w:rsid w:val="00D251E8"/>
    <w:rsid w:val="00D44271"/>
    <w:rsid w:val="00D63A09"/>
    <w:rsid w:val="00D721C8"/>
    <w:rsid w:val="00D94814"/>
    <w:rsid w:val="00DB4070"/>
    <w:rsid w:val="00DD2BD8"/>
    <w:rsid w:val="00DD4242"/>
    <w:rsid w:val="00DE0005"/>
    <w:rsid w:val="00DE263F"/>
    <w:rsid w:val="00DE2A86"/>
    <w:rsid w:val="00DF5067"/>
    <w:rsid w:val="00E17596"/>
    <w:rsid w:val="00E200E0"/>
    <w:rsid w:val="00E44BB3"/>
    <w:rsid w:val="00E478CB"/>
    <w:rsid w:val="00E563B8"/>
    <w:rsid w:val="00E754FD"/>
    <w:rsid w:val="00E8160A"/>
    <w:rsid w:val="00E876EB"/>
    <w:rsid w:val="00E8797D"/>
    <w:rsid w:val="00E93EFA"/>
    <w:rsid w:val="00E95EE1"/>
    <w:rsid w:val="00EA1D51"/>
    <w:rsid w:val="00ED0F61"/>
    <w:rsid w:val="00EE2C7D"/>
    <w:rsid w:val="00EF11FD"/>
    <w:rsid w:val="00EF17C1"/>
    <w:rsid w:val="00EF36BA"/>
    <w:rsid w:val="00F333E7"/>
    <w:rsid w:val="00F45A3F"/>
    <w:rsid w:val="00F52BD7"/>
    <w:rsid w:val="00F65F2D"/>
    <w:rsid w:val="00F67C14"/>
    <w:rsid w:val="00F67C19"/>
    <w:rsid w:val="00F73FB0"/>
    <w:rsid w:val="00F76DE1"/>
    <w:rsid w:val="00FA3F14"/>
    <w:rsid w:val="00FB68E7"/>
    <w:rsid w:val="00FB7180"/>
    <w:rsid w:val="00FD52E4"/>
    <w:rsid w:val="00FD7028"/>
    <w:rsid w:val="00FE04E3"/>
    <w:rsid w:val="01C9417B"/>
    <w:rsid w:val="033433CD"/>
    <w:rsid w:val="04C50528"/>
    <w:rsid w:val="06E728E4"/>
    <w:rsid w:val="0A2552B4"/>
    <w:rsid w:val="0BE61692"/>
    <w:rsid w:val="0C0444C5"/>
    <w:rsid w:val="0E5258B9"/>
    <w:rsid w:val="0F5848BD"/>
    <w:rsid w:val="0FB278A4"/>
    <w:rsid w:val="10FC16EA"/>
    <w:rsid w:val="13021E3F"/>
    <w:rsid w:val="13465DAC"/>
    <w:rsid w:val="139513AE"/>
    <w:rsid w:val="14962256"/>
    <w:rsid w:val="14C804A6"/>
    <w:rsid w:val="162E3271"/>
    <w:rsid w:val="16F83DC9"/>
    <w:rsid w:val="198C19F9"/>
    <w:rsid w:val="1B0F4F57"/>
    <w:rsid w:val="1B8F4432"/>
    <w:rsid w:val="1F1220B1"/>
    <w:rsid w:val="1F375EA0"/>
    <w:rsid w:val="1FD707C9"/>
    <w:rsid w:val="200545EF"/>
    <w:rsid w:val="20664BB5"/>
    <w:rsid w:val="208A18F1"/>
    <w:rsid w:val="2222290C"/>
    <w:rsid w:val="23700030"/>
    <w:rsid w:val="259E0645"/>
    <w:rsid w:val="25F200CF"/>
    <w:rsid w:val="26537D14"/>
    <w:rsid w:val="285F54CF"/>
    <w:rsid w:val="2BA94BE7"/>
    <w:rsid w:val="2CE618B6"/>
    <w:rsid w:val="2DC76CFD"/>
    <w:rsid w:val="2E2F2B52"/>
    <w:rsid w:val="308419AE"/>
    <w:rsid w:val="308F4C3A"/>
    <w:rsid w:val="31F61B87"/>
    <w:rsid w:val="323E2ACC"/>
    <w:rsid w:val="33251AE9"/>
    <w:rsid w:val="363C4E06"/>
    <w:rsid w:val="36C21BE7"/>
    <w:rsid w:val="37820D4F"/>
    <w:rsid w:val="389B1F46"/>
    <w:rsid w:val="38E70267"/>
    <w:rsid w:val="39CE7FA1"/>
    <w:rsid w:val="3B732625"/>
    <w:rsid w:val="3BC14218"/>
    <w:rsid w:val="3CD134FA"/>
    <w:rsid w:val="41A6493B"/>
    <w:rsid w:val="450042C0"/>
    <w:rsid w:val="460E2D77"/>
    <w:rsid w:val="47CF49F6"/>
    <w:rsid w:val="48A40ED8"/>
    <w:rsid w:val="496F6108"/>
    <w:rsid w:val="4A5C030F"/>
    <w:rsid w:val="4A8F03B7"/>
    <w:rsid w:val="4AAA260D"/>
    <w:rsid w:val="4AF22A01"/>
    <w:rsid w:val="4D41354B"/>
    <w:rsid w:val="50795316"/>
    <w:rsid w:val="50887BD7"/>
    <w:rsid w:val="52935D52"/>
    <w:rsid w:val="52CA5AE0"/>
    <w:rsid w:val="5329368F"/>
    <w:rsid w:val="5340173E"/>
    <w:rsid w:val="53932FAA"/>
    <w:rsid w:val="53C16078"/>
    <w:rsid w:val="54680BE2"/>
    <w:rsid w:val="54CC782F"/>
    <w:rsid w:val="55B77B04"/>
    <w:rsid w:val="58A911FA"/>
    <w:rsid w:val="59243E89"/>
    <w:rsid w:val="59C741E6"/>
    <w:rsid w:val="59CB7C73"/>
    <w:rsid w:val="5B9B465A"/>
    <w:rsid w:val="5E2A018B"/>
    <w:rsid w:val="5F172392"/>
    <w:rsid w:val="62444AC8"/>
    <w:rsid w:val="641254F8"/>
    <w:rsid w:val="65790D87"/>
    <w:rsid w:val="68A60B90"/>
    <w:rsid w:val="705F10F1"/>
    <w:rsid w:val="72A662C9"/>
    <w:rsid w:val="73730B78"/>
    <w:rsid w:val="7490224A"/>
    <w:rsid w:val="77904DB5"/>
    <w:rsid w:val="77C2468B"/>
    <w:rsid w:val="7CF02C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0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0730DF"/>
    <w:pPr>
      <w:ind w:leftChars="2500" w:left="100"/>
    </w:pPr>
  </w:style>
  <w:style w:type="paragraph" w:styleId="a4">
    <w:name w:val="Balloon Text"/>
    <w:basedOn w:val="a"/>
    <w:link w:val="Char0"/>
    <w:uiPriority w:val="99"/>
    <w:unhideWhenUsed/>
    <w:qFormat/>
    <w:rsid w:val="000730DF"/>
    <w:rPr>
      <w:sz w:val="18"/>
      <w:szCs w:val="18"/>
    </w:rPr>
  </w:style>
  <w:style w:type="paragraph" w:styleId="a5">
    <w:name w:val="footer"/>
    <w:basedOn w:val="a"/>
    <w:link w:val="Char1"/>
    <w:unhideWhenUsed/>
    <w:qFormat/>
    <w:rsid w:val="000730DF"/>
    <w:pPr>
      <w:tabs>
        <w:tab w:val="center" w:pos="4153"/>
        <w:tab w:val="right" w:pos="8306"/>
      </w:tabs>
      <w:snapToGrid w:val="0"/>
      <w:jc w:val="left"/>
    </w:pPr>
    <w:rPr>
      <w:rFonts w:ascii="Calibri" w:hAnsi="Calibri" w:cs="黑体"/>
      <w:sz w:val="18"/>
      <w:szCs w:val="18"/>
    </w:rPr>
  </w:style>
  <w:style w:type="paragraph" w:styleId="a6">
    <w:name w:val="header"/>
    <w:basedOn w:val="a"/>
    <w:link w:val="Char2"/>
    <w:uiPriority w:val="99"/>
    <w:unhideWhenUsed/>
    <w:qFormat/>
    <w:rsid w:val="000730DF"/>
    <w:pPr>
      <w:tabs>
        <w:tab w:val="center" w:pos="4153"/>
        <w:tab w:val="right" w:pos="8306"/>
      </w:tabs>
      <w:snapToGrid w:val="0"/>
      <w:jc w:val="center"/>
    </w:pPr>
    <w:rPr>
      <w:rFonts w:ascii="Calibri" w:hAnsi="Calibri" w:cs="黑体"/>
      <w:sz w:val="18"/>
      <w:szCs w:val="18"/>
    </w:rPr>
  </w:style>
  <w:style w:type="paragraph" w:styleId="a7">
    <w:name w:val="Normal (Web)"/>
    <w:basedOn w:val="a"/>
    <w:qFormat/>
    <w:rsid w:val="000730DF"/>
    <w:pPr>
      <w:widowControl/>
      <w:spacing w:before="100" w:beforeAutospacing="1" w:after="100" w:afterAutospacing="1"/>
      <w:jc w:val="left"/>
    </w:pPr>
    <w:rPr>
      <w:rFonts w:ascii="宋体" w:hAnsi="宋体" w:cs="宋体"/>
      <w:kern w:val="0"/>
      <w:sz w:val="24"/>
    </w:rPr>
  </w:style>
  <w:style w:type="character" w:styleId="a8">
    <w:name w:val="Strong"/>
    <w:qFormat/>
    <w:rsid w:val="000730DF"/>
    <w:rPr>
      <w:b/>
    </w:rPr>
  </w:style>
  <w:style w:type="character" w:styleId="a9">
    <w:name w:val="page number"/>
    <w:basedOn w:val="a0"/>
    <w:qFormat/>
    <w:rsid w:val="000730DF"/>
  </w:style>
  <w:style w:type="character" w:customStyle="1" w:styleId="Char2">
    <w:name w:val="页眉 Char"/>
    <w:link w:val="a6"/>
    <w:uiPriority w:val="99"/>
    <w:qFormat/>
    <w:rsid w:val="000730DF"/>
    <w:rPr>
      <w:rFonts w:ascii="Calibri" w:hAnsi="Calibri" w:cs="黑体"/>
      <w:kern w:val="2"/>
      <w:sz w:val="18"/>
      <w:szCs w:val="18"/>
    </w:rPr>
  </w:style>
  <w:style w:type="character" w:customStyle="1" w:styleId="Char1">
    <w:name w:val="页脚 Char"/>
    <w:link w:val="a5"/>
    <w:qFormat/>
    <w:rsid w:val="000730DF"/>
    <w:rPr>
      <w:sz w:val="18"/>
      <w:szCs w:val="18"/>
    </w:rPr>
  </w:style>
  <w:style w:type="character" w:customStyle="1" w:styleId="Char0">
    <w:name w:val="批注框文本 Char"/>
    <w:link w:val="a4"/>
    <w:uiPriority w:val="99"/>
    <w:semiHidden/>
    <w:qFormat/>
    <w:rsid w:val="000730DF"/>
    <w:rPr>
      <w:rFonts w:ascii="Times New Roman" w:eastAsia="宋体" w:hAnsi="Times New Roman" w:cs="Times New Roman"/>
      <w:sz w:val="18"/>
      <w:szCs w:val="18"/>
    </w:rPr>
  </w:style>
  <w:style w:type="character" w:customStyle="1" w:styleId="font01">
    <w:name w:val="font01"/>
    <w:qFormat/>
    <w:rsid w:val="000730DF"/>
    <w:rPr>
      <w:rFonts w:ascii="Times New Roman" w:hAnsi="Times New Roman" w:cs="Times New Roman" w:hint="default"/>
      <w:b/>
      <w:color w:val="000000"/>
      <w:sz w:val="18"/>
      <w:szCs w:val="18"/>
      <w:u w:val="none"/>
    </w:rPr>
  </w:style>
  <w:style w:type="character" w:customStyle="1" w:styleId="font11">
    <w:name w:val="font11"/>
    <w:qFormat/>
    <w:rsid w:val="000730DF"/>
    <w:rPr>
      <w:rFonts w:ascii="宋体" w:eastAsia="宋体" w:hAnsi="宋体" w:cs="宋体" w:hint="eastAsia"/>
      <w:color w:val="000000"/>
      <w:sz w:val="24"/>
      <w:szCs w:val="24"/>
      <w:u w:val="none"/>
    </w:rPr>
  </w:style>
  <w:style w:type="character" w:customStyle="1" w:styleId="1">
    <w:name w:val="书籍标题1"/>
    <w:uiPriority w:val="33"/>
    <w:qFormat/>
    <w:rsid w:val="000730DF"/>
    <w:rPr>
      <w:b/>
      <w:bCs/>
      <w:i/>
      <w:iCs/>
      <w:spacing w:val="5"/>
    </w:rPr>
  </w:style>
  <w:style w:type="character" w:customStyle="1" w:styleId="1Char">
    <w:name w:val="样式1 Char"/>
    <w:link w:val="10"/>
    <w:qFormat/>
    <w:rsid w:val="000730DF"/>
    <w:rPr>
      <w:rFonts w:ascii="Calibri" w:hAnsi="Calibri" w:cs="黑体"/>
      <w:kern w:val="2"/>
      <w:sz w:val="18"/>
      <w:szCs w:val="18"/>
      <w:lang w:val="en-US" w:eastAsia="zh-CN"/>
    </w:rPr>
  </w:style>
  <w:style w:type="paragraph" w:customStyle="1" w:styleId="10">
    <w:name w:val="样式1"/>
    <w:basedOn w:val="a6"/>
    <w:link w:val="1Char"/>
    <w:qFormat/>
    <w:rsid w:val="000730DF"/>
    <w:pPr>
      <w:jc w:val="right"/>
    </w:pPr>
    <w:rPr>
      <w:rFonts w:ascii="Times New Roman" w:hAnsi="Times New Roman" w:cs="Times New Roman"/>
    </w:rPr>
  </w:style>
  <w:style w:type="character" w:customStyle="1" w:styleId="Char">
    <w:name w:val="日期 Char"/>
    <w:basedOn w:val="a0"/>
    <w:link w:val="a3"/>
    <w:uiPriority w:val="99"/>
    <w:semiHidden/>
    <w:qFormat/>
    <w:rsid w:val="000730DF"/>
    <w:rPr>
      <w:kern w:val="2"/>
      <w:sz w:val="21"/>
      <w:szCs w:val="24"/>
    </w:rPr>
  </w:style>
  <w:style w:type="paragraph" w:customStyle="1" w:styleId="p0">
    <w:name w:val="p0"/>
    <w:basedOn w:val="a"/>
    <w:qFormat/>
    <w:rsid w:val="000730DF"/>
    <w:pPr>
      <w:widowControl/>
    </w:pPr>
    <w:rPr>
      <w:kern w:val="0"/>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oleObject" Target="file:///D:\&#25991;&#23383;&#36164;&#26009;\&#20998;&#26512;&#36164;&#26009;\2021\&#21313;&#19977;&#20116;&#34920;&#2668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5991;&#23383;&#36164;&#26009;\&#20998;&#26512;&#36164;&#26009;\2021\&#21313;&#19977;&#20116;&#34920;&#2668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24037;&#20316;&#31807;4"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istrator\Desktop\2019&#24180;&#20844;&#25253;%20&#22270;&#3492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istrator\Desktop\2019&#24180;&#20844;&#25253;%20&#22270;&#3492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istrator\Desktop\2019&#24180;&#20844;&#25253;%20&#22270;&#349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inistrator\Desktop\2019&#24180;&#20844;&#25253;%20&#22270;&#349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inistrator\Desktop\2019&#24180;&#20844;&#25253;%20&#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1" i="0" u="none" strike="noStrike" kern="1200" spc="0" baseline="0">
                <a:solidFill>
                  <a:schemeClr val="tx1"/>
                </a:solidFill>
                <a:latin typeface="+mn-lt"/>
                <a:ea typeface="+mn-ea"/>
                <a:cs typeface="+mn-cs"/>
              </a:defRPr>
            </a:pPr>
            <a:r>
              <a:rPr lang="zh-CN" b="1"/>
              <a:t>图</a:t>
            </a:r>
            <a:r>
              <a:rPr lang="en-US" b="1"/>
              <a:t>1  2016-2020</a:t>
            </a:r>
            <a:r>
              <a:rPr lang="zh-CN" b="1"/>
              <a:t>年地区生产总值及其增长速度</a:t>
            </a:r>
          </a:p>
        </c:rich>
      </c:tx>
      <c:spPr>
        <a:noFill/>
        <a:ln>
          <a:noFill/>
        </a:ln>
        <a:effectLst/>
      </c:spPr>
    </c:title>
    <c:plotArea>
      <c:layout/>
      <c:barChart>
        <c:barDir val="col"/>
        <c:grouping val="clustered"/>
        <c:ser>
          <c:idx val="0"/>
          <c:order val="0"/>
          <c:tx>
            <c:strRef>
              <c:f>Sheet1!$L$29</c:f>
              <c:strCache>
                <c:ptCount val="1"/>
                <c:pt idx="0">
                  <c:v>地区生产总值（万元）</c:v>
                </c:pt>
              </c:strCache>
            </c:strRef>
          </c:tx>
          <c:spPr>
            <a:solidFill>
              <a:schemeClr val="accent1"/>
            </a:solidFill>
            <a:ln>
              <a:noFill/>
            </a:ln>
            <a:effectLst/>
          </c:spPr>
          <c:cat>
            <c:numRef>
              <c:f>Sheet1!$K$30:$K$34</c:f>
              <c:numCache>
                <c:formatCode>General</c:formatCode>
                <c:ptCount val="5"/>
                <c:pt idx="0">
                  <c:v>2016</c:v>
                </c:pt>
                <c:pt idx="1">
                  <c:v>2017</c:v>
                </c:pt>
                <c:pt idx="2">
                  <c:v>2018</c:v>
                </c:pt>
                <c:pt idx="3">
                  <c:v>2019</c:v>
                </c:pt>
                <c:pt idx="4">
                  <c:v>2020</c:v>
                </c:pt>
              </c:numCache>
            </c:numRef>
          </c:cat>
          <c:val>
            <c:numRef>
              <c:f>Sheet1!$L$30:$L$34</c:f>
              <c:numCache>
                <c:formatCode>General</c:formatCode>
                <c:ptCount val="5"/>
                <c:pt idx="0">
                  <c:v>4658886</c:v>
                </c:pt>
                <c:pt idx="1">
                  <c:v>5195938</c:v>
                </c:pt>
                <c:pt idx="2">
                  <c:v>5764848</c:v>
                </c:pt>
                <c:pt idx="3">
                  <c:v>6557702</c:v>
                </c:pt>
                <c:pt idx="4">
                  <c:v>7097956</c:v>
                </c:pt>
              </c:numCache>
            </c:numRef>
          </c:val>
        </c:ser>
        <c:gapWidth val="219"/>
        <c:overlap val="-27"/>
        <c:axId val="76584064"/>
        <c:axId val="76585600"/>
      </c:barChart>
      <c:lineChart>
        <c:grouping val="standard"/>
        <c:ser>
          <c:idx val="1"/>
          <c:order val="1"/>
          <c:tx>
            <c:strRef>
              <c:f>Sheet1!$M$29</c:f>
              <c:strCache>
                <c:ptCount val="1"/>
                <c:pt idx="0">
                  <c:v>比上年增长（%）</c:v>
                </c:pt>
              </c:strCache>
            </c:strRef>
          </c:tx>
          <c:spPr>
            <a:ln w="28575" cap="rnd">
              <a:solidFill>
                <a:schemeClr val="accent2"/>
              </a:solidFill>
              <a:round/>
            </a:ln>
            <a:effectLst/>
          </c:spPr>
          <c:marker>
            <c:symbol val="none"/>
          </c:marker>
          <c:cat>
            <c:numRef>
              <c:f>Sheet1!$K$30:$K$34</c:f>
              <c:numCache>
                <c:formatCode>General</c:formatCode>
                <c:ptCount val="5"/>
                <c:pt idx="0">
                  <c:v>2016</c:v>
                </c:pt>
                <c:pt idx="1">
                  <c:v>2017</c:v>
                </c:pt>
                <c:pt idx="2">
                  <c:v>2018</c:v>
                </c:pt>
                <c:pt idx="3">
                  <c:v>2019</c:v>
                </c:pt>
                <c:pt idx="4">
                  <c:v>2020</c:v>
                </c:pt>
              </c:numCache>
            </c:numRef>
          </c:cat>
          <c:val>
            <c:numRef>
              <c:f>Sheet1!$M$30:$M$34</c:f>
              <c:numCache>
                <c:formatCode>General</c:formatCode>
                <c:ptCount val="5"/>
                <c:pt idx="0">
                  <c:v>10.9</c:v>
                </c:pt>
                <c:pt idx="1">
                  <c:v>10</c:v>
                </c:pt>
                <c:pt idx="2">
                  <c:v>9.8000000000000007</c:v>
                </c:pt>
                <c:pt idx="3">
                  <c:v>9.1000000000000014</c:v>
                </c:pt>
                <c:pt idx="4">
                  <c:v>4.9000000000000101</c:v>
                </c:pt>
              </c:numCache>
            </c:numRef>
          </c:val>
        </c:ser>
        <c:marker val="1"/>
        <c:axId val="248318976"/>
        <c:axId val="249352576"/>
      </c:lineChart>
      <c:catAx>
        <c:axId val="7658406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76585600"/>
        <c:crosses val="autoZero"/>
        <c:auto val="1"/>
        <c:lblAlgn val="ctr"/>
        <c:lblOffset val="100"/>
      </c:catAx>
      <c:valAx>
        <c:axId val="7658560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76584064"/>
        <c:crosses val="autoZero"/>
        <c:crossBetween val="between"/>
      </c:valAx>
      <c:catAx>
        <c:axId val="248318976"/>
        <c:scaling>
          <c:orientation val="minMax"/>
        </c:scaling>
        <c:delete val="1"/>
        <c:axPos val="b"/>
        <c:numFmt formatCode="General" sourceLinked="1"/>
        <c:tickLblPos val="nextTo"/>
        <c:crossAx val="249352576"/>
        <c:crosses val="autoZero"/>
        <c:auto val="1"/>
        <c:lblAlgn val="ctr"/>
        <c:lblOffset val="100"/>
      </c:catAx>
      <c:valAx>
        <c:axId val="249352576"/>
        <c:scaling>
          <c:orientation val="minMax"/>
        </c:scaling>
        <c:axPos val="r"/>
        <c:numFmt formatCode="General" sourceLinked="1"/>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48318976"/>
        <c:crosses val="max"/>
        <c:crossBetween val="between"/>
      </c:valAx>
      <c:dTable>
        <c:showHorzBorder val="1"/>
        <c:showVertBorder val="1"/>
        <c:showOutline val="1"/>
        <c:showKeys val="1"/>
        <c:spPr>
          <a:noFill/>
          <a:ln w="9525" cap="flat" cmpd="sng" algn="ctr">
            <a:solidFill>
              <a:schemeClr val="tx1"/>
            </a:solidFill>
            <a:round/>
          </a:ln>
          <a:effectLst/>
        </c:spPr>
        <c:txPr>
          <a:bodyPr rot="0" spcFirstLastPara="1" vertOverflow="ellipsis" vert="horz" wrap="square" anchor="ctr" anchorCtr="1"/>
          <a:lstStyle/>
          <a:p>
            <a:pPr rtl="0">
              <a:defRPr lang="zh-CN" sz="900" b="0" i="0" u="none" strike="noStrike" kern="1200" baseline="0">
                <a:solidFill>
                  <a:schemeClr val="tx1"/>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solidFill>
            <a:schemeClr val="tx1"/>
          </a:solidFill>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1" i="0" u="none" strike="noStrike" kern="1200" spc="0" baseline="0">
                <a:solidFill>
                  <a:schemeClr val="tx1"/>
                </a:solidFill>
                <a:latin typeface="+mn-lt"/>
                <a:ea typeface="+mn-ea"/>
                <a:cs typeface="+mn-cs"/>
              </a:defRPr>
            </a:pPr>
            <a:r>
              <a:rPr lang="zh-CN" b="1"/>
              <a:t>图</a:t>
            </a:r>
            <a:r>
              <a:rPr lang="en-US" b="1"/>
              <a:t>2  2016-2020</a:t>
            </a:r>
            <a:r>
              <a:rPr lang="zh-CN" b="1"/>
              <a:t>年工业增加值及其增长速度</a:t>
            </a:r>
          </a:p>
        </c:rich>
      </c:tx>
      <c:spPr>
        <a:noFill/>
        <a:ln>
          <a:noFill/>
        </a:ln>
        <a:effectLst/>
      </c:spPr>
    </c:title>
    <c:plotArea>
      <c:layout/>
      <c:barChart>
        <c:barDir val="col"/>
        <c:grouping val="clustered"/>
        <c:ser>
          <c:idx val="0"/>
          <c:order val="0"/>
          <c:tx>
            <c:strRef>
              <c:f>Sheet1!$L$35</c:f>
              <c:strCache>
                <c:ptCount val="1"/>
                <c:pt idx="0">
                  <c:v>工业增加值</c:v>
                </c:pt>
              </c:strCache>
            </c:strRef>
          </c:tx>
          <c:spPr>
            <a:solidFill>
              <a:schemeClr val="accent1"/>
            </a:solidFill>
            <a:ln>
              <a:noFill/>
            </a:ln>
            <a:effectLst/>
          </c:spPr>
          <c:cat>
            <c:numRef>
              <c:f>Sheet1!$K$36:$K$40</c:f>
              <c:numCache>
                <c:formatCode>General</c:formatCode>
                <c:ptCount val="5"/>
                <c:pt idx="0">
                  <c:v>2016</c:v>
                </c:pt>
                <c:pt idx="1">
                  <c:v>2017</c:v>
                </c:pt>
                <c:pt idx="2">
                  <c:v>2018</c:v>
                </c:pt>
                <c:pt idx="3">
                  <c:v>2019</c:v>
                </c:pt>
                <c:pt idx="4">
                  <c:v>2020</c:v>
                </c:pt>
              </c:numCache>
            </c:numRef>
          </c:cat>
          <c:val>
            <c:numRef>
              <c:f>Sheet1!$L$36:$L$40</c:f>
              <c:numCache>
                <c:formatCode>General</c:formatCode>
                <c:ptCount val="5"/>
                <c:pt idx="0">
                  <c:v>2012897</c:v>
                </c:pt>
                <c:pt idx="1">
                  <c:v>2170524</c:v>
                </c:pt>
                <c:pt idx="2">
                  <c:v>2284162</c:v>
                </c:pt>
                <c:pt idx="3">
                  <c:v>2653582</c:v>
                </c:pt>
                <c:pt idx="4">
                  <c:v>2881275</c:v>
                </c:pt>
              </c:numCache>
            </c:numRef>
          </c:val>
        </c:ser>
        <c:gapWidth val="219"/>
        <c:overlap val="-27"/>
        <c:axId val="252394880"/>
        <c:axId val="252443264"/>
      </c:barChart>
      <c:lineChart>
        <c:grouping val="standard"/>
        <c:ser>
          <c:idx val="1"/>
          <c:order val="1"/>
          <c:tx>
            <c:strRef>
              <c:f>Sheet1!$M$35</c:f>
              <c:strCache>
                <c:ptCount val="1"/>
                <c:pt idx="0">
                  <c:v>比上年增长（%）</c:v>
                </c:pt>
              </c:strCache>
            </c:strRef>
          </c:tx>
          <c:spPr>
            <a:ln w="28575" cap="rnd">
              <a:solidFill>
                <a:schemeClr val="accent2"/>
              </a:solidFill>
              <a:round/>
            </a:ln>
            <a:effectLst/>
          </c:spPr>
          <c:marker>
            <c:symbol val="none"/>
          </c:marker>
          <c:cat>
            <c:numRef>
              <c:f>Sheet1!$K$36:$K$40</c:f>
              <c:numCache>
                <c:formatCode>General</c:formatCode>
                <c:ptCount val="5"/>
                <c:pt idx="0">
                  <c:v>2016</c:v>
                </c:pt>
                <c:pt idx="1">
                  <c:v>2017</c:v>
                </c:pt>
                <c:pt idx="2">
                  <c:v>2018</c:v>
                </c:pt>
                <c:pt idx="3">
                  <c:v>2019</c:v>
                </c:pt>
                <c:pt idx="4">
                  <c:v>2020</c:v>
                </c:pt>
              </c:numCache>
            </c:numRef>
          </c:cat>
          <c:val>
            <c:numRef>
              <c:f>Sheet1!$M$36:$M$40</c:f>
              <c:numCache>
                <c:formatCode>General</c:formatCode>
                <c:ptCount val="5"/>
                <c:pt idx="0">
                  <c:v>10.9</c:v>
                </c:pt>
                <c:pt idx="1">
                  <c:v>11.4</c:v>
                </c:pt>
                <c:pt idx="2">
                  <c:v>9.4000000000000128</c:v>
                </c:pt>
                <c:pt idx="3">
                  <c:v>10.3</c:v>
                </c:pt>
                <c:pt idx="4">
                  <c:v>6.1</c:v>
                </c:pt>
              </c:numCache>
            </c:numRef>
          </c:val>
        </c:ser>
        <c:marker val="1"/>
        <c:axId val="252596608"/>
        <c:axId val="252598144"/>
      </c:lineChart>
      <c:catAx>
        <c:axId val="25239488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2443264"/>
        <c:crosses val="autoZero"/>
        <c:auto val="1"/>
        <c:lblAlgn val="ctr"/>
        <c:lblOffset val="100"/>
      </c:catAx>
      <c:valAx>
        <c:axId val="25244326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2394880"/>
        <c:crosses val="autoZero"/>
        <c:crossBetween val="between"/>
      </c:valAx>
      <c:catAx>
        <c:axId val="252596608"/>
        <c:scaling>
          <c:orientation val="minMax"/>
        </c:scaling>
        <c:delete val="1"/>
        <c:axPos val="b"/>
        <c:numFmt formatCode="General" sourceLinked="1"/>
        <c:tickLblPos val="nextTo"/>
        <c:crossAx val="252598144"/>
        <c:crosses val="autoZero"/>
        <c:auto val="1"/>
        <c:lblAlgn val="ctr"/>
        <c:lblOffset val="100"/>
      </c:catAx>
      <c:valAx>
        <c:axId val="252598144"/>
        <c:scaling>
          <c:orientation val="minMax"/>
        </c:scaling>
        <c:axPos val="r"/>
        <c:numFmt formatCode="General" sourceLinked="1"/>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2596608"/>
        <c:crosses val="max"/>
        <c:crossBetween val="between"/>
      </c:valAx>
      <c:dTable>
        <c:showHorzBorder val="1"/>
        <c:showVertBorder val="1"/>
        <c:showOutline val="1"/>
        <c:showKeys val="1"/>
        <c:spPr>
          <a:noFill/>
          <a:ln w="9525" cap="flat" cmpd="sng" algn="ctr">
            <a:solidFill>
              <a:schemeClr val="tx1"/>
            </a:solidFill>
            <a:round/>
          </a:ln>
          <a:effectLst/>
        </c:spPr>
        <c:txPr>
          <a:bodyPr rot="0" spcFirstLastPara="1" vertOverflow="ellipsis" vert="horz" wrap="square" anchor="ctr" anchorCtr="1"/>
          <a:lstStyle/>
          <a:p>
            <a:pPr rtl="0">
              <a:defRPr lang="zh-CN" sz="900" b="0" i="0" u="none" strike="noStrike" kern="1200" baseline="0">
                <a:solidFill>
                  <a:schemeClr val="tx1"/>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solidFill>
            <a:schemeClr val="tx1"/>
          </a:solidFill>
        </a:defRPr>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1" i="0" u="none" strike="noStrike" kern="1200" spc="0" baseline="0">
                <a:solidFill>
                  <a:schemeClr val="tx1"/>
                </a:solidFill>
                <a:latin typeface="+mn-lt"/>
                <a:ea typeface="+mn-ea"/>
                <a:cs typeface="+mn-cs"/>
              </a:defRPr>
            </a:pPr>
            <a:r>
              <a:rPr lang="zh-CN" b="1"/>
              <a:t>图</a:t>
            </a:r>
            <a:r>
              <a:rPr lang="en-US" b="1"/>
              <a:t>3  2016-2020</a:t>
            </a:r>
            <a:r>
              <a:rPr lang="zh-CN" b="1"/>
              <a:t>年建筑业增加值及其增长速度</a:t>
            </a:r>
          </a:p>
        </c:rich>
      </c:tx>
      <c:spPr>
        <a:noFill/>
        <a:ln>
          <a:noFill/>
        </a:ln>
        <a:effectLst/>
      </c:spPr>
    </c:title>
    <c:plotArea>
      <c:layout/>
      <c:barChart>
        <c:barDir val="col"/>
        <c:grouping val="clustered"/>
        <c:ser>
          <c:idx val="0"/>
          <c:order val="0"/>
          <c:tx>
            <c:strRef>
              <c:f>Sheet1!$B$15</c:f>
              <c:strCache>
                <c:ptCount val="1"/>
                <c:pt idx="0">
                  <c:v>建筑业增加值</c:v>
                </c:pt>
              </c:strCache>
            </c:strRef>
          </c:tx>
          <c:spPr>
            <a:solidFill>
              <a:schemeClr val="accent1"/>
            </a:solidFill>
            <a:ln>
              <a:noFill/>
            </a:ln>
            <a:effectLst/>
          </c:spPr>
          <c:cat>
            <c:numRef>
              <c:f>Sheet1!$A$16:$A$20</c:f>
              <c:numCache>
                <c:formatCode>General</c:formatCode>
                <c:ptCount val="5"/>
                <c:pt idx="0">
                  <c:v>2016</c:v>
                </c:pt>
                <c:pt idx="1">
                  <c:v>2017</c:v>
                </c:pt>
                <c:pt idx="2">
                  <c:v>2018</c:v>
                </c:pt>
                <c:pt idx="3">
                  <c:v>2019</c:v>
                </c:pt>
                <c:pt idx="4">
                  <c:v>2020</c:v>
                </c:pt>
              </c:numCache>
            </c:numRef>
          </c:cat>
          <c:val>
            <c:numRef>
              <c:f>Sheet1!$B$16:$B$20</c:f>
              <c:numCache>
                <c:formatCode>General</c:formatCode>
                <c:ptCount val="5"/>
                <c:pt idx="0">
                  <c:v>542444</c:v>
                </c:pt>
                <c:pt idx="1">
                  <c:v>655983</c:v>
                </c:pt>
                <c:pt idx="2">
                  <c:v>728832</c:v>
                </c:pt>
                <c:pt idx="3">
                  <c:v>843834</c:v>
                </c:pt>
                <c:pt idx="4">
                  <c:v>948326</c:v>
                </c:pt>
              </c:numCache>
            </c:numRef>
          </c:val>
        </c:ser>
        <c:gapWidth val="219"/>
        <c:overlap val="-27"/>
        <c:axId val="253590528"/>
        <c:axId val="253821696"/>
      </c:barChart>
      <c:lineChart>
        <c:grouping val="standard"/>
        <c:ser>
          <c:idx val="1"/>
          <c:order val="1"/>
          <c:tx>
            <c:strRef>
              <c:f>Sheet1!$C$15</c:f>
              <c:strCache>
                <c:ptCount val="1"/>
                <c:pt idx="0">
                  <c:v>比上年增长（%）</c:v>
                </c:pt>
              </c:strCache>
            </c:strRef>
          </c:tx>
          <c:spPr>
            <a:ln w="28575" cap="rnd">
              <a:solidFill>
                <a:schemeClr val="accent2"/>
              </a:solidFill>
              <a:round/>
            </a:ln>
            <a:effectLst/>
          </c:spPr>
          <c:marker>
            <c:symbol val="none"/>
          </c:marker>
          <c:cat>
            <c:numRef>
              <c:f>Sheet1!$A$16:$A$20</c:f>
              <c:numCache>
                <c:formatCode>General</c:formatCode>
                <c:ptCount val="5"/>
                <c:pt idx="0">
                  <c:v>2016</c:v>
                </c:pt>
                <c:pt idx="1">
                  <c:v>2017</c:v>
                </c:pt>
                <c:pt idx="2">
                  <c:v>2018</c:v>
                </c:pt>
                <c:pt idx="3">
                  <c:v>2019</c:v>
                </c:pt>
                <c:pt idx="4">
                  <c:v>2020</c:v>
                </c:pt>
              </c:numCache>
            </c:numRef>
          </c:cat>
          <c:val>
            <c:numRef>
              <c:f>Sheet1!$C$16:$C$20</c:f>
              <c:numCache>
                <c:formatCode>General</c:formatCode>
                <c:ptCount val="5"/>
                <c:pt idx="0">
                  <c:v>17.100000000000001</c:v>
                </c:pt>
                <c:pt idx="1">
                  <c:v>10.8</c:v>
                </c:pt>
                <c:pt idx="2">
                  <c:v>6.9000000000000101</c:v>
                </c:pt>
                <c:pt idx="3">
                  <c:v>11.1</c:v>
                </c:pt>
                <c:pt idx="4">
                  <c:v>8.1</c:v>
                </c:pt>
              </c:numCache>
            </c:numRef>
          </c:val>
        </c:ser>
        <c:marker val="1"/>
        <c:axId val="253829120"/>
        <c:axId val="253846272"/>
      </c:lineChart>
      <c:catAx>
        <c:axId val="25359052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821696"/>
        <c:crosses val="autoZero"/>
        <c:auto val="1"/>
        <c:lblAlgn val="ctr"/>
        <c:lblOffset val="100"/>
      </c:catAx>
      <c:valAx>
        <c:axId val="25382169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590528"/>
        <c:crosses val="autoZero"/>
        <c:crossBetween val="between"/>
      </c:valAx>
      <c:catAx>
        <c:axId val="253829120"/>
        <c:scaling>
          <c:orientation val="minMax"/>
        </c:scaling>
        <c:delete val="1"/>
        <c:axPos val="b"/>
        <c:numFmt formatCode="General" sourceLinked="1"/>
        <c:tickLblPos val="nextTo"/>
        <c:crossAx val="253846272"/>
        <c:crosses val="autoZero"/>
        <c:auto val="1"/>
        <c:lblAlgn val="ctr"/>
        <c:lblOffset val="100"/>
      </c:catAx>
      <c:valAx>
        <c:axId val="253846272"/>
        <c:scaling>
          <c:orientation val="minMax"/>
        </c:scaling>
        <c:axPos val="r"/>
        <c:numFmt formatCode="General" sourceLinked="1"/>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829120"/>
        <c:crosses val="max"/>
        <c:crossBetween val="between"/>
      </c:valAx>
      <c:dTable>
        <c:showHorzBorder val="1"/>
        <c:showVertBorder val="1"/>
        <c:showOutline val="1"/>
        <c:showKeys val="1"/>
        <c:spPr>
          <a:noFill/>
          <a:ln w="9525" cap="flat" cmpd="sng" algn="ctr">
            <a:solidFill>
              <a:schemeClr val="tx1"/>
            </a:solidFill>
            <a:round/>
          </a:ln>
          <a:effectLst/>
        </c:spPr>
        <c:txPr>
          <a:bodyPr rot="0" spcFirstLastPara="1" vertOverflow="ellipsis" vert="horz" wrap="square" anchor="ctr" anchorCtr="1"/>
          <a:lstStyle/>
          <a:p>
            <a:pPr rtl="0">
              <a:defRPr lang="zh-CN" sz="900" b="0" i="0" u="none" strike="noStrike" kern="1200" baseline="0">
                <a:solidFill>
                  <a:schemeClr val="tx1"/>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solidFill>
            <a:schemeClr val="tx1"/>
          </a:solidFill>
        </a:defRPr>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sz="1400" b="1"/>
              <a:t>图</a:t>
            </a:r>
            <a:r>
              <a:rPr lang="en-US" sz="1400" b="1"/>
              <a:t>4</a:t>
            </a:r>
            <a:r>
              <a:rPr lang="en-US" sz="1400" b="1" baseline="0"/>
              <a:t>    </a:t>
            </a:r>
            <a:r>
              <a:rPr lang="en-US" sz="1400" b="1"/>
              <a:t>2016-2020</a:t>
            </a:r>
            <a:r>
              <a:rPr lang="zh-CN" sz="1400" b="1"/>
              <a:t>年固定资产投资增长速度</a:t>
            </a:r>
            <a:endParaRPr lang="en-US" sz="1400" b="1"/>
          </a:p>
        </c:rich>
      </c:tx>
      <c:spPr>
        <a:noFill/>
        <a:ln w="25400">
          <a:noFill/>
        </a:ln>
      </c:spPr>
    </c:title>
    <c:plotArea>
      <c:layout/>
      <c:lineChart>
        <c:grouping val="standard"/>
        <c:ser>
          <c:idx val="0"/>
          <c:order val="0"/>
          <c:tx>
            <c:strRef>
              <c:f>固投人均总值表!$H$1</c:f>
              <c:strCache>
                <c:ptCount val="1"/>
                <c:pt idx="0">
                  <c:v>比上年增长%</c:v>
                </c:pt>
              </c:strCache>
            </c:strRef>
          </c:tx>
          <c:spPr>
            <a:ln w="28575" cap="rnd" cmpd="sng" algn="ctr">
              <a:solidFill>
                <a:schemeClr val="accent1"/>
              </a:solidFill>
              <a:prstDash val="solid"/>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t"/>
            <c:showVal val="1"/>
            <c:extLst>
              <c:ext xmlns:c15="http://schemas.microsoft.com/office/drawing/2012/chart" uri="{CE6537A1-D6FC-4f65-9D91-7224C49458BB}">
                <c15:layout/>
                <c15:showLeaderLines val="1"/>
                <c15:leaderLines/>
              </c:ext>
            </c:extLst>
          </c:dLbls>
          <c:cat>
            <c:numRef>
              <c:f>固投人均总值表!$F$13:$F$17</c:f>
              <c:numCache>
                <c:formatCode>General</c:formatCode>
                <c:ptCount val="5"/>
                <c:pt idx="0">
                  <c:v>2016</c:v>
                </c:pt>
                <c:pt idx="1">
                  <c:v>2017</c:v>
                </c:pt>
                <c:pt idx="2">
                  <c:v>2018</c:v>
                </c:pt>
                <c:pt idx="3">
                  <c:v>2019</c:v>
                </c:pt>
                <c:pt idx="4">
                  <c:v>2020</c:v>
                </c:pt>
              </c:numCache>
            </c:numRef>
          </c:cat>
          <c:val>
            <c:numRef>
              <c:f>固投人均总值表!$H$13:$H$17</c:f>
              <c:numCache>
                <c:formatCode>General</c:formatCode>
                <c:ptCount val="5"/>
                <c:pt idx="0">
                  <c:v>16</c:v>
                </c:pt>
                <c:pt idx="1">
                  <c:v>13.5</c:v>
                </c:pt>
                <c:pt idx="2">
                  <c:v>10.7</c:v>
                </c:pt>
                <c:pt idx="3">
                  <c:v>14.6</c:v>
                </c:pt>
                <c:pt idx="4">
                  <c:v>10.8</c:v>
                </c:pt>
              </c:numCache>
            </c:numRef>
          </c:val>
        </c:ser>
        <c:marker val="1"/>
        <c:axId val="255811968"/>
        <c:axId val="255813504"/>
      </c:lineChart>
      <c:catAx>
        <c:axId val="255811968"/>
        <c:scaling>
          <c:orientation val="minMax"/>
        </c:scaling>
        <c:axPos val="b"/>
        <c:numFmt formatCode="General" sourceLinked="1"/>
        <c:maj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55813504"/>
        <c:crosses val="autoZero"/>
        <c:auto val="1"/>
        <c:lblAlgn val="ctr"/>
        <c:lblOffset val="100"/>
      </c:catAx>
      <c:valAx>
        <c:axId val="255813504"/>
        <c:scaling>
          <c:orientation val="minMax"/>
        </c:scaling>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tickLblPos val="nextTo"/>
        <c:spPr>
          <a:ln w="6350" cap="flat" cmpd="sng" algn="ctr">
            <a:noFill/>
            <a:prstDash val="solid"/>
            <a:round/>
          </a:ln>
        </c:spPr>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55811968"/>
        <c:crosses val="autoZero"/>
        <c:crossBetween val="between"/>
      </c:valAx>
      <c:dTable>
        <c:showHorzBorder val="1"/>
        <c:showVertBorder val="1"/>
        <c:showOutline val="1"/>
        <c:showKeys val="1"/>
        <c:spPr>
          <a:noFill/>
          <a:ln w="9525" cap="flat" cmpd="sng" algn="ctr">
            <a:solidFill>
              <a:schemeClr val="tx1"/>
            </a:solidFill>
            <a:prstDash val="solid"/>
            <a:round/>
          </a:ln>
          <a:effectLst/>
        </c:spPr>
        <c:txPr>
          <a:bodyPr rot="0" spcFirstLastPara="0" vertOverflow="ellipsis" vert="horz" wrap="square" anchor="ctr" anchorCtr="1"/>
          <a:lstStyle/>
          <a:p>
            <a:pPr rtl="0">
              <a:defRPr lang="zh-CN" sz="1000" b="0" i="0" u="none" strike="noStrike" kern="1200" baseline="0">
                <a:solidFill>
                  <a:schemeClr val="tx1"/>
                </a:solidFill>
                <a:latin typeface="+mn-lt"/>
                <a:ea typeface="+mn-ea"/>
                <a:cs typeface="+mn-cs"/>
              </a:defRPr>
            </a:pPr>
            <a:endParaRPr lang="zh-CN"/>
          </a:p>
        </c:txPr>
      </c:dTable>
      <c:spPr>
        <a:noFill/>
        <a:ln w="25400">
          <a:noFill/>
        </a:ln>
      </c:spPr>
    </c:plotArea>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b="0"/>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400" b="1" i="0" u="none" strike="noStrike" kern="1200" baseline="0">
                <a:solidFill>
                  <a:schemeClr val="tx1"/>
                </a:solidFill>
                <a:latin typeface="+mn-lt"/>
                <a:ea typeface="+mn-ea"/>
                <a:cs typeface="+mn-cs"/>
              </a:defRPr>
            </a:pPr>
            <a:r>
              <a:rPr lang="zh-CN" sz="1400" b="1"/>
              <a:t>图</a:t>
            </a:r>
            <a:r>
              <a:rPr lang="en-US" sz="1400" b="1"/>
              <a:t>5   2016-2020</a:t>
            </a:r>
            <a:r>
              <a:rPr lang="zh-CN" sz="1400" b="1"/>
              <a:t>年社会消费品零售总额增长速度</a:t>
            </a:r>
          </a:p>
        </c:rich>
      </c:tx>
      <c:spPr>
        <a:noFill/>
        <a:ln w="25400">
          <a:noFill/>
        </a:ln>
      </c:spPr>
    </c:title>
    <c:plotArea>
      <c:layout/>
      <c:lineChart>
        <c:grouping val="standard"/>
        <c:ser>
          <c:idx val="0"/>
          <c:order val="0"/>
          <c:tx>
            <c:strRef>
              <c:f>社零!$C$1</c:f>
              <c:strCache>
                <c:ptCount val="1"/>
                <c:pt idx="0">
                  <c:v>比上年增长%</c:v>
                </c:pt>
              </c:strCache>
            </c:strRef>
          </c:tx>
          <c:spPr>
            <a:ln w="28575" cap="rnd" cmpd="sng" algn="ctr">
              <a:solidFill>
                <a:schemeClr val="accent1"/>
              </a:solidFill>
              <a:prstDash val="solid"/>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t"/>
            <c:showVal val="1"/>
            <c:extLst>
              <c:ext xmlns:c15="http://schemas.microsoft.com/office/drawing/2012/chart" uri="{CE6537A1-D6FC-4f65-9D91-7224C49458BB}">
                <c15:layout/>
                <c15:showLeaderLines val="1"/>
                <c15:leaderLines/>
              </c:ext>
            </c:extLst>
          </c:dLbls>
          <c:cat>
            <c:numRef>
              <c:f>社零!$A$13:$A$17</c:f>
              <c:numCache>
                <c:formatCode>General</c:formatCode>
                <c:ptCount val="5"/>
                <c:pt idx="0">
                  <c:v>2016</c:v>
                </c:pt>
                <c:pt idx="1">
                  <c:v>2017</c:v>
                </c:pt>
                <c:pt idx="2">
                  <c:v>2018</c:v>
                </c:pt>
                <c:pt idx="3">
                  <c:v>2019</c:v>
                </c:pt>
                <c:pt idx="4">
                  <c:v>2020</c:v>
                </c:pt>
              </c:numCache>
            </c:numRef>
          </c:cat>
          <c:val>
            <c:numRef>
              <c:f>社零!$C$13:$C$17</c:f>
              <c:numCache>
                <c:formatCode>General</c:formatCode>
                <c:ptCount val="5"/>
                <c:pt idx="0">
                  <c:v>13.6</c:v>
                </c:pt>
                <c:pt idx="1">
                  <c:v>13.3</c:v>
                </c:pt>
                <c:pt idx="2">
                  <c:v>13.1</c:v>
                </c:pt>
                <c:pt idx="3">
                  <c:v>13.1</c:v>
                </c:pt>
                <c:pt idx="4">
                  <c:v>2.6</c:v>
                </c:pt>
              </c:numCache>
            </c:numRef>
          </c:val>
        </c:ser>
        <c:marker val="1"/>
        <c:axId val="457221632"/>
        <c:axId val="253571072"/>
      </c:lineChart>
      <c:catAx>
        <c:axId val="457221632"/>
        <c:scaling>
          <c:orientation val="minMax"/>
        </c:scaling>
        <c:axPos val="b"/>
        <c:numFmt formatCode="General" sourceLinked="1"/>
        <c:maj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53571072"/>
        <c:crosses val="autoZero"/>
        <c:auto val="1"/>
        <c:lblAlgn val="ctr"/>
        <c:lblOffset val="100"/>
      </c:catAx>
      <c:valAx>
        <c:axId val="253571072"/>
        <c:scaling>
          <c:orientation val="minMax"/>
        </c:scaling>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tickLblPos val="nextTo"/>
        <c:spPr>
          <a:ln w="6350" cap="flat" cmpd="sng" algn="ctr">
            <a:noFill/>
            <a:prstDash val="solid"/>
            <a:round/>
          </a:ln>
        </c:spPr>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457221632"/>
        <c:crosses val="autoZero"/>
        <c:crossBetween val="between"/>
      </c:valAx>
      <c:dTable>
        <c:showHorzBorder val="1"/>
        <c:showVertBorder val="1"/>
        <c:showOutline val="1"/>
        <c:showKeys val="1"/>
        <c:spPr>
          <a:noFill/>
          <a:ln w="9525" cap="flat" cmpd="sng" algn="ctr">
            <a:solidFill>
              <a:sysClr val="windowText" lastClr="000000"/>
            </a:solidFill>
            <a:prstDash val="solid"/>
            <a:round/>
          </a:ln>
          <a:effectLst/>
        </c:spPr>
        <c:txPr>
          <a:bodyPr rot="0" spcFirstLastPara="0" vertOverflow="ellipsis" vert="horz" wrap="square" anchor="ctr" anchorCtr="1"/>
          <a:lstStyle/>
          <a:p>
            <a:pPr rtl="0">
              <a:defRPr lang="zh-CN" sz="1000" b="0" i="0" u="none" strike="noStrike" kern="1200" baseline="0">
                <a:solidFill>
                  <a:schemeClr val="tx1"/>
                </a:solidFill>
                <a:latin typeface="+mn-lt"/>
                <a:ea typeface="+mn-ea"/>
                <a:cs typeface="+mn-cs"/>
              </a:defRPr>
            </a:pPr>
            <a:endParaRPr lang="zh-CN"/>
          </a:p>
        </c:txPr>
      </c:dTable>
      <c:spPr>
        <a:noFill/>
        <a:ln w="25400">
          <a:noFill/>
        </a:ln>
      </c:spPr>
    </c:plotArea>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solidFill>
            <a:schemeClr val="tx1"/>
          </a:solidFill>
        </a:defRPr>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0" i="0" u="none" strike="noStrike" kern="1200" spc="0" baseline="0">
                <a:solidFill>
                  <a:schemeClr val="tx1"/>
                </a:solidFill>
                <a:latin typeface="+mn-lt"/>
                <a:ea typeface="+mn-ea"/>
                <a:cs typeface="+mn-cs"/>
              </a:defRPr>
            </a:pPr>
            <a:r>
              <a:rPr lang="zh-CN" b="1"/>
              <a:t>图</a:t>
            </a:r>
            <a:r>
              <a:rPr lang="en-US" b="1"/>
              <a:t>6</a:t>
            </a:r>
            <a:r>
              <a:rPr lang="en-US" b="1" baseline="0"/>
              <a:t>    </a:t>
            </a:r>
            <a:r>
              <a:rPr lang="en-US" b="1"/>
              <a:t>2016-2020</a:t>
            </a:r>
            <a:r>
              <a:rPr lang="zh-CN" b="1"/>
              <a:t>年金融机构存款余额</a:t>
            </a:r>
          </a:p>
        </c:rich>
      </c:tx>
      <c:spPr>
        <a:noFill/>
        <a:ln>
          <a:noFill/>
        </a:ln>
        <a:effectLst/>
      </c:spPr>
    </c:title>
    <c:plotArea>
      <c:layout/>
      <c:barChart>
        <c:barDir val="col"/>
        <c:grouping val="clustered"/>
        <c:ser>
          <c:idx val="0"/>
          <c:order val="0"/>
          <c:tx>
            <c:strRef>
              <c:f>金融!$B$1</c:f>
              <c:strCache>
                <c:ptCount val="1"/>
                <c:pt idx="0">
                  <c:v>金融机构存款余额（万元）</c:v>
                </c:pt>
              </c:strCache>
            </c:strRef>
          </c:tx>
          <c:spPr>
            <a:solidFill>
              <a:schemeClr val="accent1"/>
            </a:solidFill>
            <a:ln>
              <a:noFill/>
            </a:ln>
            <a:effectLst/>
          </c:spPr>
          <c:cat>
            <c:numRef>
              <c:f>金融!$A$13:$A$17</c:f>
              <c:numCache>
                <c:formatCode>General</c:formatCode>
                <c:ptCount val="5"/>
                <c:pt idx="0">
                  <c:v>2016</c:v>
                </c:pt>
                <c:pt idx="1">
                  <c:v>2017</c:v>
                </c:pt>
                <c:pt idx="2">
                  <c:v>2018</c:v>
                </c:pt>
                <c:pt idx="3">
                  <c:v>2019</c:v>
                </c:pt>
                <c:pt idx="4">
                  <c:v>2020</c:v>
                </c:pt>
              </c:numCache>
            </c:numRef>
          </c:cat>
          <c:val>
            <c:numRef>
              <c:f>金融!$B$13:$B$17</c:f>
              <c:numCache>
                <c:formatCode>General</c:formatCode>
                <c:ptCount val="5"/>
                <c:pt idx="0">
                  <c:v>2948059</c:v>
                </c:pt>
                <c:pt idx="1">
                  <c:v>3361010</c:v>
                </c:pt>
                <c:pt idx="2">
                  <c:v>3499354</c:v>
                </c:pt>
                <c:pt idx="3">
                  <c:v>4022413</c:v>
                </c:pt>
                <c:pt idx="4">
                  <c:v>4371477</c:v>
                </c:pt>
              </c:numCache>
            </c:numRef>
          </c:val>
        </c:ser>
        <c:ser>
          <c:idx val="1"/>
          <c:order val="1"/>
          <c:tx>
            <c:strRef>
              <c:f>金融!$C$1</c:f>
              <c:strCache>
                <c:ptCount val="1"/>
                <c:pt idx="0">
                  <c:v>金融机构贷款余额（万元）</c:v>
                </c:pt>
              </c:strCache>
            </c:strRef>
          </c:tx>
          <c:spPr>
            <a:solidFill>
              <a:schemeClr val="accent2"/>
            </a:solidFill>
            <a:ln>
              <a:noFill/>
            </a:ln>
            <a:effectLst/>
          </c:spPr>
          <c:cat>
            <c:numRef>
              <c:f>金融!$A$13:$A$17</c:f>
              <c:numCache>
                <c:formatCode>General</c:formatCode>
                <c:ptCount val="5"/>
                <c:pt idx="0">
                  <c:v>2016</c:v>
                </c:pt>
                <c:pt idx="1">
                  <c:v>2017</c:v>
                </c:pt>
                <c:pt idx="2">
                  <c:v>2018</c:v>
                </c:pt>
                <c:pt idx="3">
                  <c:v>2019</c:v>
                </c:pt>
                <c:pt idx="4">
                  <c:v>2020</c:v>
                </c:pt>
              </c:numCache>
            </c:numRef>
          </c:cat>
          <c:val>
            <c:numRef>
              <c:f>金融!$C$13:$C$17</c:f>
              <c:numCache>
                <c:formatCode>General</c:formatCode>
                <c:ptCount val="5"/>
                <c:pt idx="0">
                  <c:v>1874298</c:v>
                </c:pt>
                <c:pt idx="1">
                  <c:v>2268840</c:v>
                </c:pt>
                <c:pt idx="2">
                  <c:v>2715329</c:v>
                </c:pt>
                <c:pt idx="3">
                  <c:v>3325834</c:v>
                </c:pt>
                <c:pt idx="4">
                  <c:v>3760521</c:v>
                </c:pt>
              </c:numCache>
            </c:numRef>
          </c:val>
        </c:ser>
        <c:gapWidth val="219"/>
        <c:overlap val="-27"/>
        <c:axId val="253605376"/>
        <c:axId val="253606912"/>
      </c:barChart>
      <c:catAx>
        <c:axId val="25360537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606912"/>
        <c:crosses val="autoZero"/>
        <c:auto val="1"/>
        <c:lblAlgn val="ctr"/>
        <c:lblOffset val="100"/>
      </c:catAx>
      <c:valAx>
        <c:axId val="2536069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605376"/>
        <c:crosses val="autoZero"/>
        <c:crossBetween val="between"/>
      </c:valAx>
      <c:dTable>
        <c:showHorzBorder val="1"/>
        <c:showVertBorder val="1"/>
        <c:showOutline val="1"/>
        <c:showKeys val="1"/>
        <c:spPr>
          <a:noFill/>
          <a:ln w="9525" cap="flat" cmpd="sng" algn="ctr">
            <a:solidFill>
              <a:schemeClr val="tx1"/>
            </a:solidFill>
            <a:round/>
          </a:ln>
          <a:effectLst/>
        </c:spPr>
        <c:txPr>
          <a:bodyPr rot="0" spcFirstLastPara="1" vertOverflow="ellipsis" vert="horz" wrap="square" anchor="ctr" anchorCtr="1"/>
          <a:lstStyle/>
          <a:p>
            <a:pPr rtl="0">
              <a:defRPr lang="zh-CN" sz="900" b="0" i="0" u="none" strike="noStrike" kern="1200" baseline="0">
                <a:solidFill>
                  <a:schemeClr val="tx1"/>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solidFill>
            <a:schemeClr val="tx1"/>
          </a:solidFill>
        </a:defRPr>
      </a:pPr>
      <a:endParaRPr lang="zh-CN"/>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1" i="0" u="none" strike="noStrike" kern="1200" spc="0" baseline="0">
                <a:solidFill>
                  <a:schemeClr val="tx1"/>
                </a:solidFill>
                <a:latin typeface="+mn-lt"/>
                <a:ea typeface="+mn-ea"/>
                <a:cs typeface="+mn-cs"/>
              </a:defRPr>
            </a:pPr>
            <a:r>
              <a:rPr lang="zh-CN" b="1"/>
              <a:t>图</a:t>
            </a:r>
            <a:r>
              <a:rPr lang="en-US" b="1"/>
              <a:t>7    </a:t>
            </a:r>
            <a:r>
              <a:rPr lang="zh-CN" b="1"/>
              <a:t>按收入来源分的全区常住居民</a:t>
            </a:r>
            <a:endParaRPr lang="en-US" b="1"/>
          </a:p>
          <a:p>
            <a:pPr>
              <a:defRPr lang="zh-CN" sz="1400" b="1" i="0" u="none" strike="noStrike" kern="1200" spc="0" baseline="0">
                <a:solidFill>
                  <a:schemeClr val="tx1"/>
                </a:solidFill>
                <a:latin typeface="+mn-lt"/>
                <a:ea typeface="+mn-ea"/>
                <a:cs typeface="+mn-cs"/>
              </a:defRPr>
            </a:pPr>
            <a:r>
              <a:rPr lang="zh-CN" b="1"/>
              <a:t>人均可支配收入及占比</a:t>
            </a:r>
          </a:p>
        </c:rich>
      </c:tx>
      <c:spPr>
        <a:noFill/>
        <a:ln>
          <a:noFill/>
        </a:ln>
        <a:effectLst/>
      </c:spPr>
    </c:title>
    <c:plotArea>
      <c:layout/>
      <c:pieChart>
        <c:varyColors val="1"/>
        <c:ser>
          <c:idx val="0"/>
          <c:order val="0"/>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solidFill>
                    <a:latin typeface="+mn-lt"/>
                    <a:ea typeface="+mn-ea"/>
                    <a:cs typeface="+mn-cs"/>
                  </a:defRPr>
                </a:pPr>
                <a:endParaRPr lang="zh-CN"/>
              </a:p>
            </c:txPr>
            <c:dLblPos val="outEnd"/>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居民收入!$L$6:$M$9</c:f>
              <c:multiLvlStrCache>
                <c:ptCount val="4"/>
                <c:lvl>
                  <c:pt idx="0">
                    <c:v>16885元占比52.5%</c:v>
                  </c:pt>
                  <c:pt idx="1">
                    <c:v>5506元占比17.5%</c:v>
                  </c:pt>
                  <c:pt idx="2">
                    <c:v>1706元占比5.3%</c:v>
                  </c:pt>
                  <c:pt idx="3">
                    <c:v>7876元占比24.7%</c:v>
                  </c:pt>
                </c:lvl>
                <c:lvl>
                  <c:pt idx="0">
                    <c:v>  人均工资性收入</c:v>
                  </c:pt>
                  <c:pt idx="1">
                    <c:v>   人均经营净收入</c:v>
                  </c:pt>
                  <c:pt idx="2">
                    <c:v>  人均财产净收入</c:v>
                  </c:pt>
                  <c:pt idx="3">
                    <c:v>   人均转移净收入</c:v>
                  </c:pt>
                </c:lvl>
              </c:multiLvlStrCache>
            </c:multiLvlStrRef>
          </c:cat>
          <c:val>
            <c:numRef>
              <c:f>居民收入!$N$6:$N$9</c:f>
              <c:numCache>
                <c:formatCode>0.0%</c:formatCode>
                <c:ptCount val="4"/>
                <c:pt idx="0">
                  <c:v>0.52810183592406101</c:v>
                </c:pt>
                <c:pt idx="1">
                  <c:v>0.17220780033153016</c:v>
                </c:pt>
                <c:pt idx="2">
                  <c:v>5.3357520407844104E-2</c:v>
                </c:pt>
                <c:pt idx="3">
                  <c:v>0.24633284333656516</c:v>
                </c:pt>
              </c:numCache>
            </c:numRef>
          </c:val>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solidFill>
            <a:schemeClr val="tx1"/>
          </a:solidFill>
        </a:defRPr>
      </a:pPr>
      <a:endParaRPr lang="zh-CN"/>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1" i="0" u="none" strike="noStrike" kern="1200" spc="0" baseline="0">
                <a:solidFill>
                  <a:schemeClr val="tx1"/>
                </a:solidFill>
                <a:latin typeface="+mn-lt"/>
                <a:ea typeface="+mn-ea"/>
                <a:cs typeface="+mn-cs"/>
              </a:defRPr>
            </a:pPr>
            <a:r>
              <a:rPr lang="zh-CN" b="1"/>
              <a:t>图</a:t>
            </a:r>
            <a:r>
              <a:rPr lang="en-US" b="1"/>
              <a:t>8</a:t>
            </a:r>
            <a:r>
              <a:rPr lang="en-US" b="1" baseline="0"/>
              <a:t>    </a:t>
            </a:r>
            <a:r>
              <a:rPr lang="en-US" b="1"/>
              <a:t>2016-2020</a:t>
            </a:r>
            <a:r>
              <a:rPr lang="zh-CN" b="1"/>
              <a:t>年中小学教育招生人数</a:t>
            </a:r>
          </a:p>
        </c:rich>
      </c:tx>
      <c:layout>
        <c:manualLayout>
          <c:xMode val="edge"/>
          <c:yMode val="edge"/>
          <c:x val="0.22596344912952826"/>
          <c:y val="2.0911752404851512E-2"/>
        </c:manualLayout>
      </c:layout>
      <c:spPr>
        <a:noFill/>
        <a:ln>
          <a:noFill/>
        </a:ln>
        <a:effectLst/>
      </c:spPr>
    </c:title>
    <c:plotArea>
      <c:layout/>
      <c:barChart>
        <c:barDir val="col"/>
        <c:grouping val="clustered"/>
        <c:ser>
          <c:idx val="0"/>
          <c:order val="0"/>
          <c:tx>
            <c:strRef>
              <c:f>教育!$G$1</c:f>
              <c:strCache>
                <c:ptCount val="1"/>
                <c:pt idx="0">
                  <c:v>小学招生人数（人）</c:v>
                </c:pt>
              </c:strCache>
            </c:strRef>
          </c:tx>
          <c:spPr>
            <a:solidFill>
              <a:schemeClr val="accent1"/>
            </a:solidFill>
            <a:ln>
              <a:noFill/>
            </a:ln>
            <a:effectLst/>
          </c:spPr>
          <c:cat>
            <c:numRef>
              <c:f>教育!$F$10:$F$14</c:f>
              <c:numCache>
                <c:formatCode>General</c:formatCode>
                <c:ptCount val="5"/>
                <c:pt idx="0">
                  <c:v>2016</c:v>
                </c:pt>
                <c:pt idx="1">
                  <c:v>2017</c:v>
                </c:pt>
                <c:pt idx="2">
                  <c:v>2018</c:v>
                </c:pt>
                <c:pt idx="3">
                  <c:v>2019</c:v>
                </c:pt>
                <c:pt idx="4">
                  <c:v>2020</c:v>
                </c:pt>
              </c:numCache>
            </c:numRef>
          </c:cat>
          <c:val>
            <c:numRef>
              <c:f>教育!$G$10:$G$14</c:f>
              <c:numCache>
                <c:formatCode>General</c:formatCode>
                <c:ptCount val="5"/>
                <c:pt idx="0">
                  <c:v>7531</c:v>
                </c:pt>
                <c:pt idx="1">
                  <c:v>6934</c:v>
                </c:pt>
                <c:pt idx="2">
                  <c:v>6862</c:v>
                </c:pt>
                <c:pt idx="3">
                  <c:v>6912</c:v>
                </c:pt>
                <c:pt idx="4">
                  <c:v>6696</c:v>
                </c:pt>
              </c:numCache>
            </c:numRef>
          </c:val>
        </c:ser>
        <c:ser>
          <c:idx val="1"/>
          <c:order val="1"/>
          <c:tx>
            <c:strRef>
              <c:f>教育!$H$1</c:f>
              <c:strCache>
                <c:ptCount val="1"/>
                <c:pt idx="0">
                  <c:v>普通中学招生人数（人）</c:v>
                </c:pt>
              </c:strCache>
            </c:strRef>
          </c:tx>
          <c:spPr>
            <a:solidFill>
              <a:schemeClr val="accent2"/>
            </a:solidFill>
            <a:ln>
              <a:noFill/>
            </a:ln>
            <a:effectLst/>
          </c:spPr>
          <c:cat>
            <c:numRef>
              <c:f>教育!$F$10:$F$14</c:f>
              <c:numCache>
                <c:formatCode>General</c:formatCode>
                <c:ptCount val="5"/>
                <c:pt idx="0">
                  <c:v>2016</c:v>
                </c:pt>
                <c:pt idx="1">
                  <c:v>2017</c:v>
                </c:pt>
                <c:pt idx="2">
                  <c:v>2018</c:v>
                </c:pt>
                <c:pt idx="3">
                  <c:v>2019</c:v>
                </c:pt>
                <c:pt idx="4">
                  <c:v>2020</c:v>
                </c:pt>
              </c:numCache>
            </c:numRef>
          </c:cat>
          <c:val>
            <c:numRef>
              <c:f>教育!$H$10:$H$14</c:f>
              <c:numCache>
                <c:formatCode>General</c:formatCode>
                <c:ptCount val="5"/>
                <c:pt idx="0">
                  <c:v>12445</c:v>
                </c:pt>
                <c:pt idx="1">
                  <c:v>13492</c:v>
                </c:pt>
                <c:pt idx="2">
                  <c:v>13069</c:v>
                </c:pt>
                <c:pt idx="3">
                  <c:v>13732</c:v>
                </c:pt>
                <c:pt idx="4">
                  <c:v>8927</c:v>
                </c:pt>
              </c:numCache>
            </c:numRef>
          </c:val>
        </c:ser>
        <c:gapWidth val="219"/>
        <c:overlap val="-27"/>
        <c:axId val="253854848"/>
        <c:axId val="253856384"/>
      </c:barChart>
      <c:catAx>
        <c:axId val="25385484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856384"/>
        <c:crosses val="autoZero"/>
        <c:auto val="1"/>
        <c:lblAlgn val="ctr"/>
        <c:lblOffset val="100"/>
      </c:catAx>
      <c:valAx>
        <c:axId val="25385638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crossAx val="253854848"/>
        <c:crosses val="autoZero"/>
        <c:crossBetween val="between"/>
      </c:valAx>
      <c:dTable>
        <c:showHorzBorder val="1"/>
        <c:showVertBorder val="1"/>
        <c:showOutline val="1"/>
        <c:showKeys val="1"/>
        <c:spPr>
          <a:noFill/>
          <a:ln w="9525" cap="flat" cmpd="sng" algn="ctr">
            <a:solidFill>
              <a:schemeClr val="tx1"/>
            </a:solidFill>
            <a:round/>
          </a:ln>
          <a:effectLst/>
        </c:spPr>
        <c:txPr>
          <a:bodyPr rot="0" spcFirstLastPara="1" vertOverflow="ellipsis" vert="horz" wrap="square" anchor="ctr" anchorCtr="1"/>
          <a:lstStyle/>
          <a:p>
            <a:pPr rtl="0">
              <a:defRPr lang="zh-CN" sz="900" b="0" i="0" u="none" strike="noStrike" kern="1200" baseline="0">
                <a:solidFill>
                  <a:schemeClr val="tx1"/>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solidFill>
            <a:schemeClr val="tx1"/>
          </a:solidFill>
        </a:defRPr>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1317</Words>
  <Characters>7513</Characters>
  <Application>Microsoft Office Word</Application>
  <DocSecurity>0</DocSecurity>
  <Lines>62</Lines>
  <Paragraphs>17</Paragraphs>
  <ScaleCrop>false</ScaleCrop>
  <Company>国家统计局</Company>
  <LinksUpToDate>false</LinksUpToDate>
  <CharactersWithSpaces>8813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2016年荣昌区国民经济和社会发展统计公报</dc:title>
  <dc:creator>msw</dc:creator>
  <cp:lastModifiedBy>China</cp:lastModifiedBy>
  <cp:revision>19</cp:revision>
  <cp:lastPrinted>2021-11-17T02:58:00Z</cp:lastPrinted>
  <dcterms:created xsi:type="dcterms:W3CDTF">2020-07-08T09:36:00Z</dcterms:created>
  <dcterms:modified xsi:type="dcterms:W3CDTF">2021-11-17T02:58:00Z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