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480" w:lineRule="auto"/>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2019年重庆市荣昌区国民经济和社会发展统计公报</w:t>
      </w:r>
    </w:p>
    <w:p>
      <w:pPr>
        <w:spacing w:line="480" w:lineRule="auto"/>
        <w:ind w:firstLine="560" w:firstLineChars="200"/>
        <w:jc w:val="center"/>
        <w:rPr>
          <w:rFonts w:ascii="仿宋_GB2312" w:eastAsia="仿宋_GB2312"/>
          <w:sz w:val="28"/>
          <w:szCs w:val="28"/>
        </w:rPr>
      </w:pPr>
      <w:r>
        <w:rPr>
          <w:rFonts w:hint="eastAsia" w:ascii="仿宋_GB2312" w:eastAsia="仿宋_GB2312"/>
          <w:sz w:val="28"/>
          <w:szCs w:val="28"/>
        </w:rPr>
        <w:t>重庆市荣昌区统计局</w:t>
      </w:r>
    </w:p>
    <w:p>
      <w:pPr>
        <w:spacing w:line="480" w:lineRule="auto"/>
        <w:ind w:firstLine="560" w:firstLineChars="200"/>
        <w:jc w:val="center"/>
        <w:rPr>
          <w:rFonts w:ascii="仿宋_GB2312" w:eastAsia="仿宋_GB2312"/>
          <w:sz w:val="28"/>
          <w:szCs w:val="28"/>
        </w:rPr>
      </w:pPr>
      <w:r>
        <w:rPr>
          <w:rFonts w:hint="eastAsia" w:ascii="仿宋_GB2312" w:eastAsia="仿宋_GB2312"/>
          <w:sz w:val="28"/>
          <w:szCs w:val="28"/>
        </w:rPr>
        <w:t>2020年3月27日</w:t>
      </w:r>
    </w:p>
    <w:p>
      <w:pPr>
        <w:pStyle w:val="5"/>
        <w:tabs>
          <w:tab w:val="left" w:pos="550"/>
        </w:tabs>
        <w:spacing w:before="0" w:beforeAutospacing="0" w:after="0" w:afterAutospacing="0"/>
        <w:ind w:right="44"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2019年，面对</w:t>
      </w:r>
      <w:r>
        <w:rPr>
          <w:rFonts w:ascii="方正仿宋_GBK" w:hAnsi="方正仿宋_GBK" w:eastAsia="方正仿宋_GBK" w:cs="方正仿宋_GBK"/>
          <w:sz w:val="32"/>
          <w:szCs w:val="32"/>
        </w:rPr>
        <w:t>错综复杂的宏观经济环境，</w:t>
      </w:r>
      <w:r>
        <w:rPr>
          <w:rFonts w:hint="eastAsia" w:ascii="方正仿宋_GBK" w:hAnsi="方正仿宋_GBK" w:eastAsia="方正仿宋_GBK" w:cs="方正仿宋_GBK"/>
          <w:sz w:val="32"/>
          <w:szCs w:val="32"/>
        </w:rPr>
        <w:t>荣昌</w:t>
      </w:r>
      <w:r>
        <w:rPr>
          <w:rFonts w:ascii="方正仿宋_GBK" w:hAnsi="方正仿宋_GBK" w:eastAsia="方正仿宋_GBK" w:cs="方正仿宋_GBK"/>
          <w:sz w:val="32"/>
          <w:szCs w:val="32"/>
        </w:rPr>
        <w:t>区委、区政府</w:t>
      </w:r>
      <w:r>
        <w:rPr>
          <w:rFonts w:hint="eastAsia" w:ascii="方正仿宋_GBK" w:hAnsi="方正仿宋_GBK" w:eastAsia="方正仿宋_GBK" w:cs="方正仿宋_GBK"/>
          <w:sz w:val="32"/>
          <w:szCs w:val="32"/>
        </w:rPr>
        <w:t>坚持以习近平新时代中国特色社会主义思想为指导，全面贯彻党的十九大精神，深入落实习近平总书记对重庆提出的“两点”定位、“两地”“两高”目标、做到“四个扎实”的重要指示要求，坚持“说了算、定了干、马上办”，攻破 “三件大事”，精准落实</w:t>
      </w:r>
      <w:r>
        <w:rPr>
          <w:rFonts w:ascii="方正仿宋_GBK" w:hAnsi="方正仿宋_GBK" w:eastAsia="方正仿宋_GBK" w:cs="方正仿宋_GBK"/>
          <w:sz w:val="32"/>
          <w:szCs w:val="32"/>
        </w:rPr>
        <w:t>“10+3</w:t>
      </w:r>
      <w:r>
        <w:rPr>
          <w:rFonts w:hint="eastAsia" w:ascii="方正仿宋_GBK" w:hAnsi="方正仿宋_GBK" w:eastAsia="方正仿宋_GBK" w:cs="方正仿宋_GBK"/>
          <w:sz w:val="32"/>
          <w:szCs w:val="32"/>
        </w:rPr>
        <w:t>实施方案</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，全区经济持续</w:t>
      </w:r>
      <w:r>
        <w:rPr>
          <w:rFonts w:ascii="方正仿宋_GBK" w:hAnsi="方正仿宋_GBK" w:eastAsia="方正仿宋_GBK" w:cs="方正仿宋_GBK"/>
          <w:sz w:val="32"/>
          <w:szCs w:val="32"/>
        </w:rPr>
        <w:t>健康</w:t>
      </w:r>
      <w:r>
        <w:rPr>
          <w:rFonts w:hint="eastAsia" w:ascii="方正仿宋_GBK" w:hAnsi="方正仿宋_GBK" w:eastAsia="方正仿宋_GBK" w:cs="方正仿宋_GBK"/>
          <w:sz w:val="32"/>
          <w:szCs w:val="32"/>
        </w:rPr>
        <w:t>发展，各项社会事业全面进步。</w:t>
      </w:r>
    </w:p>
    <w:p>
      <w:pPr>
        <w:pStyle w:val="5"/>
        <w:tabs>
          <w:tab w:val="left" w:pos="550"/>
        </w:tabs>
        <w:spacing w:before="0" w:beforeAutospacing="0" w:after="0" w:afterAutospacing="0"/>
        <w:ind w:right="44" w:firstLine="643" w:firstLineChars="200"/>
        <w:jc w:val="both"/>
        <w:rPr>
          <w:rFonts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ab/>
      </w:r>
      <w:r>
        <w:rPr>
          <w:rFonts w:hint="eastAsia" w:ascii="方正黑体_GBK" w:hAnsi="方正黑体_GBK" w:eastAsia="方正黑体_GBK" w:cs="方正黑体_GBK"/>
          <w:b/>
          <w:sz w:val="32"/>
          <w:szCs w:val="32"/>
        </w:rPr>
        <w:t>一、综合</w:t>
      </w:r>
    </w:p>
    <w:p>
      <w:pPr>
        <w:pStyle w:val="5"/>
        <w:spacing w:before="0" w:beforeAutospacing="0" w:after="0" w:afterAutospacing="0"/>
        <w:ind w:right="44"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全年实现地区生产总值6525398万元，比上年增长9.1%。按产业分，第一产业增加值542673万元，下降0.9 %；第二产业增加值</w:t>
      </w:r>
      <w:r>
        <w:rPr>
          <w:rFonts w:ascii="方正仿宋_GBK" w:hAnsi="方正仿宋_GBK" w:eastAsia="方正仿宋_GBK" w:cs="方正仿宋_GBK"/>
          <w:sz w:val="32"/>
          <w:szCs w:val="32"/>
        </w:rPr>
        <w:t>3428696</w:t>
      </w:r>
      <w:r>
        <w:rPr>
          <w:rFonts w:hint="eastAsia" w:ascii="方正仿宋_GBK" w:hAnsi="方正仿宋_GBK" w:eastAsia="方正仿宋_GBK" w:cs="方正仿宋_GBK"/>
          <w:sz w:val="32"/>
          <w:szCs w:val="32"/>
        </w:rPr>
        <w:t>万元，增长</w:t>
      </w:r>
      <w:r>
        <w:rPr>
          <w:rFonts w:ascii="方正仿宋_GBK" w:hAnsi="方正仿宋_GBK" w:eastAsia="方正仿宋_GBK" w:cs="方正仿宋_GBK"/>
          <w:sz w:val="32"/>
          <w:szCs w:val="32"/>
        </w:rPr>
        <w:t>10.5</w:t>
      </w:r>
      <w:r>
        <w:rPr>
          <w:rFonts w:hint="eastAsia" w:ascii="方正仿宋_GBK" w:hAnsi="方正仿宋_GBK" w:eastAsia="方正仿宋_GBK" w:cs="方正仿宋_GBK"/>
          <w:sz w:val="32"/>
          <w:szCs w:val="32"/>
        </w:rPr>
        <w:t>%；第三产业增加值</w:t>
      </w:r>
      <w:r>
        <w:rPr>
          <w:rFonts w:ascii="方正仿宋_GBK" w:hAnsi="方正仿宋_GBK" w:eastAsia="方正仿宋_GBK" w:cs="方正仿宋_GBK"/>
          <w:sz w:val="32"/>
          <w:szCs w:val="32"/>
        </w:rPr>
        <w:t>2554029</w:t>
      </w:r>
      <w:r>
        <w:rPr>
          <w:rFonts w:hint="eastAsia" w:ascii="方正仿宋_GBK" w:hAnsi="方正仿宋_GBK" w:eastAsia="方正仿宋_GBK" w:cs="方正仿宋_GBK"/>
          <w:sz w:val="32"/>
          <w:szCs w:val="32"/>
        </w:rPr>
        <w:t>万元，增长</w:t>
      </w:r>
      <w:r>
        <w:rPr>
          <w:rFonts w:ascii="方正仿宋_GBK" w:hAnsi="方正仿宋_GBK" w:eastAsia="方正仿宋_GBK" w:cs="方正仿宋_GBK"/>
          <w:sz w:val="32"/>
          <w:szCs w:val="32"/>
        </w:rPr>
        <w:t>9.3</w:t>
      </w:r>
      <w:r>
        <w:rPr>
          <w:rFonts w:hint="eastAsia" w:ascii="方正仿宋_GBK" w:hAnsi="方正仿宋_GBK" w:eastAsia="方正仿宋_GBK" w:cs="方正仿宋_GBK"/>
          <w:sz w:val="32"/>
          <w:szCs w:val="32"/>
        </w:rPr>
        <w:t>%。第一产业增加值占地区生产总值的比重为</w:t>
      </w:r>
      <w:r>
        <w:rPr>
          <w:rFonts w:ascii="方正仿宋_GBK" w:hAnsi="方正仿宋_GBK" w:eastAsia="方正仿宋_GBK" w:cs="方正仿宋_GBK"/>
          <w:sz w:val="32"/>
          <w:szCs w:val="32"/>
        </w:rPr>
        <w:t>8.3</w:t>
      </w:r>
      <w:r>
        <w:rPr>
          <w:rFonts w:hint="eastAsia" w:ascii="方正仿宋_GBK" w:hAnsi="方正仿宋_GBK" w:eastAsia="方正仿宋_GBK" w:cs="方正仿宋_GBK"/>
          <w:sz w:val="32"/>
          <w:szCs w:val="32"/>
        </w:rPr>
        <w:t>%，比上年下降</w:t>
      </w:r>
      <w:r>
        <w:rPr>
          <w:rFonts w:ascii="方正仿宋_GBK" w:hAnsi="方正仿宋_GBK" w:eastAsia="方正仿宋_GBK" w:cs="方正仿宋_GBK"/>
          <w:sz w:val="32"/>
          <w:szCs w:val="32"/>
        </w:rPr>
        <w:t>1.4</w:t>
      </w:r>
      <w:r>
        <w:rPr>
          <w:rFonts w:hint="eastAsia" w:ascii="方正仿宋_GBK" w:hAnsi="方正仿宋_GBK" w:eastAsia="方正仿宋_GBK" w:cs="方正仿宋_GBK"/>
          <w:sz w:val="32"/>
          <w:szCs w:val="32"/>
        </w:rPr>
        <w:t>个百分点；第二产业增加值比重为</w:t>
      </w:r>
      <w:r>
        <w:rPr>
          <w:rFonts w:ascii="方正仿宋_GBK" w:hAnsi="方正仿宋_GBK" w:eastAsia="方正仿宋_GBK" w:cs="方正仿宋_GBK"/>
          <w:sz w:val="32"/>
          <w:szCs w:val="32"/>
        </w:rPr>
        <w:t>52.5</w:t>
      </w:r>
      <w:r>
        <w:rPr>
          <w:rFonts w:hint="eastAsia" w:ascii="方正仿宋_GBK" w:hAnsi="方正仿宋_GBK" w:eastAsia="方正仿宋_GBK" w:cs="方正仿宋_GBK"/>
          <w:sz w:val="32"/>
          <w:szCs w:val="32"/>
        </w:rPr>
        <w:t>%，比上年下降5.7个百分点；第三产业增加值比重为</w:t>
      </w:r>
      <w:r>
        <w:rPr>
          <w:rFonts w:ascii="方正仿宋_GBK" w:hAnsi="方正仿宋_GBK" w:eastAsia="方正仿宋_GBK" w:cs="方正仿宋_GBK"/>
          <w:sz w:val="32"/>
          <w:szCs w:val="32"/>
        </w:rPr>
        <w:t>39.2</w:t>
      </w:r>
      <w:r>
        <w:rPr>
          <w:rFonts w:hint="eastAsia" w:ascii="方正仿宋_GBK" w:hAnsi="方正仿宋_GBK" w:eastAsia="方正仿宋_GBK" w:cs="方正仿宋_GBK"/>
          <w:sz w:val="32"/>
          <w:szCs w:val="32"/>
        </w:rPr>
        <w:t>%，比上年上升7.1个百分点。</w:t>
      </w:r>
    </w:p>
    <w:p>
      <w:pPr>
        <w:pStyle w:val="5"/>
        <w:spacing w:before="0" w:beforeAutospacing="0" w:after="0" w:afterAutospacing="0"/>
        <w:ind w:right="44"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按常住人口计算，2019年全区人均生产总值达到</w:t>
      </w:r>
      <w:r>
        <w:rPr>
          <w:rFonts w:ascii="方正仿宋_GBK" w:hAnsi="方正仿宋_GBK" w:eastAsia="方正仿宋_GBK" w:cs="方正仿宋_GBK"/>
          <w:sz w:val="32"/>
          <w:szCs w:val="32"/>
        </w:rPr>
        <w:t>90889</w:t>
      </w:r>
      <w:r>
        <w:rPr>
          <w:rFonts w:hint="eastAsia" w:ascii="方正仿宋_GBK" w:hAnsi="方正仿宋_GBK" w:eastAsia="方正仿宋_GBK" w:cs="方正仿宋_GBK"/>
          <w:sz w:val="32"/>
          <w:szCs w:val="32"/>
        </w:rPr>
        <w:t>元，比上年增长</w:t>
      </w:r>
      <w:r>
        <w:rPr>
          <w:rFonts w:ascii="方正仿宋_GBK" w:hAnsi="方正仿宋_GBK" w:eastAsia="方正仿宋_GBK" w:cs="方正仿宋_GBK"/>
          <w:sz w:val="32"/>
          <w:szCs w:val="32"/>
        </w:rPr>
        <w:t>8.3</w:t>
      </w:r>
      <w:r>
        <w:rPr>
          <w:rFonts w:hint="eastAsia" w:ascii="方正仿宋_GBK" w:hAnsi="方正仿宋_GBK" w:eastAsia="方正仿宋_GBK" w:cs="方正仿宋_GBK"/>
          <w:sz w:val="32"/>
          <w:szCs w:val="32"/>
        </w:rPr>
        <w:t>%。</w:t>
      </w:r>
    </w:p>
    <w:p>
      <w:pPr>
        <w:pStyle w:val="5"/>
        <w:spacing w:before="0" w:beforeAutospacing="0" w:after="0" w:afterAutospacing="0"/>
        <w:ind w:right="44"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年末全区常住人口</w:t>
      </w:r>
      <w:r>
        <w:rPr>
          <w:rFonts w:ascii="方正仿宋_GBK" w:hAnsi="方正仿宋_GBK" w:eastAsia="方正仿宋_GBK" w:cs="方正仿宋_GBK"/>
          <w:sz w:val="32"/>
          <w:szCs w:val="32"/>
        </w:rPr>
        <w:t>72.03</w:t>
      </w:r>
      <w:r>
        <w:rPr>
          <w:rFonts w:hint="eastAsia" w:ascii="方正仿宋_GBK" w:hAnsi="方正仿宋_GBK" w:eastAsia="方正仿宋_GBK" w:cs="方正仿宋_GBK"/>
          <w:sz w:val="32"/>
          <w:szCs w:val="32"/>
        </w:rPr>
        <w:t>万人，比上年增加0.</w:t>
      </w:r>
      <w:r>
        <w:rPr>
          <w:rFonts w:ascii="方正仿宋_GBK" w:hAnsi="方正仿宋_GBK" w:eastAsia="方正仿宋_GBK" w:cs="方正仿宋_GBK"/>
          <w:sz w:val="32"/>
          <w:szCs w:val="32"/>
        </w:rPr>
        <w:t>47</w:t>
      </w:r>
      <w:r>
        <w:rPr>
          <w:rFonts w:hint="eastAsia" w:ascii="方正仿宋_GBK" w:hAnsi="方正仿宋_GBK" w:eastAsia="方正仿宋_GBK" w:cs="方正仿宋_GBK"/>
          <w:sz w:val="32"/>
          <w:szCs w:val="32"/>
        </w:rPr>
        <w:t>万人。其中城镇人口</w:t>
      </w:r>
      <w:r>
        <w:rPr>
          <w:rFonts w:ascii="方正仿宋_GBK" w:hAnsi="方正仿宋_GBK" w:eastAsia="方正仿宋_GBK" w:cs="方正仿宋_GBK"/>
          <w:sz w:val="32"/>
          <w:szCs w:val="32"/>
        </w:rPr>
        <w:t>42.04</w:t>
      </w:r>
      <w:r>
        <w:rPr>
          <w:rFonts w:hint="eastAsia" w:ascii="方正仿宋_GBK" w:hAnsi="方正仿宋_GBK" w:eastAsia="方正仿宋_GBK" w:cs="方正仿宋_GBK"/>
          <w:sz w:val="32"/>
          <w:szCs w:val="32"/>
        </w:rPr>
        <w:t>万人，增加1.55万人，城镇化率</w:t>
      </w:r>
      <w:r>
        <w:rPr>
          <w:rFonts w:ascii="方正仿宋_GBK" w:hAnsi="方正仿宋_GBK" w:eastAsia="方正仿宋_GBK" w:cs="方正仿宋_GBK"/>
          <w:sz w:val="32"/>
          <w:szCs w:val="32"/>
        </w:rPr>
        <w:t>58.36</w:t>
      </w:r>
      <w:r>
        <w:rPr>
          <w:rFonts w:hint="eastAsia" w:ascii="方正仿宋_GBK" w:hAnsi="方正仿宋_GBK" w:eastAsia="方正仿宋_GBK" w:cs="方正仿宋_GBK"/>
          <w:sz w:val="32"/>
          <w:szCs w:val="32"/>
        </w:rPr>
        <w:t>%，比上年提高1.78个百分点。</w:t>
      </w:r>
    </w:p>
    <w:p>
      <w:pPr>
        <w:pStyle w:val="5"/>
        <w:spacing w:before="0" w:beforeAutospacing="0" w:after="0" w:afterAutospacing="0"/>
        <w:ind w:right="44"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末全区户籍人口850338人，比上年增加195人。其中城镇人口412148人，乡村人口438190人。分性别看，男性人口432731人，女性人口417607人，人口性别比（以女性为1，男性对女性的比例）为1.04。户籍户数312584户。全年出生人口8013人，出生人口性别比为1.02，出生率为9.4‰；死亡人口6256人，死亡率为7.4‰；自然增长率为2.1‰。</w:t>
      </w:r>
    </w:p>
    <w:p>
      <w:pPr>
        <w:widowControl/>
        <w:shd w:val="clear" w:color="auto" w:fill="FFFFFF"/>
        <w:spacing w:line="360" w:lineRule="auto"/>
        <w:ind w:firstLine="562" w:firstLineChars="200"/>
        <w:jc w:val="center"/>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表1　2019年人口数及其构成</w:t>
      </w:r>
    </w:p>
    <w:tbl>
      <w:tblPr>
        <w:tblStyle w:val="9"/>
        <w:tblW w:w="7692" w:type="dxa"/>
        <w:tblInd w:w="648" w:type="dxa"/>
        <w:tblLayout w:type="fixed"/>
        <w:tblCellMar>
          <w:top w:w="0" w:type="dxa"/>
          <w:left w:w="108" w:type="dxa"/>
          <w:bottom w:w="0" w:type="dxa"/>
          <w:right w:w="108" w:type="dxa"/>
        </w:tblCellMar>
      </w:tblPr>
      <w:tblGrid>
        <w:gridCol w:w="4053"/>
        <w:gridCol w:w="1730"/>
        <w:gridCol w:w="1909"/>
      </w:tblGrid>
      <w:tr>
        <w:tblPrEx>
          <w:tblLayout w:type="fixed"/>
          <w:tblCellMar>
            <w:top w:w="0" w:type="dxa"/>
            <w:left w:w="108" w:type="dxa"/>
            <w:bottom w:w="0" w:type="dxa"/>
            <w:right w:w="108" w:type="dxa"/>
          </w:tblCellMar>
        </w:tblPrEx>
        <w:trPr>
          <w:trHeight w:val="893" w:hRule="atLeast"/>
        </w:trPr>
        <w:tc>
          <w:tcPr>
            <w:tcW w:w="4053" w:type="dxa"/>
            <w:tcBorders>
              <w:top w:val="single" w:color="auto" w:sz="4" w:space="0"/>
              <w:bottom w:val="single" w:color="auto" w:sz="4" w:space="0"/>
              <w:right w:val="single" w:color="auto" w:sz="4" w:space="0"/>
            </w:tcBorders>
            <w:vAlign w:val="center"/>
          </w:tcPr>
          <w:p>
            <w:pPr>
              <w:widowControl/>
              <w:shd w:val="clear" w:color="auto" w:fill="FFFFFF"/>
              <w:spacing w:line="360" w:lineRule="auto"/>
              <w:ind w:firstLine="482" w:firstLineChars="200"/>
              <w:jc w:val="center"/>
              <w:rPr>
                <w:rFonts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指标名称</w:t>
            </w:r>
          </w:p>
        </w:tc>
        <w:tc>
          <w:tcPr>
            <w:tcW w:w="173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2" w:firstLineChars="200"/>
              <w:jc w:val="center"/>
              <w:rPr>
                <w:rFonts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年末数</w:t>
            </w:r>
          </w:p>
        </w:tc>
        <w:tc>
          <w:tcPr>
            <w:tcW w:w="1909" w:type="dxa"/>
            <w:tcBorders>
              <w:top w:val="single" w:color="auto" w:sz="4" w:space="0"/>
              <w:left w:val="single" w:color="auto" w:sz="4" w:space="0"/>
              <w:bottom w:val="single" w:color="auto" w:sz="4" w:space="0"/>
            </w:tcBorders>
            <w:vAlign w:val="center"/>
          </w:tcPr>
          <w:p>
            <w:pPr>
              <w:widowControl/>
              <w:shd w:val="clear" w:color="auto" w:fill="FFFFFF"/>
              <w:spacing w:line="360" w:lineRule="auto"/>
              <w:ind w:firstLine="482" w:firstLineChars="200"/>
              <w:jc w:val="center"/>
              <w:rPr>
                <w:rFonts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比重（％）</w:t>
            </w:r>
          </w:p>
        </w:tc>
      </w:tr>
      <w:tr>
        <w:tblPrEx>
          <w:tblLayout w:type="fixed"/>
          <w:tblCellMar>
            <w:top w:w="0" w:type="dxa"/>
            <w:left w:w="108" w:type="dxa"/>
            <w:bottom w:w="0" w:type="dxa"/>
            <w:right w:w="108" w:type="dxa"/>
          </w:tblCellMar>
        </w:tblPrEx>
        <w:trPr>
          <w:trHeight w:val="673" w:hRule="exact"/>
        </w:trPr>
        <w:tc>
          <w:tcPr>
            <w:tcW w:w="4053" w:type="dxa"/>
            <w:tcBorders>
              <w:right w:val="single" w:color="auto" w:sz="4" w:space="0"/>
            </w:tcBorders>
            <w:vAlign w:val="center"/>
          </w:tcPr>
          <w:p>
            <w:pPr>
              <w:widowControl/>
              <w:shd w:val="clear" w:color="auto" w:fill="FFFFFF"/>
              <w:spacing w:line="360" w:lineRule="auto"/>
              <w:ind w:firstLine="480" w:firstLineChars="200"/>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常住人口（万人）</w:t>
            </w:r>
          </w:p>
        </w:tc>
        <w:tc>
          <w:tcPr>
            <w:tcW w:w="1730" w:type="dxa"/>
            <w:tcBorders>
              <w:left w:val="single" w:color="auto" w:sz="4" w:space="0"/>
            </w:tcBorders>
            <w:vAlign w:val="center"/>
          </w:tcPr>
          <w:p>
            <w:pPr>
              <w:widowControl/>
              <w:jc w:val="center"/>
              <w:textAlignment w:val="center"/>
              <w:rPr>
                <w:rFonts w:ascii="方正仿宋_GBK" w:hAnsi="方正仿宋_GBK" w:eastAsia="方正仿宋_GBK" w:cs="方正仿宋_GBK"/>
                <w:sz w:val="24"/>
              </w:rPr>
            </w:pPr>
            <w:r>
              <w:rPr>
                <w:rFonts w:ascii="方正仿宋_GBK" w:hAnsi="方正仿宋_GBK" w:eastAsia="方正仿宋_GBK" w:cs="方正仿宋_GBK"/>
                <w:kern w:val="0"/>
                <w:sz w:val="24"/>
              </w:rPr>
              <w:t>72.03</w:t>
            </w:r>
          </w:p>
        </w:tc>
        <w:tc>
          <w:tcPr>
            <w:tcW w:w="1909" w:type="dxa"/>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100</w:t>
            </w:r>
          </w:p>
        </w:tc>
      </w:tr>
      <w:tr>
        <w:tblPrEx>
          <w:tblLayout w:type="fixed"/>
          <w:tblCellMar>
            <w:top w:w="0" w:type="dxa"/>
            <w:left w:w="108" w:type="dxa"/>
            <w:bottom w:w="0" w:type="dxa"/>
            <w:right w:w="108" w:type="dxa"/>
          </w:tblCellMar>
        </w:tblPrEx>
        <w:trPr>
          <w:trHeight w:val="673" w:hRule="exact"/>
        </w:trPr>
        <w:tc>
          <w:tcPr>
            <w:tcW w:w="4053" w:type="dxa"/>
            <w:tcBorders>
              <w:right w:val="single" w:color="auto" w:sz="4" w:space="0"/>
            </w:tcBorders>
            <w:vAlign w:val="center"/>
          </w:tcPr>
          <w:p>
            <w:pPr>
              <w:widowControl/>
              <w:shd w:val="clear" w:color="auto" w:fill="FFFFFF"/>
              <w:spacing w:line="360" w:lineRule="auto"/>
              <w:ind w:firstLine="720" w:firstLineChars="300"/>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其中：城镇人口（万人）</w:t>
            </w:r>
          </w:p>
        </w:tc>
        <w:tc>
          <w:tcPr>
            <w:tcW w:w="1730" w:type="dxa"/>
            <w:tcBorders>
              <w:left w:val="single" w:color="auto"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42.04</w:t>
            </w:r>
          </w:p>
        </w:tc>
        <w:tc>
          <w:tcPr>
            <w:tcW w:w="1909" w:type="dxa"/>
            <w:vAlign w:val="center"/>
          </w:tcPr>
          <w:p>
            <w:pPr>
              <w:widowControl/>
              <w:jc w:val="center"/>
              <w:textAlignment w:val="center"/>
              <w:rPr>
                <w:rFonts w:ascii="方正仿宋_GBK" w:hAnsi="方正仿宋_GBK" w:eastAsia="方正仿宋_GBK" w:cs="方正仿宋_GBK"/>
                <w:sz w:val="24"/>
              </w:rPr>
            </w:pPr>
            <w:r>
              <w:rPr>
                <w:rFonts w:ascii="方正仿宋_GBK" w:hAnsi="方正仿宋_GBK" w:eastAsia="方正仿宋_GBK" w:cs="方正仿宋_GBK"/>
                <w:kern w:val="0"/>
                <w:sz w:val="24"/>
              </w:rPr>
              <w:t>58.36</w:t>
            </w:r>
          </w:p>
        </w:tc>
      </w:tr>
      <w:tr>
        <w:tblPrEx>
          <w:tblLayout w:type="fixed"/>
          <w:tblCellMar>
            <w:top w:w="0" w:type="dxa"/>
            <w:left w:w="108" w:type="dxa"/>
            <w:bottom w:w="0" w:type="dxa"/>
            <w:right w:w="108" w:type="dxa"/>
          </w:tblCellMar>
        </w:tblPrEx>
        <w:trPr>
          <w:trHeight w:val="673" w:hRule="exact"/>
        </w:trPr>
        <w:tc>
          <w:tcPr>
            <w:tcW w:w="4053" w:type="dxa"/>
            <w:tcBorders>
              <w:right w:val="single" w:color="auto" w:sz="4" w:space="0"/>
            </w:tcBorders>
            <w:vAlign w:val="center"/>
          </w:tcPr>
          <w:p>
            <w:pPr>
              <w:widowControl/>
              <w:shd w:val="clear" w:color="auto" w:fill="FFFFFF"/>
              <w:spacing w:line="360" w:lineRule="auto"/>
              <w:ind w:firstLine="480" w:firstLineChars="200"/>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 xml:space="preserve">   农村人口（万人）</w:t>
            </w:r>
          </w:p>
        </w:tc>
        <w:tc>
          <w:tcPr>
            <w:tcW w:w="1730" w:type="dxa"/>
            <w:tcBorders>
              <w:top w:val="nil"/>
              <w:left w:val="nil"/>
              <w:bottom w:val="nil"/>
              <w:right w:val="nil"/>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29.99</w:t>
            </w:r>
          </w:p>
        </w:tc>
        <w:tc>
          <w:tcPr>
            <w:tcW w:w="1909" w:type="dxa"/>
            <w:tcBorders>
              <w:top w:val="nil"/>
              <w:left w:val="nil"/>
              <w:bottom w:val="nil"/>
              <w:right w:val="nil"/>
            </w:tcBorders>
            <w:vAlign w:val="center"/>
          </w:tcPr>
          <w:p>
            <w:pPr>
              <w:widowControl/>
              <w:jc w:val="center"/>
              <w:textAlignment w:val="center"/>
              <w:rPr>
                <w:rFonts w:ascii="方正仿宋_GBK" w:hAnsi="方正仿宋_GBK" w:eastAsia="方正仿宋_GBK" w:cs="方正仿宋_GBK"/>
                <w:sz w:val="24"/>
              </w:rPr>
            </w:pPr>
            <w:r>
              <w:rPr>
                <w:rFonts w:ascii="方正仿宋_GBK" w:hAnsi="方正仿宋_GBK" w:eastAsia="方正仿宋_GBK" w:cs="方正仿宋_GBK"/>
                <w:kern w:val="0"/>
                <w:sz w:val="24"/>
              </w:rPr>
              <w:t>41.64</w:t>
            </w:r>
          </w:p>
        </w:tc>
      </w:tr>
      <w:tr>
        <w:tblPrEx>
          <w:tblLayout w:type="fixed"/>
          <w:tblCellMar>
            <w:top w:w="0" w:type="dxa"/>
            <w:left w:w="108" w:type="dxa"/>
            <w:bottom w:w="0" w:type="dxa"/>
            <w:right w:w="108" w:type="dxa"/>
          </w:tblCellMar>
        </w:tblPrEx>
        <w:trPr>
          <w:trHeight w:val="673" w:hRule="exact"/>
        </w:trPr>
        <w:tc>
          <w:tcPr>
            <w:tcW w:w="4053" w:type="dxa"/>
            <w:tcBorders>
              <w:right w:val="single" w:color="auto" w:sz="4" w:space="0"/>
            </w:tcBorders>
            <w:vAlign w:val="center"/>
          </w:tcPr>
          <w:p>
            <w:pPr>
              <w:ind w:firstLine="480" w:firstLineChars="20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户籍总人口（人）</w:t>
            </w:r>
          </w:p>
        </w:tc>
        <w:tc>
          <w:tcPr>
            <w:tcW w:w="1730" w:type="dxa"/>
            <w:tcBorders>
              <w:top w:val="nil"/>
              <w:left w:val="nil"/>
              <w:bottom w:val="nil"/>
              <w:right w:val="nil"/>
            </w:tcBorders>
            <w:vAlign w:val="center"/>
          </w:tcPr>
          <w:p>
            <w:pPr>
              <w:widowControl/>
              <w:jc w:val="center"/>
              <w:textAlignment w:val="center"/>
              <w:rPr>
                <w:rFonts w:ascii="方正仿宋_GBK" w:hAnsi="方正仿宋_GBK" w:eastAsia="方正仿宋_GBK" w:cs="方正仿宋_GBK"/>
                <w:sz w:val="24"/>
              </w:rPr>
            </w:pPr>
            <w:r>
              <w:rPr>
                <w:rFonts w:ascii="方正仿宋_GBK" w:hAnsi="方正仿宋_GBK" w:eastAsia="方正仿宋_GBK" w:cs="方正仿宋_GBK"/>
                <w:kern w:val="0"/>
                <w:sz w:val="24"/>
              </w:rPr>
              <w:t>8</w:t>
            </w:r>
            <w:r>
              <w:rPr>
                <w:rFonts w:hint="eastAsia" w:ascii="方正仿宋_GBK" w:hAnsi="方正仿宋_GBK" w:eastAsia="方正仿宋_GBK" w:cs="方正仿宋_GBK"/>
                <w:kern w:val="0"/>
                <w:sz w:val="24"/>
              </w:rPr>
              <w:t>50338</w:t>
            </w:r>
          </w:p>
        </w:tc>
        <w:tc>
          <w:tcPr>
            <w:tcW w:w="1909" w:type="dxa"/>
            <w:tcBorders>
              <w:top w:val="nil"/>
              <w:left w:val="nil"/>
              <w:bottom w:val="nil"/>
              <w:right w:val="nil"/>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100</w:t>
            </w:r>
          </w:p>
        </w:tc>
      </w:tr>
      <w:tr>
        <w:tblPrEx>
          <w:tblLayout w:type="fixed"/>
          <w:tblCellMar>
            <w:top w:w="0" w:type="dxa"/>
            <w:left w:w="108" w:type="dxa"/>
            <w:bottom w:w="0" w:type="dxa"/>
            <w:right w:w="108" w:type="dxa"/>
          </w:tblCellMar>
        </w:tblPrEx>
        <w:trPr>
          <w:trHeight w:val="673" w:hRule="exact"/>
        </w:trPr>
        <w:tc>
          <w:tcPr>
            <w:tcW w:w="4053" w:type="dxa"/>
            <w:tcBorders>
              <w:right w:val="single" w:color="auto" w:sz="4" w:space="0"/>
            </w:tcBorders>
            <w:vAlign w:val="center"/>
          </w:tcPr>
          <w:p>
            <w:pPr>
              <w:widowControl/>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      其中：城镇人口（人）</w:t>
            </w:r>
          </w:p>
        </w:tc>
        <w:tc>
          <w:tcPr>
            <w:tcW w:w="1730" w:type="dxa"/>
            <w:tcBorders>
              <w:top w:val="nil"/>
              <w:left w:val="nil"/>
              <w:bottom w:val="nil"/>
              <w:right w:val="nil"/>
            </w:tcBorders>
            <w:vAlign w:val="center"/>
          </w:tcPr>
          <w:p>
            <w:pPr>
              <w:widowControl/>
              <w:jc w:val="center"/>
              <w:textAlignment w:val="center"/>
              <w:rPr>
                <w:rFonts w:ascii="方正仿宋_GBK" w:hAnsi="方正仿宋_GBK" w:eastAsia="方正仿宋_GBK" w:cs="方正仿宋_GBK"/>
                <w:sz w:val="24"/>
              </w:rPr>
            </w:pPr>
            <w:r>
              <w:rPr>
                <w:rFonts w:ascii="方正仿宋_GBK" w:hAnsi="方正仿宋_GBK" w:eastAsia="方正仿宋_GBK" w:cs="方正仿宋_GBK"/>
                <w:kern w:val="0"/>
                <w:sz w:val="24"/>
              </w:rPr>
              <w:t>4</w:t>
            </w:r>
            <w:r>
              <w:rPr>
                <w:rFonts w:hint="eastAsia" w:ascii="方正仿宋_GBK" w:hAnsi="方正仿宋_GBK" w:eastAsia="方正仿宋_GBK" w:cs="方正仿宋_GBK"/>
                <w:kern w:val="0"/>
                <w:sz w:val="24"/>
              </w:rPr>
              <w:t>12148</w:t>
            </w:r>
          </w:p>
        </w:tc>
        <w:tc>
          <w:tcPr>
            <w:tcW w:w="1909" w:type="dxa"/>
            <w:tcBorders>
              <w:top w:val="nil"/>
              <w:left w:val="nil"/>
              <w:bottom w:val="nil"/>
              <w:right w:val="nil"/>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48.5</w:t>
            </w:r>
          </w:p>
        </w:tc>
      </w:tr>
      <w:tr>
        <w:tblPrEx>
          <w:tblLayout w:type="fixed"/>
          <w:tblCellMar>
            <w:top w:w="0" w:type="dxa"/>
            <w:left w:w="108" w:type="dxa"/>
            <w:bottom w:w="0" w:type="dxa"/>
            <w:right w:w="108" w:type="dxa"/>
          </w:tblCellMar>
        </w:tblPrEx>
        <w:trPr>
          <w:trHeight w:val="673" w:hRule="exact"/>
        </w:trPr>
        <w:tc>
          <w:tcPr>
            <w:tcW w:w="4053" w:type="dxa"/>
            <w:tcBorders>
              <w:right w:val="single" w:color="auto" w:sz="4" w:space="0"/>
            </w:tcBorders>
            <w:vAlign w:val="center"/>
          </w:tcPr>
          <w:p>
            <w:pPr>
              <w:widowControl/>
              <w:jc w:val="center"/>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    乡村人口（人）</w:t>
            </w:r>
          </w:p>
        </w:tc>
        <w:tc>
          <w:tcPr>
            <w:tcW w:w="1730" w:type="dxa"/>
            <w:tcBorders>
              <w:top w:val="nil"/>
              <w:left w:val="nil"/>
              <w:bottom w:val="nil"/>
              <w:right w:val="nil"/>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438190</w:t>
            </w:r>
          </w:p>
        </w:tc>
        <w:tc>
          <w:tcPr>
            <w:tcW w:w="1909" w:type="dxa"/>
            <w:tcBorders>
              <w:top w:val="nil"/>
              <w:left w:val="nil"/>
              <w:bottom w:val="nil"/>
              <w:right w:val="nil"/>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51.5</w:t>
            </w:r>
          </w:p>
        </w:tc>
      </w:tr>
      <w:tr>
        <w:tblPrEx>
          <w:tblLayout w:type="fixed"/>
          <w:tblCellMar>
            <w:top w:w="0" w:type="dxa"/>
            <w:left w:w="108" w:type="dxa"/>
            <w:bottom w:w="0" w:type="dxa"/>
            <w:right w:w="108" w:type="dxa"/>
          </w:tblCellMar>
        </w:tblPrEx>
        <w:trPr>
          <w:trHeight w:val="673" w:hRule="exact"/>
        </w:trPr>
        <w:tc>
          <w:tcPr>
            <w:tcW w:w="4053" w:type="dxa"/>
            <w:tcBorders>
              <w:right w:val="single" w:color="auto" w:sz="4" w:space="0"/>
            </w:tcBorders>
            <w:vAlign w:val="center"/>
          </w:tcPr>
          <w:p>
            <w:pPr>
              <w:ind w:firstLine="720" w:firstLineChars="30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其中：男性（人）</w:t>
            </w:r>
          </w:p>
        </w:tc>
        <w:tc>
          <w:tcPr>
            <w:tcW w:w="1730" w:type="dxa"/>
            <w:tcBorders>
              <w:top w:val="nil"/>
              <w:left w:val="nil"/>
              <w:right w:val="nil"/>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432731</w:t>
            </w:r>
          </w:p>
        </w:tc>
        <w:tc>
          <w:tcPr>
            <w:tcW w:w="1909" w:type="dxa"/>
            <w:tcBorders>
              <w:top w:val="nil"/>
              <w:left w:val="nil"/>
              <w:right w:val="nil"/>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50.9</w:t>
            </w:r>
          </w:p>
        </w:tc>
      </w:tr>
      <w:tr>
        <w:tblPrEx>
          <w:tblLayout w:type="fixed"/>
          <w:tblCellMar>
            <w:top w:w="0" w:type="dxa"/>
            <w:left w:w="108" w:type="dxa"/>
            <w:bottom w:w="0" w:type="dxa"/>
            <w:right w:w="108" w:type="dxa"/>
          </w:tblCellMar>
        </w:tblPrEx>
        <w:trPr>
          <w:trHeight w:val="680" w:hRule="exact"/>
        </w:trPr>
        <w:tc>
          <w:tcPr>
            <w:tcW w:w="4053" w:type="dxa"/>
            <w:tcBorders>
              <w:bottom w:val="single" w:color="auto" w:sz="4" w:space="0"/>
              <w:right w:val="single" w:color="auto" w:sz="4" w:space="0"/>
            </w:tcBorders>
            <w:vAlign w:val="center"/>
          </w:tcPr>
          <w:p>
            <w:pPr>
              <w:ind w:firstLine="1440" w:firstLineChars="60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女性（人）</w:t>
            </w:r>
          </w:p>
        </w:tc>
        <w:tc>
          <w:tcPr>
            <w:tcW w:w="1730" w:type="dxa"/>
            <w:tcBorders>
              <w:top w:val="nil"/>
              <w:left w:val="nil"/>
              <w:bottom w:val="single" w:color="auto" w:sz="4" w:space="0"/>
              <w:right w:val="nil"/>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417607</w:t>
            </w:r>
          </w:p>
        </w:tc>
        <w:tc>
          <w:tcPr>
            <w:tcW w:w="1909" w:type="dxa"/>
            <w:tcBorders>
              <w:top w:val="nil"/>
              <w:left w:val="nil"/>
              <w:bottom w:val="single" w:color="auto" w:sz="4" w:space="0"/>
              <w:right w:val="nil"/>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49.1</w:t>
            </w:r>
          </w:p>
        </w:tc>
      </w:tr>
    </w:tbl>
    <w:p>
      <w:pPr>
        <w:pStyle w:val="5"/>
        <w:spacing w:before="0" w:beforeAutospacing="0" w:after="0" w:afterAutospacing="0"/>
        <w:ind w:right="45"/>
        <w:rPr>
          <w:rFonts w:ascii="方正仿宋_GBK" w:hAnsi="方正仿宋_GBK" w:eastAsia="方正仿宋_GBK" w:cs="方正仿宋_GBK"/>
          <w:color w:val="0000FF"/>
        </w:rPr>
      </w:pPr>
      <w:r>
        <w:drawing>
          <wp:inline distT="0" distB="0" distL="0" distR="0">
            <wp:extent cx="5274310" cy="3104515"/>
            <wp:effectExtent l="0" t="0" r="2540" b="63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shd w:val="clear" w:color="auto" w:fill="FFFFFF"/>
        <w:spacing w:line="360" w:lineRule="auto"/>
        <w:ind w:firstLine="640" w:firstLineChars="200"/>
        <w:rPr>
          <w:rFonts w:ascii="方正仿宋_GBK" w:hAnsi="方正仿宋_GBK" w:eastAsia="方正仿宋_GBK" w:cs="方正仿宋_GBK"/>
          <w:b/>
          <w:bCs/>
          <w:color w:val="000000" w:themeColor="text1"/>
          <w:kern w:val="0"/>
          <w:sz w:val="32"/>
          <w:szCs w:val="32"/>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2019年城镇新增就业人员</w:t>
      </w:r>
      <w:r>
        <w:rPr>
          <w:rFonts w:ascii="方正仿宋_GBK" w:hAnsi="方正仿宋_GBK" w:eastAsia="方正仿宋_GBK" w:cs="方正仿宋_GBK"/>
          <w:bCs/>
          <w:color w:val="000000" w:themeColor="text1"/>
          <w:kern w:val="0"/>
          <w:sz w:val="32"/>
          <w:szCs w:val="32"/>
          <w14:textFill>
            <w14:solidFill>
              <w14:schemeClr w14:val="tx1"/>
            </w14:solidFill>
          </w14:textFill>
        </w:rPr>
        <w:t>20515</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人,比上年增长22.7%。新增转移农村劳动力</w:t>
      </w:r>
      <w:r>
        <w:rPr>
          <w:rFonts w:ascii="方正仿宋_GBK" w:hAnsi="方正仿宋_GBK" w:eastAsia="方正仿宋_GBK" w:cs="方正仿宋_GBK"/>
          <w:bCs/>
          <w:color w:val="000000" w:themeColor="text1"/>
          <w:kern w:val="0"/>
          <w:sz w:val="32"/>
          <w:szCs w:val="32"/>
          <w14:textFill>
            <w14:solidFill>
              <w14:schemeClr w14:val="tx1"/>
            </w14:solidFill>
          </w14:textFill>
        </w:rPr>
        <w:t>1145</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人，</w:t>
      </w:r>
      <w:r>
        <w:rPr>
          <w:rFonts w:ascii="方正仿宋_GBK" w:hAnsi="方正仿宋_GBK" w:eastAsia="方正仿宋_GBK" w:cs="方正仿宋_GBK"/>
          <w:bCs/>
          <w:color w:val="000000" w:themeColor="text1"/>
          <w:kern w:val="0"/>
          <w:sz w:val="32"/>
          <w:szCs w:val="32"/>
          <w14:textFill>
            <w14:solidFill>
              <w14:schemeClr w14:val="tx1"/>
            </w14:solidFill>
          </w14:textFill>
        </w:rPr>
        <w:t>比上年</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下降18.6</w:t>
      </w:r>
      <w:r>
        <w:rPr>
          <w:rFonts w:ascii="方正仿宋_GBK" w:hAnsi="方正仿宋_GBK" w:eastAsia="方正仿宋_GBK" w:cs="方正仿宋_GBK"/>
          <w:bCs/>
          <w:color w:val="000000" w:themeColor="text1"/>
          <w:kern w:val="0"/>
          <w:sz w:val="32"/>
          <w:szCs w:val="32"/>
          <w14:textFill>
            <w14:solidFill>
              <w14:schemeClr w14:val="tx1"/>
            </w14:solidFill>
          </w14:textFill>
        </w:rPr>
        <w:t>%</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。年末城镇登记失业人数</w:t>
      </w:r>
      <w:r>
        <w:rPr>
          <w:rFonts w:ascii="方正仿宋_GBK" w:hAnsi="方正仿宋_GBK" w:eastAsia="方正仿宋_GBK" w:cs="方正仿宋_GBK"/>
          <w:bCs/>
          <w:color w:val="000000" w:themeColor="text1"/>
          <w:kern w:val="0"/>
          <w:sz w:val="32"/>
          <w:szCs w:val="32"/>
          <w14:textFill>
            <w14:solidFill>
              <w14:schemeClr w14:val="tx1"/>
            </w14:solidFill>
          </w14:textFill>
        </w:rPr>
        <w:t>3834</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人，城镇登记失业率</w:t>
      </w:r>
      <w:r>
        <w:rPr>
          <w:rFonts w:ascii="方正仿宋_GBK" w:hAnsi="方正仿宋_GBK" w:eastAsia="方正仿宋_GBK" w:cs="方正仿宋_GBK"/>
          <w:bCs/>
          <w:color w:val="000000" w:themeColor="text1"/>
          <w:kern w:val="0"/>
          <w:sz w:val="32"/>
          <w:szCs w:val="32"/>
          <w14:textFill>
            <w14:solidFill>
              <w14:schemeClr w14:val="tx1"/>
            </w14:solidFill>
          </w14:textFill>
        </w:rPr>
        <w:t>2.79</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％，与上年</w:t>
      </w:r>
      <w:r>
        <w:rPr>
          <w:rFonts w:ascii="方正仿宋_GBK" w:hAnsi="方正仿宋_GBK" w:eastAsia="方正仿宋_GBK" w:cs="方正仿宋_GBK"/>
          <w:bCs/>
          <w:color w:val="000000" w:themeColor="text1"/>
          <w:kern w:val="0"/>
          <w:sz w:val="32"/>
          <w:szCs w:val="32"/>
          <w14:textFill>
            <w14:solidFill>
              <w14:schemeClr w14:val="tx1"/>
            </w14:solidFill>
          </w14:textFill>
        </w:rPr>
        <w:t>持平</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w:t>
      </w:r>
      <w:r>
        <w:rPr>
          <w:rFonts w:hint="eastAsia" w:ascii="方正仿宋_GBK" w:hAnsi="方正仿宋_GBK" w:eastAsia="方正仿宋_GBK" w:cs="方正仿宋_GBK"/>
          <w:b/>
          <w:bCs/>
          <w:color w:val="000000" w:themeColor="text1"/>
          <w:kern w:val="0"/>
          <w:sz w:val="32"/>
          <w:szCs w:val="32"/>
          <w14:textFill>
            <w14:solidFill>
              <w14:schemeClr w14:val="tx1"/>
            </w14:solidFill>
          </w14:textFill>
        </w:rPr>
        <w:t>。</w:t>
      </w:r>
    </w:p>
    <w:p>
      <w:pPr>
        <w:widowControl/>
        <w:shd w:val="clear" w:color="auto" w:fill="FFFFFF"/>
        <w:spacing w:line="360" w:lineRule="auto"/>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截止2019年，全区共有各类市场主体</w:t>
      </w:r>
      <w:r>
        <w:rPr>
          <w:rFonts w:ascii="方正仿宋_GBK" w:hAnsi="方正仿宋_GBK" w:eastAsia="方正仿宋_GBK" w:cs="方正仿宋_GBK"/>
          <w:bCs/>
          <w:kern w:val="0"/>
          <w:sz w:val="32"/>
          <w:szCs w:val="32"/>
        </w:rPr>
        <w:t>62551</w:t>
      </w:r>
      <w:r>
        <w:rPr>
          <w:rFonts w:hint="eastAsia" w:ascii="方正仿宋_GBK" w:hAnsi="方正仿宋_GBK" w:eastAsia="方正仿宋_GBK" w:cs="方正仿宋_GBK"/>
          <w:bCs/>
          <w:kern w:val="0"/>
          <w:sz w:val="32"/>
          <w:szCs w:val="32"/>
        </w:rPr>
        <w:t>户，比上年增长</w:t>
      </w:r>
      <w:r>
        <w:rPr>
          <w:rFonts w:ascii="方正仿宋_GBK" w:hAnsi="方正仿宋_GBK" w:eastAsia="方正仿宋_GBK" w:cs="方正仿宋_GBK"/>
          <w:bCs/>
          <w:kern w:val="0"/>
          <w:sz w:val="32"/>
          <w:szCs w:val="32"/>
        </w:rPr>
        <w:t>7.3</w:t>
      </w:r>
      <w:r>
        <w:rPr>
          <w:rFonts w:hint="eastAsia" w:ascii="方正仿宋_GBK" w:hAnsi="方正仿宋_GBK" w:eastAsia="方正仿宋_GBK" w:cs="方正仿宋_GBK"/>
          <w:bCs/>
          <w:kern w:val="0"/>
          <w:sz w:val="32"/>
          <w:szCs w:val="32"/>
        </w:rPr>
        <w:t>%。其中内资企业</w:t>
      </w:r>
      <w:r>
        <w:rPr>
          <w:rFonts w:ascii="方正仿宋_GBK" w:hAnsi="方正仿宋_GBK" w:eastAsia="方正仿宋_GBK" w:cs="方正仿宋_GBK"/>
          <w:bCs/>
          <w:kern w:val="0"/>
          <w:sz w:val="32"/>
          <w:szCs w:val="32"/>
        </w:rPr>
        <w:t>15487</w:t>
      </w:r>
      <w:r>
        <w:rPr>
          <w:rFonts w:hint="eastAsia" w:ascii="方正仿宋_GBK" w:hAnsi="方正仿宋_GBK" w:eastAsia="方正仿宋_GBK" w:cs="方正仿宋_GBK"/>
          <w:bCs/>
          <w:kern w:val="0"/>
          <w:sz w:val="32"/>
          <w:szCs w:val="32"/>
        </w:rPr>
        <w:t>户，外资企业</w:t>
      </w:r>
      <w:r>
        <w:rPr>
          <w:rFonts w:ascii="方正仿宋_GBK" w:hAnsi="方正仿宋_GBK" w:eastAsia="方正仿宋_GBK" w:cs="方正仿宋_GBK"/>
          <w:bCs/>
          <w:kern w:val="0"/>
          <w:sz w:val="32"/>
          <w:szCs w:val="32"/>
        </w:rPr>
        <w:t>53</w:t>
      </w:r>
      <w:r>
        <w:rPr>
          <w:rFonts w:hint="eastAsia" w:ascii="方正仿宋_GBK" w:hAnsi="方正仿宋_GBK" w:eastAsia="方正仿宋_GBK" w:cs="方正仿宋_GBK"/>
          <w:bCs/>
          <w:kern w:val="0"/>
          <w:sz w:val="32"/>
          <w:szCs w:val="32"/>
        </w:rPr>
        <w:t>户，个体工商户</w:t>
      </w:r>
      <w:r>
        <w:rPr>
          <w:rFonts w:ascii="方正仿宋_GBK" w:hAnsi="方正仿宋_GBK" w:eastAsia="方正仿宋_GBK" w:cs="方正仿宋_GBK"/>
          <w:bCs/>
          <w:kern w:val="0"/>
          <w:sz w:val="32"/>
          <w:szCs w:val="32"/>
        </w:rPr>
        <w:t>46374</w:t>
      </w:r>
      <w:r>
        <w:rPr>
          <w:rFonts w:hint="eastAsia" w:ascii="方正仿宋_GBK" w:hAnsi="方正仿宋_GBK" w:eastAsia="方正仿宋_GBK" w:cs="方正仿宋_GBK"/>
          <w:bCs/>
          <w:kern w:val="0"/>
          <w:sz w:val="32"/>
          <w:szCs w:val="32"/>
        </w:rPr>
        <w:t>户，农民专业合作社</w:t>
      </w:r>
      <w:r>
        <w:rPr>
          <w:rFonts w:ascii="方正仿宋_GBK" w:hAnsi="方正仿宋_GBK" w:eastAsia="方正仿宋_GBK" w:cs="方正仿宋_GBK"/>
          <w:bCs/>
          <w:kern w:val="0"/>
          <w:sz w:val="32"/>
          <w:szCs w:val="32"/>
        </w:rPr>
        <w:t>637</w:t>
      </w:r>
      <w:r>
        <w:rPr>
          <w:rFonts w:hint="eastAsia" w:ascii="方正仿宋_GBK" w:hAnsi="方正仿宋_GBK" w:eastAsia="方正仿宋_GBK" w:cs="方正仿宋_GBK"/>
          <w:bCs/>
          <w:kern w:val="0"/>
          <w:sz w:val="32"/>
          <w:szCs w:val="32"/>
        </w:rPr>
        <w:t>户。</w:t>
      </w:r>
    </w:p>
    <w:p>
      <w:pPr>
        <w:widowControl/>
        <w:shd w:val="clear" w:color="auto" w:fill="FFFFFF"/>
        <w:spacing w:line="360" w:lineRule="auto"/>
        <w:ind w:firstLine="640" w:firstLineChars="200"/>
        <w:rPr>
          <w:rFonts w:ascii="方正仿宋_GBK" w:hAnsi="方正仿宋_GBK" w:eastAsia="方正仿宋_GBK" w:cs="方正仿宋_GBK"/>
          <w:b/>
          <w:kern w:val="0"/>
          <w:sz w:val="32"/>
          <w:szCs w:val="32"/>
        </w:rPr>
      </w:pPr>
      <w:r>
        <w:rPr>
          <w:rFonts w:hint="eastAsia" w:ascii="方正仿宋_GBK" w:hAnsi="方正仿宋_GBK" w:eastAsia="方正仿宋_GBK" w:cs="方正仿宋_GBK"/>
          <w:bCs/>
          <w:kern w:val="0"/>
          <w:sz w:val="32"/>
          <w:szCs w:val="32"/>
        </w:rPr>
        <w:t>全年一般公共预算收入</w:t>
      </w:r>
      <w:r>
        <w:rPr>
          <w:rFonts w:ascii="方正仿宋_GBK" w:hAnsi="方正仿宋_GBK" w:eastAsia="方正仿宋_GBK" w:cs="方正仿宋_GBK"/>
          <w:bCs/>
          <w:kern w:val="0"/>
          <w:sz w:val="32"/>
          <w:szCs w:val="32"/>
        </w:rPr>
        <w:t>279689</w:t>
      </w:r>
      <w:r>
        <w:rPr>
          <w:rFonts w:hint="eastAsia" w:ascii="方正仿宋_GBK" w:hAnsi="方正仿宋_GBK" w:eastAsia="方正仿宋_GBK" w:cs="方正仿宋_GBK"/>
          <w:bCs/>
          <w:kern w:val="0"/>
          <w:sz w:val="32"/>
          <w:szCs w:val="32"/>
        </w:rPr>
        <w:t>万元，比上年同口径增长</w:t>
      </w:r>
      <w:r>
        <w:rPr>
          <w:rFonts w:ascii="方正仿宋_GBK" w:hAnsi="方正仿宋_GBK" w:eastAsia="方正仿宋_GBK" w:cs="方正仿宋_GBK"/>
          <w:bCs/>
          <w:kern w:val="0"/>
          <w:sz w:val="32"/>
          <w:szCs w:val="32"/>
        </w:rPr>
        <w:t>2.0</w:t>
      </w:r>
      <w:r>
        <w:rPr>
          <w:rFonts w:hint="eastAsia" w:ascii="方正仿宋_GBK" w:hAnsi="方正仿宋_GBK" w:eastAsia="方正仿宋_GBK" w:cs="方正仿宋_GBK"/>
          <w:bCs/>
          <w:kern w:val="0"/>
          <w:sz w:val="32"/>
          <w:szCs w:val="32"/>
        </w:rPr>
        <w:t>%；其中税收收入</w:t>
      </w:r>
      <w:r>
        <w:rPr>
          <w:rFonts w:ascii="方正仿宋_GBK" w:hAnsi="方正仿宋_GBK" w:eastAsia="方正仿宋_GBK" w:cs="方正仿宋_GBK"/>
          <w:bCs/>
          <w:kern w:val="0"/>
          <w:sz w:val="32"/>
          <w:szCs w:val="32"/>
        </w:rPr>
        <w:t>175836</w:t>
      </w:r>
      <w:r>
        <w:rPr>
          <w:rFonts w:hint="eastAsia" w:ascii="方正仿宋_GBK" w:hAnsi="方正仿宋_GBK" w:eastAsia="方正仿宋_GBK" w:cs="方正仿宋_GBK"/>
          <w:bCs/>
          <w:kern w:val="0"/>
          <w:sz w:val="32"/>
          <w:szCs w:val="32"/>
        </w:rPr>
        <w:t>万元，同口径增长</w:t>
      </w:r>
      <w:r>
        <w:rPr>
          <w:rFonts w:ascii="方正仿宋_GBK" w:hAnsi="方正仿宋_GBK" w:eastAsia="方正仿宋_GBK" w:cs="方正仿宋_GBK"/>
          <w:bCs/>
          <w:kern w:val="0"/>
          <w:sz w:val="32"/>
          <w:szCs w:val="32"/>
        </w:rPr>
        <w:t>6.0</w:t>
      </w:r>
      <w:r>
        <w:rPr>
          <w:rFonts w:hint="eastAsia" w:ascii="方正仿宋_GBK" w:hAnsi="方正仿宋_GBK" w:eastAsia="方正仿宋_GBK" w:cs="方正仿宋_GBK"/>
          <w:bCs/>
          <w:kern w:val="0"/>
          <w:sz w:val="32"/>
          <w:szCs w:val="32"/>
        </w:rPr>
        <w:t>%。一般公共预算支出</w:t>
      </w:r>
      <w:r>
        <w:rPr>
          <w:rFonts w:ascii="方正仿宋_GBK" w:hAnsi="方正仿宋_GBK" w:eastAsia="方正仿宋_GBK" w:cs="方正仿宋_GBK"/>
          <w:bCs/>
          <w:kern w:val="0"/>
          <w:sz w:val="32"/>
          <w:szCs w:val="32"/>
        </w:rPr>
        <w:t>919845</w:t>
      </w:r>
      <w:r>
        <w:rPr>
          <w:rFonts w:hint="eastAsia" w:ascii="方正仿宋_GBK" w:hAnsi="方正仿宋_GBK" w:eastAsia="方正仿宋_GBK" w:cs="方正仿宋_GBK"/>
          <w:bCs/>
          <w:kern w:val="0"/>
          <w:sz w:val="32"/>
          <w:szCs w:val="32"/>
        </w:rPr>
        <w:t>万元，同口径增长</w:t>
      </w:r>
      <w:r>
        <w:rPr>
          <w:rFonts w:ascii="方正仿宋_GBK" w:hAnsi="方正仿宋_GBK" w:eastAsia="方正仿宋_GBK" w:cs="方正仿宋_GBK"/>
          <w:bCs/>
          <w:kern w:val="0"/>
          <w:sz w:val="32"/>
          <w:szCs w:val="32"/>
        </w:rPr>
        <w:t>29.5</w:t>
      </w:r>
      <w:r>
        <w:rPr>
          <w:rFonts w:hint="eastAsia" w:ascii="方正仿宋_GBK" w:hAnsi="方正仿宋_GBK" w:eastAsia="方正仿宋_GBK" w:cs="方正仿宋_GBK"/>
          <w:bCs/>
          <w:kern w:val="0"/>
          <w:sz w:val="32"/>
          <w:szCs w:val="32"/>
        </w:rPr>
        <w:t>%。其中，城乡社区支出</w:t>
      </w:r>
      <w:r>
        <w:rPr>
          <w:rFonts w:ascii="方正仿宋_GBK" w:hAnsi="方正仿宋_GBK" w:eastAsia="方正仿宋_GBK" w:cs="方正仿宋_GBK"/>
          <w:bCs/>
          <w:kern w:val="0"/>
          <w:sz w:val="32"/>
          <w:szCs w:val="32"/>
        </w:rPr>
        <w:t>71233</w:t>
      </w:r>
      <w:r>
        <w:rPr>
          <w:rFonts w:hint="eastAsia" w:ascii="方正仿宋_GBK" w:hAnsi="方正仿宋_GBK" w:eastAsia="方正仿宋_GBK" w:cs="方正仿宋_GBK"/>
          <w:bCs/>
          <w:kern w:val="0"/>
          <w:sz w:val="32"/>
          <w:szCs w:val="32"/>
        </w:rPr>
        <w:t>万元，同口径</w:t>
      </w:r>
      <w:r>
        <w:rPr>
          <w:rFonts w:ascii="方正仿宋_GBK" w:hAnsi="方正仿宋_GBK" w:eastAsia="方正仿宋_GBK" w:cs="方正仿宋_GBK"/>
          <w:bCs/>
          <w:kern w:val="0"/>
          <w:sz w:val="32"/>
          <w:szCs w:val="32"/>
        </w:rPr>
        <w:t>增长39.7</w:t>
      </w:r>
      <w:r>
        <w:rPr>
          <w:rFonts w:hint="eastAsia" w:ascii="方正仿宋_GBK" w:hAnsi="方正仿宋_GBK" w:eastAsia="方正仿宋_GBK" w:cs="方正仿宋_GBK"/>
          <w:bCs/>
          <w:kern w:val="0"/>
          <w:sz w:val="32"/>
          <w:szCs w:val="32"/>
        </w:rPr>
        <w:t>%；社会保障和就业支出</w:t>
      </w:r>
      <w:r>
        <w:rPr>
          <w:rFonts w:ascii="方正仿宋_GBK" w:hAnsi="方正仿宋_GBK" w:eastAsia="方正仿宋_GBK" w:cs="方正仿宋_GBK"/>
          <w:bCs/>
          <w:kern w:val="0"/>
          <w:sz w:val="32"/>
          <w:szCs w:val="32"/>
        </w:rPr>
        <w:t>113198</w:t>
      </w:r>
      <w:r>
        <w:rPr>
          <w:rFonts w:hint="eastAsia" w:ascii="方正仿宋_GBK" w:hAnsi="方正仿宋_GBK" w:eastAsia="方正仿宋_GBK" w:cs="方正仿宋_GBK"/>
          <w:bCs/>
          <w:kern w:val="0"/>
          <w:sz w:val="32"/>
          <w:szCs w:val="32"/>
        </w:rPr>
        <w:t>万元，同口径增长</w:t>
      </w:r>
      <w:r>
        <w:rPr>
          <w:rFonts w:ascii="方正仿宋_GBK" w:hAnsi="方正仿宋_GBK" w:eastAsia="方正仿宋_GBK" w:cs="方正仿宋_GBK"/>
          <w:bCs/>
          <w:kern w:val="0"/>
          <w:sz w:val="32"/>
          <w:szCs w:val="32"/>
        </w:rPr>
        <w:t>33.9</w:t>
      </w:r>
      <w:r>
        <w:rPr>
          <w:rFonts w:hint="eastAsia" w:ascii="方正仿宋_GBK" w:hAnsi="方正仿宋_GBK" w:eastAsia="方正仿宋_GBK" w:cs="方正仿宋_GBK"/>
          <w:bCs/>
          <w:kern w:val="0"/>
          <w:sz w:val="32"/>
          <w:szCs w:val="32"/>
        </w:rPr>
        <w:t>%；教育支出</w:t>
      </w:r>
      <w:r>
        <w:rPr>
          <w:rFonts w:ascii="方正仿宋_GBK" w:hAnsi="方正仿宋_GBK" w:eastAsia="方正仿宋_GBK" w:cs="方正仿宋_GBK"/>
          <w:bCs/>
          <w:kern w:val="0"/>
          <w:sz w:val="32"/>
          <w:szCs w:val="32"/>
        </w:rPr>
        <w:t>198143</w:t>
      </w:r>
      <w:r>
        <w:rPr>
          <w:rFonts w:hint="eastAsia" w:ascii="方正仿宋_GBK" w:hAnsi="方正仿宋_GBK" w:eastAsia="方正仿宋_GBK" w:cs="方正仿宋_GBK"/>
          <w:bCs/>
          <w:kern w:val="0"/>
          <w:sz w:val="32"/>
          <w:szCs w:val="32"/>
        </w:rPr>
        <w:t>万元，同口径增长</w:t>
      </w:r>
      <w:r>
        <w:rPr>
          <w:rFonts w:ascii="方正仿宋_GBK" w:hAnsi="方正仿宋_GBK" w:eastAsia="方正仿宋_GBK" w:cs="方正仿宋_GBK"/>
          <w:bCs/>
          <w:kern w:val="0"/>
          <w:sz w:val="32"/>
          <w:szCs w:val="32"/>
        </w:rPr>
        <w:t>35.9</w:t>
      </w:r>
      <w:r>
        <w:rPr>
          <w:rFonts w:hint="eastAsia" w:ascii="方正仿宋_GBK" w:hAnsi="方正仿宋_GBK" w:eastAsia="方正仿宋_GBK" w:cs="方正仿宋_GBK"/>
          <w:bCs/>
          <w:kern w:val="0"/>
          <w:sz w:val="32"/>
          <w:szCs w:val="32"/>
        </w:rPr>
        <w:t>%；一般公共服务支出</w:t>
      </w:r>
      <w:r>
        <w:rPr>
          <w:rFonts w:ascii="方正仿宋_GBK" w:hAnsi="方正仿宋_GBK" w:eastAsia="方正仿宋_GBK" w:cs="方正仿宋_GBK"/>
          <w:bCs/>
          <w:kern w:val="0"/>
          <w:sz w:val="32"/>
          <w:szCs w:val="32"/>
        </w:rPr>
        <w:t>96908</w:t>
      </w:r>
      <w:r>
        <w:rPr>
          <w:rFonts w:hint="eastAsia" w:ascii="方正仿宋_GBK" w:hAnsi="方正仿宋_GBK" w:eastAsia="方正仿宋_GBK" w:cs="方正仿宋_GBK"/>
          <w:bCs/>
          <w:kern w:val="0"/>
          <w:sz w:val="32"/>
          <w:szCs w:val="32"/>
        </w:rPr>
        <w:t>万元，同口径增长</w:t>
      </w:r>
      <w:r>
        <w:rPr>
          <w:rFonts w:ascii="方正仿宋_GBK" w:hAnsi="方正仿宋_GBK" w:eastAsia="方正仿宋_GBK" w:cs="方正仿宋_GBK"/>
          <w:bCs/>
          <w:kern w:val="0"/>
          <w:sz w:val="32"/>
          <w:szCs w:val="32"/>
        </w:rPr>
        <w:t>8.6</w:t>
      </w:r>
      <w:r>
        <w:rPr>
          <w:rFonts w:hint="eastAsia" w:ascii="方正仿宋_GBK" w:hAnsi="方正仿宋_GBK" w:eastAsia="方正仿宋_GBK" w:cs="方正仿宋_GBK"/>
          <w:bCs/>
          <w:kern w:val="0"/>
          <w:sz w:val="32"/>
          <w:szCs w:val="32"/>
        </w:rPr>
        <w:t>%；卫生健康支出</w:t>
      </w:r>
      <w:r>
        <w:rPr>
          <w:rFonts w:ascii="方正仿宋_GBK" w:hAnsi="方正仿宋_GBK" w:eastAsia="方正仿宋_GBK" w:cs="方正仿宋_GBK"/>
          <w:bCs/>
          <w:kern w:val="0"/>
          <w:sz w:val="32"/>
          <w:szCs w:val="32"/>
        </w:rPr>
        <w:t>105249</w:t>
      </w:r>
      <w:r>
        <w:rPr>
          <w:rFonts w:hint="eastAsia" w:ascii="方正仿宋_GBK" w:hAnsi="方正仿宋_GBK" w:eastAsia="方正仿宋_GBK" w:cs="方正仿宋_GBK"/>
          <w:bCs/>
          <w:kern w:val="0"/>
          <w:sz w:val="32"/>
          <w:szCs w:val="32"/>
        </w:rPr>
        <w:t>万元，同口径增长</w:t>
      </w:r>
      <w:r>
        <w:rPr>
          <w:rFonts w:ascii="方正仿宋_GBK" w:hAnsi="方正仿宋_GBK" w:eastAsia="方正仿宋_GBK" w:cs="方正仿宋_GBK"/>
          <w:bCs/>
          <w:kern w:val="0"/>
          <w:sz w:val="32"/>
          <w:szCs w:val="32"/>
        </w:rPr>
        <w:t>30.3</w:t>
      </w:r>
      <w:r>
        <w:rPr>
          <w:rFonts w:hint="eastAsia" w:ascii="方正仿宋_GBK" w:hAnsi="方正仿宋_GBK" w:eastAsia="方正仿宋_GBK" w:cs="方正仿宋_GBK"/>
          <w:bCs/>
          <w:kern w:val="0"/>
          <w:sz w:val="32"/>
          <w:szCs w:val="32"/>
        </w:rPr>
        <w:t>%。</w:t>
      </w:r>
    </w:p>
    <w:p>
      <w:pPr>
        <w:widowControl/>
        <w:shd w:val="clear" w:color="auto" w:fill="FFFFFF"/>
        <w:spacing w:line="360" w:lineRule="auto"/>
        <w:ind w:firstLine="643" w:firstLineChars="200"/>
        <w:rPr>
          <w:rFonts w:ascii="方正黑体_GBK" w:hAnsi="方正黑体_GBK" w:eastAsia="方正黑体_GBK" w:cs="方正黑体_GBK"/>
          <w:b/>
          <w:kern w:val="0"/>
          <w:sz w:val="32"/>
          <w:szCs w:val="32"/>
        </w:rPr>
      </w:pPr>
      <w:r>
        <w:rPr>
          <w:rFonts w:hint="eastAsia" w:ascii="方正黑体_GBK" w:hAnsi="方正黑体_GBK" w:eastAsia="方正黑体_GBK" w:cs="方正黑体_GBK"/>
          <w:b/>
          <w:kern w:val="0"/>
          <w:sz w:val="32"/>
          <w:szCs w:val="32"/>
        </w:rPr>
        <w:t>二、农业</w:t>
      </w:r>
    </w:p>
    <w:p>
      <w:pPr>
        <w:widowControl/>
        <w:shd w:val="clear" w:color="auto" w:fill="FFFFFF"/>
        <w:spacing w:line="360" w:lineRule="auto"/>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全年完成农林牧渔业总产值</w:t>
      </w:r>
      <w:r>
        <w:rPr>
          <w:rFonts w:ascii="方正仿宋_GBK" w:hAnsi="方正仿宋_GBK" w:eastAsia="方正仿宋_GBK" w:cs="方正仿宋_GBK"/>
          <w:kern w:val="0"/>
          <w:sz w:val="32"/>
          <w:szCs w:val="32"/>
        </w:rPr>
        <w:t>815489</w:t>
      </w:r>
      <w:r>
        <w:rPr>
          <w:rFonts w:hint="eastAsia" w:ascii="方正仿宋_GBK" w:hAnsi="方正仿宋_GBK" w:eastAsia="方正仿宋_GBK" w:cs="方正仿宋_GBK"/>
          <w:kern w:val="0"/>
          <w:sz w:val="32"/>
          <w:szCs w:val="32"/>
        </w:rPr>
        <w:t>万元，比上年下降</w:t>
      </w:r>
    </w:p>
    <w:p>
      <w:pPr>
        <w:widowControl/>
        <w:shd w:val="clear" w:color="auto" w:fill="FFFFFF"/>
        <w:spacing w:line="360" w:lineRule="auto"/>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3.4%。全年粮食播种面积</w:t>
      </w:r>
      <w:r>
        <w:rPr>
          <w:rFonts w:ascii="方正仿宋_GBK" w:hAnsi="方正仿宋_GBK" w:eastAsia="方正仿宋_GBK" w:cs="方正仿宋_GBK"/>
          <w:kern w:val="0"/>
          <w:sz w:val="32"/>
          <w:szCs w:val="32"/>
        </w:rPr>
        <w:t>662737</w:t>
      </w:r>
      <w:r>
        <w:rPr>
          <w:rFonts w:hint="eastAsia" w:ascii="方正仿宋_GBK" w:hAnsi="方正仿宋_GBK" w:eastAsia="方正仿宋_GBK" w:cs="方正仿宋_GBK"/>
          <w:kern w:val="0"/>
          <w:sz w:val="32"/>
          <w:szCs w:val="32"/>
        </w:rPr>
        <w:t>亩；蔬菜播种面</w:t>
      </w:r>
      <w:r>
        <w:rPr>
          <w:rFonts w:ascii="方正仿宋_GBK" w:hAnsi="方正仿宋_GBK" w:eastAsia="方正仿宋_GBK" w:cs="方正仿宋_GBK"/>
          <w:kern w:val="0"/>
          <w:sz w:val="32"/>
          <w:szCs w:val="32"/>
        </w:rPr>
        <w:t>290617</w:t>
      </w:r>
      <w:r>
        <w:rPr>
          <w:rFonts w:hint="eastAsia" w:ascii="方正仿宋_GBK" w:hAnsi="方正仿宋_GBK" w:eastAsia="方正仿宋_GBK" w:cs="方正仿宋_GBK"/>
          <w:kern w:val="0"/>
          <w:sz w:val="32"/>
          <w:szCs w:val="32"/>
        </w:rPr>
        <w:t>亩。</w:t>
      </w:r>
    </w:p>
    <w:p>
      <w:pPr>
        <w:widowControl/>
        <w:shd w:val="clear" w:color="auto" w:fill="FFFFFF"/>
        <w:spacing w:line="360" w:lineRule="auto"/>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全年粮食产量</w:t>
      </w:r>
      <w:r>
        <w:rPr>
          <w:rFonts w:ascii="方正仿宋_GBK" w:hAnsi="方正仿宋_GBK" w:eastAsia="方正仿宋_GBK" w:cs="方正仿宋_GBK"/>
          <w:kern w:val="0"/>
          <w:sz w:val="32"/>
          <w:szCs w:val="32"/>
        </w:rPr>
        <w:t>288459</w:t>
      </w:r>
      <w:r>
        <w:rPr>
          <w:rFonts w:hint="eastAsia" w:ascii="方正仿宋_GBK" w:hAnsi="方正仿宋_GBK" w:eastAsia="方正仿宋_GBK" w:cs="方正仿宋_GBK"/>
          <w:kern w:val="0"/>
          <w:sz w:val="32"/>
          <w:szCs w:val="32"/>
        </w:rPr>
        <w:t>吨，比上年下降2.9%。蔬菜产量</w:t>
      </w:r>
      <w:r>
        <w:rPr>
          <w:rFonts w:ascii="方正仿宋_GBK" w:hAnsi="方正仿宋_GBK" w:eastAsia="方正仿宋_GBK" w:cs="方正仿宋_GBK"/>
          <w:kern w:val="0"/>
          <w:sz w:val="32"/>
          <w:szCs w:val="32"/>
        </w:rPr>
        <w:t>581611</w:t>
      </w:r>
      <w:r>
        <w:rPr>
          <w:rFonts w:hint="eastAsia" w:ascii="方正仿宋_GBK" w:hAnsi="方正仿宋_GBK" w:eastAsia="方正仿宋_GBK" w:cs="方正仿宋_GBK"/>
          <w:kern w:val="0"/>
          <w:sz w:val="32"/>
          <w:szCs w:val="32"/>
        </w:rPr>
        <w:t>吨，增长</w:t>
      </w:r>
      <w:r>
        <w:rPr>
          <w:rFonts w:ascii="方正仿宋_GBK" w:hAnsi="方正仿宋_GBK" w:eastAsia="方正仿宋_GBK" w:cs="方正仿宋_GBK"/>
          <w:kern w:val="0"/>
          <w:sz w:val="32"/>
          <w:szCs w:val="32"/>
        </w:rPr>
        <w:t>5.5</w:t>
      </w:r>
      <w:r>
        <w:rPr>
          <w:rFonts w:hint="eastAsia" w:ascii="方正仿宋_GBK" w:hAnsi="方正仿宋_GBK" w:eastAsia="方正仿宋_GBK" w:cs="方正仿宋_GBK"/>
          <w:kern w:val="0"/>
          <w:sz w:val="32"/>
          <w:szCs w:val="32"/>
        </w:rPr>
        <w:t>%。肉类总产量</w:t>
      </w:r>
      <w:r>
        <w:rPr>
          <w:rFonts w:ascii="方正仿宋_GBK" w:hAnsi="方正仿宋_GBK" w:eastAsia="方正仿宋_GBK" w:cs="方正仿宋_GBK"/>
          <w:kern w:val="0"/>
          <w:sz w:val="32"/>
          <w:szCs w:val="32"/>
        </w:rPr>
        <w:t>44785</w:t>
      </w:r>
      <w:r>
        <w:rPr>
          <w:rFonts w:hint="eastAsia" w:ascii="方正仿宋_GBK" w:hAnsi="方正仿宋_GBK" w:eastAsia="方正仿宋_GBK" w:cs="方正仿宋_GBK"/>
          <w:kern w:val="0"/>
          <w:sz w:val="32"/>
          <w:szCs w:val="32"/>
        </w:rPr>
        <w:t>吨，下降33.2 %。</w:t>
      </w:r>
    </w:p>
    <w:p>
      <w:pPr>
        <w:widowControl/>
        <w:shd w:val="clear" w:color="auto" w:fill="FFFFFF"/>
        <w:tabs>
          <w:tab w:val="left" w:pos="571"/>
          <w:tab w:val="center" w:pos="4493"/>
        </w:tabs>
        <w:spacing w:line="360" w:lineRule="auto"/>
        <w:ind w:firstLine="562"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ab/>
      </w:r>
      <w:r>
        <w:rPr>
          <w:rFonts w:hint="eastAsia" w:ascii="方正仿宋_GBK" w:hAnsi="方正仿宋_GBK" w:eastAsia="方正仿宋_GBK" w:cs="方正仿宋_GBK"/>
          <w:b/>
          <w:bCs/>
          <w:kern w:val="0"/>
          <w:sz w:val="28"/>
          <w:szCs w:val="28"/>
        </w:rPr>
        <w:tab/>
      </w:r>
      <w:r>
        <w:rPr>
          <w:rFonts w:hint="eastAsia" w:ascii="方正仿宋_GBK" w:hAnsi="方正仿宋_GBK" w:eastAsia="方正仿宋_GBK" w:cs="方正仿宋_GBK"/>
          <w:b/>
          <w:bCs/>
          <w:kern w:val="0"/>
          <w:sz w:val="28"/>
          <w:szCs w:val="28"/>
        </w:rPr>
        <w:t>表2　2019年主要农产品产量及其增长速度</w:t>
      </w:r>
    </w:p>
    <w:tbl>
      <w:tblPr>
        <w:tblStyle w:val="9"/>
        <w:tblW w:w="8403" w:type="dxa"/>
        <w:tblInd w:w="0" w:type="dxa"/>
        <w:tblLayout w:type="fixed"/>
        <w:tblCellMar>
          <w:top w:w="15" w:type="dxa"/>
          <w:left w:w="15" w:type="dxa"/>
          <w:bottom w:w="15" w:type="dxa"/>
          <w:right w:w="15" w:type="dxa"/>
        </w:tblCellMar>
      </w:tblPr>
      <w:tblGrid>
        <w:gridCol w:w="3313"/>
        <w:gridCol w:w="1867"/>
        <w:gridCol w:w="1712"/>
        <w:gridCol w:w="1511"/>
      </w:tblGrid>
      <w:tr>
        <w:tblPrEx>
          <w:tblLayout w:type="fixed"/>
          <w:tblCellMar>
            <w:top w:w="15" w:type="dxa"/>
            <w:left w:w="15" w:type="dxa"/>
            <w:bottom w:w="15" w:type="dxa"/>
            <w:right w:w="15" w:type="dxa"/>
          </w:tblCellMar>
        </w:tblPrEx>
        <w:trPr>
          <w:trHeight w:val="525" w:hRule="exact"/>
        </w:trPr>
        <w:tc>
          <w:tcPr>
            <w:tcW w:w="3313" w:type="dxa"/>
            <w:tcBorders>
              <w:top w:val="single" w:color="000000" w:sz="4" w:space="0"/>
              <w:bottom w:val="single" w:color="000000" w:sz="4" w:space="0"/>
              <w:right w:val="single" w:color="000000" w:sz="4" w:space="0"/>
            </w:tcBorders>
            <w:vAlign w:val="center"/>
          </w:tcPr>
          <w:p>
            <w:pPr>
              <w:pStyle w:val="5"/>
              <w:tabs>
                <w:tab w:val="left" w:pos="580"/>
              </w:tabs>
              <w:spacing w:before="0" w:beforeAutospacing="0" w:after="0" w:afterAutospacing="0"/>
              <w:ind w:left="45" w:right="45" w:firstLine="482" w:firstLineChars="200"/>
              <w:rPr>
                <w:rFonts w:ascii="方正仿宋_GBK" w:hAnsi="方正仿宋_GBK" w:eastAsia="方正仿宋_GBK" w:cs="方正仿宋_GBK"/>
              </w:rPr>
            </w:pPr>
            <w:r>
              <w:rPr>
                <w:rFonts w:hint="eastAsia" w:ascii="方正仿宋_GBK" w:hAnsi="方正仿宋_GBK" w:eastAsia="方正仿宋_GBK" w:cs="方正仿宋_GBK"/>
                <w:b/>
              </w:rPr>
              <w:tab/>
            </w:r>
            <w:r>
              <w:rPr>
                <w:rFonts w:hint="eastAsia" w:ascii="方正仿宋_GBK" w:hAnsi="方正仿宋_GBK" w:eastAsia="方正仿宋_GBK" w:cs="方正仿宋_GBK"/>
              </w:rPr>
              <w:t>产品名称</w:t>
            </w:r>
          </w:p>
        </w:tc>
        <w:tc>
          <w:tcPr>
            <w:tcW w:w="1867" w:type="dxa"/>
            <w:tcBorders>
              <w:top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单位</w:t>
            </w:r>
          </w:p>
        </w:tc>
        <w:tc>
          <w:tcPr>
            <w:tcW w:w="1712" w:type="dxa"/>
            <w:tcBorders>
              <w:top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2019年</w:t>
            </w:r>
          </w:p>
        </w:tc>
        <w:tc>
          <w:tcPr>
            <w:tcW w:w="1511" w:type="dxa"/>
            <w:tcBorders>
              <w:top w:val="single" w:color="000000" w:sz="4" w:space="0"/>
              <w:bottom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比上年±%</w:t>
            </w:r>
          </w:p>
        </w:tc>
      </w:tr>
      <w:tr>
        <w:tblPrEx>
          <w:tblLayout w:type="fixed"/>
          <w:tblCellMar>
            <w:top w:w="15" w:type="dxa"/>
            <w:left w:w="15" w:type="dxa"/>
            <w:bottom w:w="15" w:type="dxa"/>
            <w:right w:w="15" w:type="dxa"/>
          </w:tblCellMar>
        </w:tblPrEx>
        <w:trPr>
          <w:trHeight w:val="525" w:hRule="exact"/>
        </w:trPr>
        <w:tc>
          <w:tcPr>
            <w:tcW w:w="3313"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粮食播种面积</w:t>
            </w:r>
          </w:p>
        </w:tc>
        <w:tc>
          <w:tcPr>
            <w:tcW w:w="1867"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亩</w:t>
            </w:r>
          </w:p>
        </w:tc>
        <w:tc>
          <w:tcPr>
            <w:tcW w:w="1712" w:type="dxa"/>
            <w:vAlign w:val="center"/>
          </w:tcPr>
          <w:p>
            <w:pPr>
              <w:jc w:val="center"/>
            </w:pPr>
            <w:r>
              <w:t>662737</w:t>
            </w:r>
          </w:p>
        </w:tc>
        <w:tc>
          <w:tcPr>
            <w:tcW w:w="1511" w:type="dxa"/>
            <w:vAlign w:val="center"/>
          </w:tcPr>
          <w:p>
            <w:pPr>
              <w:jc w:val="center"/>
            </w:pPr>
            <w:r>
              <w:t>-0.8</w:t>
            </w:r>
          </w:p>
        </w:tc>
      </w:tr>
      <w:tr>
        <w:tblPrEx>
          <w:tblLayout w:type="fixed"/>
          <w:tblCellMar>
            <w:top w:w="15" w:type="dxa"/>
            <w:left w:w="15" w:type="dxa"/>
            <w:bottom w:w="15" w:type="dxa"/>
            <w:right w:w="15" w:type="dxa"/>
          </w:tblCellMar>
        </w:tblPrEx>
        <w:trPr>
          <w:trHeight w:val="525" w:hRule="exact"/>
        </w:trPr>
        <w:tc>
          <w:tcPr>
            <w:tcW w:w="3313"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粮食产量</w:t>
            </w:r>
          </w:p>
        </w:tc>
        <w:tc>
          <w:tcPr>
            <w:tcW w:w="1867"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吨</w:t>
            </w:r>
          </w:p>
        </w:tc>
        <w:tc>
          <w:tcPr>
            <w:tcW w:w="1712" w:type="dxa"/>
            <w:vAlign w:val="center"/>
          </w:tcPr>
          <w:p>
            <w:pPr>
              <w:jc w:val="center"/>
            </w:pPr>
            <w:r>
              <w:t>288459</w:t>
            </w:r>
          </w:p>
        </w:tc>
        <w:tc>
          <w:tcPr>
            <w:tcW w:w="1511" w:type="dxa"/>
            <w:vAlign w:val="center"/>
          </w:tcPr>
          <w:p>
            <w:pPr>
              <w:jc w:val="center"/>
            </w:pPr>
            <w:r>
              <w:t>-2.9</w:t>
            </w:r>
          </w:p>
        </w:tc>
      </w:tr>
      <w:tr>
        <w:tblPrEx>
          <w:tblLayout w:type="fixed"/>
          <w:tblCellMar>
            <w:top w:w="15" w:type="dxa"/>
            <w:left w:w="15" w:type="dxa"/>
            <w:bottom w:w="15" w:type="dxa"/>
            <w:right w:w="15" w:type="dxa"/>
          </w:tblCellMar>
        </w:tblPrEx>
        <w:trPr>
          <w:trHeight w:val="525" w:hRule="exact"/>
        </w:trPr>
        <w:tc>
          <w:tcPr>
            <w:tcW w:w="3313"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＃小麦</w:t>
            </w:r>
          </w:p>
        </w:tc>
        <w:tc>
          <w:tcPr>
            <w:tcW w:w="1867"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吨</w:t>
            </w:r>
          </w:p>
        </w:tc>
        <w:tc>
          <w:tcPr>
            <w:tcW w:w="1712" w:type="dxa"/>
            <w:vAlign w:val="center"/>
          </w:tcPr>
          <w:p>
            <w:pPr>
              <w:jc w:val="center"/>
            </w:pPr>
            <w:r>
              <w:t>36</w:t>
            </w:r>
          </w:p>
        </w:tc>
        <w:tc>
          <w:tcPr>
            <w:tcW w:w="1511" w:type="dxa"/>
            <w:vAlign w:val="center"/>
          </w:tcPr>
          <w:p>
            <w:pPr>
              <w:jc w:val="center"/>
            </w:pPr>
            <w:r>
              <w:t>-2.7</w:t>
            </w:r>
          </w:p>
        </w:tc>
      </w:tr>
      <w:tr>
        <w:tblPrEx>
          <w:tblLayout w:type="fixed"/>
          <w:tblCellMar>
            <w:top w:w="15" w:type="dxa"/>
            <w:left w:w="15" w:type="dxa"/>
            <w:bottom w:w="15" w:type="dxa"/>
            <w:right w:w="15" w:type="dxa"/>
          </w:tblCellMar>
        </w:tblPrEx>
        <w:trPr>
          <w:trHeight w:val="525" w:hRule="exact"/>
        </w:trPr>
        <w:tc>
          <w:tcPr>
            <w:tcW w:w="3313"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稻谷</w:t>
            </w:r>
          </w:p>
        </w:tc>
        <w:tc>
          <w:tcPr>
            <w:tcW w:w="1867"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吨</w:t>
            </w:r>
          </w:p>
        </w:tc>
        <w:tc>
          <w:tcPr>
            <w:tcW w:w="1712" w:type="dxa"/>
            <w:vAlign w:val="center"/>
          </w:tcPr>
          <w:p>
            <w:pPr>
              <w:jc w:val="center"/>
            </w:pPr>
            <w:r>
              <w:t>175346</w:t>
            </w:r>
          </w:p>
        </w:tc>
        <w:tc>
          <w:tcPr>
            <w:tcW w:w="1511" w:type="dxa"/>
            <w:vAlign w:val="center"/>
          </w:tcPr>
          <w:p>
            <w:pPr>
              <w:jc w:val="center"/>
            </w:pPr>
            <w:r>
              <w:t>-3.3</w:t>
            </w:r>
          </w:p>
        </w:tc>
      </w:tr>
      <w:tr>
        <w:tblPrEx>
          <w:tblLayout w:type="fixed"/>
          <w:tblCellMar>
            <w:top w:w="15" w:type="dxa"/>
            <w:left w:w="15" w:type="dxa"/>
            <w:bottom w:w="15" w:type="dxa"/>
            <w:right w:w="15" w:type="dxa"/>
          </w:tblCellMar>
        </w:tblPrEx>
        <w:trPr>
          <w:trHeight w:val="525" w:hRule="exact"/>
        </w:trPr>
        <w:tc>
          <w:tcPr>
            <w:tcW w:w="3313"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玉米</w:t>
            </w:r>
          </w:p>
        </w:tc>
        <w:tc>
          <w:tcPr>
            <w:tcW w:w="1867"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吨</w:t>
            </w:r>
          </w:p>
        </w:tc>
        <w:tc>
          <w:tcPr>
            <w:tcW w:w="1712" w:type="dxa"/>
            <w:vAlign w:val="center"/>
          </w:tcPr>
          <w:p>
            <w:pPr>
              <w:jc w:val="center"/>
            </w:pPr>
            <w:r>
              <w:t>37705</w:t>
            </w:r>
          </w:p>
        </w:tc>
        <w:tc>
          <w:tcPr>
            <w:tcW w:w="1511" w:type="dxa"/>
            <w:vAlign w:val="center"/>
          </w:tcPr>
          <w:p>
            <w:pPr>
              <w:jc w:val="center"/>
            </w:pPr>
            <w:r>
              <w:t>-0.3</w:t>
            </w:r>
          </w:p>
        </w:tc>
      </w:tr>
      <w:tr>
        <w:tblPrEx>
          <w:tblLayout w:type="fixed"/>
          <w:tblCellMar>
            <w:top w:w="15" w:type="dxa"/>
            <w:left w:w="15" w:type="dxa"/>
            <w:bottom w:w="15" w:type="dxa"/>
            <w:right w:w="15" w:type="dxa"/>
          </w:tblCellMar>
        </w:tblPrEx>
        <w:trPr>
          <w:trHeight w:val="525" w:hRule="exact"/>
        </w:trPr>
        <w:tc>
          <w:tcPr>
            <w:tcW w:w="3313"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  高粱</w:t>
            </w:r>
          </w:p>
        </w:tc>
        <w:tc>
          <w:tcPr>
            <w:tcW w:w="1867"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吨</w:t>
            </w:r>
          </w:p>
        </w:tc>
        <w:tc>
          <w:tcPr>
            <w:tcW w:w="1712" w:type="dxa"/>
            <w:vAlign w:val="center"/>
          </w:tcPr>
          <w:p>
            <w:pPr>
              <w:jc w:val="center"/>
            </w:pPr>
            <w:r>
              <w:t>6540</w:t>
            </w:r>
          </w:p>
        </w:tc>
        <w:tc>
          <w:tcPr>
            <w:tcW w:w="1511" w:type="dxa"/>
            <w:vAlign w:val="center"/>
          </w:tcPr>
          <w:p>
            <w:pPr>
              <w:jc w:val="center"/>
            </w:pPr>
            <w:r>
              <w:t>-22.0</w:t>
            </w:r>
          </w:p>
        </w:tc>
      </w:tr>
      <w:tr>
        <w:tblPrEx>
          <w:tblLayout w:type="fixed"/>
          <w:tblCellMar>
            <w:top w:w="15" w:type="dxa"/>
            <w:left w:w="15" w:type="dxa"/>
            <w:bottom w:w="15" w:type="dxa"/>
            <w:right w:w="15" w:type="dxa"/>
          </w:tblCellMar>
        </w:tblPrEx>
        <w:trPr>
          <w:trHeight w:val="525" w:hRule="exact"/>
        </w:trPr>
        <w:tc>
          <w:tcPr>
            <w:tcW w:w="3313"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油料产量</w:t>
            </w:r>
          </w:p>
        </w:tc>
        <w:tc>
          <w:tcPr>
            <w:tcW w:w="1867"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吨</w:t>
            </w:r>
          </w:p>
        </w:tc>
        <w:tc>
          <w:tcPr>
            <w:tcW w:w="1712" w:type="dxa"/>
            <w:vAlign w:val="center"/>
          </w:tcPr>
          <w:p>
            <w:pPr>
              <w:jc w:val="center"/>
            </w:pPr>
            <w:r>
              <w:t>25036</w:t>
            </w:r>
          </w:p>
        </w:tc>
        <w:tc>
          <w:tcPr>
            <w:tcW w:w="1511" w:type="dxa"/>
            <w:vAlign w:val="center"/>
          </w:tcPr>
          <w:p>
            <w:pPr>
              <w:jc w:val="center"/>
            </w:pPr>
            <w:r>
              <w:t>5.2</w:t>
            </w:r>
          </w:p>
        </w:tc>
      </w:tr>
      <w:tr>
        <w:tblPrEx>
          <w:tblLayout w:type="fixed"/>
          <w:tblCellMar>
            <w:top w:w="15" w:type="dxa"/>
            <w:left w:w="15" w:type="dxa"/>
            <w:bottom w:w="15" w:type="dxa"/>
            <w:right w:w="15" w:type="dxa"/>
          </w:tblCellMar>
        </w:tblPrEx>
        <w:trPr>
          <w:trHeight w:val="525" w:hRule="exact"/>
        </w:trPr>
        <w:tc>
          <w:tcPr>
            <w:tcW w:w="3313"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蔬菜面积</w:t>
            </w:r>
          </w:p>
        </w:tc>
        <w:tc>
          <w:tcPr>
            <w:tcW w:w="1867"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亩</w:t>
            </w:r>
          </w:p>
        </w:tc>
        <w:tc>
          <w:tcPr>
            <w:tcW w:w="1712" w:type="dxa"/>
            <w:vAlign w:val="center"/>
          </w:tcPr>
          <w:p>
            <w:pPr>
              <w:jc w:val="center"/>
            </w:pPr>
            <w:r>
              <w:t>290617</w:t>
            </w:r>
          </w:p>
        </w:tc>
        <w:tc>
          <w:tcPr>
            <w:tcW w:w="1511" w:type="dxa"/>
            <w:vAlign w:val="center"/>
          </w:tcPr>
          <w:p>
            <w:pPr>
              <w:jc w:val="center"/>
            </w:pPr>
            <w:r>
              <w:t>2.5</w:t>
            </w:r>
          </w:p>
        </w:tc>
      </w:tr>
      <w:tr>
        <w:tblPrEx>
          <w:tblLayout w:type="fixed"/>
          <w:tblCellMar>
            <w:top w:w="15" w:type="dxa"/>
            <w:left w:w="15" w:type="dxa"/>
            <w:bottom w:w="15" w:type="dxa"/>
            <w:right w:w="15" w:type="dxa"/>
          </w:tblCellMar>
        </w:tblPrEx>
        <w:trPr>
          <w:trHeight w:val="525" w:hRule="exact"/>
        </w:trPr>
        <w:tc>
          <w:tcPr>
            <w:tcW w:w="3313"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蔬菜产量</w:t>
            </w:r>
          </w:p>
        </w:tc>
        <w:tc>
          <w:tcPr>
            <w:tcW w:w="1867"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吨</w:t>
            </w:r>
          </w:p>
        </w:tc>
        <w:tc>
          <w:tcPr>
            <w:tcW w:w="1712" w:type="dxa"/>
            <w:vAlign w:val="center"/>
          </w:tcPr>
          <w:p>
            <w:pPr>
              <w:jc w:val="center"/>
            </w:pPr>
            <w:r>
              <w:t>581611</w:t>
            </w:r>
          </w:p>
        </w:tc>
        <w:tc>
          <w:tcPr>
            <w:tcW w:w="1511" w:type="dxa"/>
            <w:vAlign w:val="center"/>
          </w:tcPr>
          <w:p>
            <w:pPr>
              <w:jc w:val="center"/>
            </w:pPr>
            <w:r>
              <w:t>5.5</w:t>
            </w:r>
          </w:p>
        </w:tc>
      </w:tr>
      <w:tr>
        <w:tblPrEx>
          <w:tblLayout w:type="fixed"/>
          <w:tblCellMar>
            <w:top w:w="15" w:type="dxa"/>
            <w:left w:w="15" w:type="dxa"/>
            <w:bottom w:w="15" w:type="dxa"/>
            <w:right w:w="15" w:type="dxa"/>
          </w:tblCellMar>
        </w:tblPrEx>
        <w:trPr>
          <w:trHeight w:val="525" w:hRule="exact"/>
        </w:trPr>
        <w:tc>
          <w:tcPr>
            <w:tcW w:w="3313"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肉类产量</w:t>
            </w:r>
          </w:p>
        </w:tc>
        <w:tc>
          <w:tcPr>
            <w:tcW w:w="1867"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吨</w:t>
            </w:r>
          </w:p>
        </w:tc>
        <w:tc>
          <w:tcPr>
            <w:tcW w:w="1712" w:type="dxa"/>
            <w:vAlign w:val="center"/>
          </w:tcPr>
          <w:p>
            <w:pPr>
              <w:jc w:val="center"/>
            </w:pPr>
            <w:r>
              <w:t>44785</w:t>
            </w:r>
          </w:p>
        </w:tc>
        <w:tc>
          <w:tcPr>
            <w:tcW w:w="1511" w:type="dxa"/>
            <w:vAlign w:val="center"/>
          </w:tcPr>
          <w:p>
            <w:pPr>
              <w:jc w:val="center"/>
            </w:pPr>
            <w:r>
              <w:t>-33.2</w:t>
            </w:r>
          </w:p>
        </w:tc>
      </w:tr>
      <w:tr>
        <w:tblPrEx>
          <w:tblLayout w:type="fixed"/>
          <w:tblCellMar>
            <w:top w:w="15" w:type="dxa"/>
            <w:left w:w="15" w:type="dxa"/>
            <w:bottom w:w="15" w:type="dxa"/>
            <w:right w:w="15" w:type="dxa"/>
          </w:tblCellMar>
        </w:tblPrEx>
        <w:trPr>
          <w:trHeight w:val="525" w:hRule="exact"/>
        </w:trPr>
        <w:tc>
          <w:tcPr>
            <w:tcW w:w="3313"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＃猪肉</w:t>
            </w:r>
          </w:p>
        </w:tc>
        <w:tc>
          <w:tcPr>
            <w:tcW w:w="1867"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吨</w:t>
            </w:r>
          </w:p>
        </w:tc>
        <w:tc>
          <w:tcPr>
            <w:tcW w:w="1712" w:type="dxa"/>
            <w:vAlign w:val="center"/>
          </w:tcPr>
          <w:p>
            <w:pPr>
              <w:jc w:val="center"/>
            </w:pPr>
            <w:r>
              <w:t>30559</w:t>
            </w:r>
          </w:p>
        </w:tc>
        <w:tc>
          <w:tcPr>
            <w:tcW w:w="1511" w:type="dxa"/>
            <w:vAlign w:val="center"/>
          </w:tcPr>
          <w:p>
            <w:pPr>
              <w:jc w:val="center"/>
            </w:pPr>
            <w:r>
              <w:t>-43.8</w:t>
            </w:r>
          </w:p>
        </w:tc>
      </w:tr>
      <w:tr>
        <w:tblPrEx>
          <w:tblLayout w:type="fixed"/>
          <w:tblCellMar>
            <w:top w:w="15" w:type="dxa"/>
            <w:left w:w="15" w:type="dxa"/>
            <w:bottom w:w="15" w:type="dxa"/>
            <w:right w:w="15" w:type="dxa"/>
          </w:tblCellMar>
        </w:tblPrEx>
        <w:trPr>
          <w:trHeight w:val="525" w:hRule="exact"/>
        </w:trPr>
        <w:tc>
          <w:tcPr>
            <w:tcW w:w="3313"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＃禽肉</w:t>
            </w:r>
          </w:p>
        </w:tc>
        <w:tc>
          <w:tcPr>
            <w:tcW w:w="1867"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吨</w:t>
            </w:r>
          </w:p>
        </w:tc>
        <w:tc>
          <w:tcPr>
            <w:tcW w:w="1712" w:type="dxa"/>
            <w:vAlign w:val="center"/>
          </w:tcPr>
          <w:p>
            <w:pPr>
              <w:jc w:val="center"/>
            </w:pPr>
            <w:r>
              <w:t>11740</w:t>
            </w:r>
          </w:p>
        </w:tc>
        <w:tc>
          <w:tcPr>
            <w:tcW w:w="1511" w:type="dxa"/>
            <w:vAlign w:val="center"/>
          </w:tcPr>
          <w:p>
            <w:pPr>
              <w:jc w:val="center"/>
            </w:pPr>
            <w:r>
              <w:t>13.7</w:t>
            </w:r>
          </w:p>
        </w:tc>
      </w:tr>
      <w:tr>
        <w:tblPrEx>
          <w:tblLayout w:type="fixed"/>
          <w:tblCellMar>
            <w:top w:w="15" w:type="dxa"/>
            <w:left w:w="15" w:type="dxa"/>
            <w:bottom w:w="15" w:type="dxa"/>
            <w:right w:w="15" w:type="dxa"/>
          </w:tblCellMar>
        </w:tblPrEx>
        <w:trPr>
          <w:trHeight w:val="525" w:hRule="exact"/>
        </w:trPr>
        <w:tc>
          <w:tcPr>
            <w:tcW w:w="3313"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生猪出栏</w:t>
            </w:r>
          </w:p>
        </w:tc>
        <w:tc>
          <w:tcPr>
            <w:tcW w:w="1867"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头</w:t>
            </w:r>
          </w:p>
        </w:tc>
        <w:tc>
          <w:tcPr>
            <w:tcW w:w="1712" w:type="dxa"/>
            <w:vAlign w:val="center"/>
          </w:tcPr>
          <w:p>
            <w:pPr>
              <w:jc w:val="center"/>
            </w:pPr>
            <w:r>
              <w:t>407076</w:t>
            </w:r>
          </w:p>
        </w:tc>
        <w:tc>
          <w:tcPr>
            <w:tcW w:w="1511" w:type="dxa"/>
            <w:vAlign w:val="center"/>
          </w:tcPr>
          <w:p>
            <w:pPr>
              <w:jc w:val="center"/>
            </w:pPr>
            <w:r>
              <w:t>-43.7</w:t>
            </w:r>
          </w:p>
        </w:tc>
      </w:tr>
      <w:tr>
        <w:tblPrEx>
          <w:tblLayout w:type="fixed"/>
          <w:tblCellMar>
            <w:top w:w="15" w:type="dxa"/>
            <w:left w:w="15" w:type="dxa"/>
            <w:bottom w:w="15" w:type="dxa"/>
            <w:right w:w="15" w:type="dxa"/>
          </w:tblCellMar>
        </w:tblPrEx>
        <w:trPr>
          <w:trHeight w:val="525" w:hRule="exact"/>
        </w:trPr>
        <w:tc>
          <w:tcPr>
            <w:tcW w:w="3313"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羊出栏</w:t>
            </w:r>
          </w:p>
        </w:tc>
        <w:tc>
          <w:tcPr>
            <w:tcW w:w="1867"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头</w:t>
            </w:r>
          </w:p>
        </w:tc>
        <w:tc>
          <w:tcPr>
            <w:tcW w:w="1712" w:type="dxa"/>
            <w:vAlign w:val="center"/>
          </w:tcPr>
          <w:p>
            <w:pPr>
              <w:jc w:val="center"/>
            </w:pPr>
            <w:r>
              <w:t>19545</w:t>
            </w:r>
          </w:p>
        </w:tc>
        <w:tc>
          <w:tcPr>
            <w:tcW w:w="1511" w:type="dxa"/>
            <w:vAlign w:val="center"/>
          </w:tcPr>
          <w:p>
            <w:pPr>
              <w:jc w:val="center"/>
            </w:pPr>
            <w:r>
              <w:t>5.2</w:t>
            </w:r>
          </w:p>
        </w:tc>
      </w:tr>
      <w:tr>
        <w:tblPrEx>
          <w:tblLayout w:type="fixed"/>
          <w:tblCellMar>
            <w:top w:w="15" w:type="dxa"/>
            <w:left w:w="15" w:type="dxa"/>
            <w:bottom w:w="15" w:type="dxa"/>
            <w:right w:w="15" w:type="dxa"/>
          </w:tblCellMar>
        </w:tblPrEx>
        <w:trPr>
          <w:trHeight w:val="525" w:hRule="exact"/>
        </w:trPr>
        <w:tc>
          <w:tcPr>
            <w:tcW w:w="3313"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家禽出栏</w:t>
            </w:r>
          </w:p>
        </w:tc>
        <w:tc>
          <w:tcPr>
            <w:tcW w:w="1867"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万只</w:t>
            </w:r>
          </w:p>
        </w:tc>
        <w:tc>
          <w:tcPr>
            <w:tcW w:w="1712" w:type="dxa"/>
            <w:vAlign w:val="center"/>
          </w:tcPr>
          <w:p>
            <w:pPr>
              <w:jc w:val="center"/>
            </w:pPr>
            <w:r>
              <w:t>7720795</w:t>
            </w:r>
          </w:p>
        </w:tc>
        <w:tc>
          <w:tcPr>
            <w:tcW w:w="1511" w:type="dxa"/>
            <w:vAlign w:val="center"/>
          </w:tcPr>
          <w:p>
            <w:pPr>
              <w:jc w:val="center"/>
            </w:pPr>
            <w:r>
              <w:t>13.1</w:t>
            </w:r>
          </w:p>
        </w:tc>
      </w:tr>
      <w:tr>
        <w:tblPrEx>
          <w:tblLayout w:type="fixed"/>
          <w:tblCellMar>
            <w:top w:w="15" w:type="dxa"/>
            <w:left w:w="15" w:type="dxa"/>
            <w:bottom w:w="15" w:type="dxa"/>
            <w:right w:w="15" w:type="dxa"/>
          </w:tblCellMar>
        </w:tblPrEx>
        <w:trPr>
          <w:trHeight w:val="525" w:hRule="exact"/>
        </w:trPr>
        <w:tc>
          <w:tcPr>
            <w:tcW w:w="3313"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禽蛋产量</w:t>
            </w:r>
          </w:p>
        </w:tc>
        <w:tc>
          <w:tcPr>
            <w:tcW w:w="1867"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吨</w:t>
            </w:r>
          </w:p>
        </w:tc>
        <w:tc>
          <w:tcPr>
            <w:tcW w:w="1712" w:type="dxa"/>
            <w:vAlign w:val="center"/>
          </w:tcPr>
          <w:p>
            <w:pPr>
              <w:jc w:val="center"/>
            </w:pPr>
            <w:r>
              <w:t>10693</w:t>
            </w:r>
          </w:p>
        </w:tc>
        <w:tc>
          <w:tcPr>
            <w:tcW w:w="1511" w:type="dxa"/>
            <w:vAlign w:val="center"/>
          </w:tcPr>
          <w:p>
            <w:pPr>
              <w:jc w:val="center"/>
            </w:pPr>
            <w:r>
              <w:t>11.1</w:t>
            </w:r>
          </w:p>
        </w:tc>
      </w:tr>
      <w:tr>
        <w:tblPrEx>
          <w:tblLayout w:type="fixed"/>
          <w:tblCellMar>
            <w:top w:w="15" w:type="dxa"/>
            <w:left w:w="15" w:type="dxa"/>
            <w:bottom w:w="15" w:type="dxa"/>
            <w:right w:w="15" w:type="dxa"/>
          </w:tblCellMar>
        </w:tblPrEx>
        <w:trPr>
          <w:trHeight w:val="525" w:hRule="exact"/>
        </w:trPr>
        <w:tc>
          <w:tcPr>
            <w:tcW w:w="3313" w:type="dxa"/>
            <w:tcBorders>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牛奶产量</w:t>
            </w:r>
          </w:p>
        </w:tc>
        <w:tc>
          <w:tcPr>
            <w:tcW w:w="1867" w:type="dxa"/>
            <w:tcBorders>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吨</w:t>
            </w:r>
          </w:p>
        </w:tc>
        <w:tc>
          <w:tcPr>
            <w:tcW w:w="1712" w:type="dxa"/>
            <w:tcBorders>
              <w:bottom w:val="single" w:color="000000" w:sz="4" w:space="0"/>
            </w:tcBorders>
            <w:vAlign w:val="center"/>
          </w:tcPr>
          <w:p>
            <w:pPr>
              <w:jc w:val="center"/>
            </w:pPr>
            <w:r>
              <w:t>3399</w:t>
            </w:r>
          </w:p>
        </w:tc>
        <w:tc>
          <w:tcPr>
            <w:tcW w:w="1511" w:type="dxa"/>
            <w:tcBorders>
              <w:bottom w:val="single" w:color="000000" w:sz="4" w:space="0"/>
            </w:tcBorders>
            <w:vAlign w:val="center"/>
          </w:tcPr>
          <w:p>
            <w:pPr>
              <w:jc w:val="center"/>
            </w:pPr>
            <w:r>
              <w:t>1.1</w:t>
            </w:r>
          </w:p>
        </w:tc>
      </w:tr>
    </w:tbl>
    <w:p>
      <w:pPr>
        <w:pStyle w:val="5"/>
        <w:tabs>
          <w:tab w:val="left" w:pos="580"/>
        </w:tabs>
        <w:spacing w:before="0" w:beforeAutospacing="0" w:after="0" w:afterAutospacing="0"/>
        <w:ind w:left="45" w:right="45" w:firstLine="643" w:firstLineChars="200"/>
        <w:rPr>
          <w:rFonts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三、工业和建筑业</w:t>
      </w:r>
    </w:p>
    <w:p>
      <w:pPr>
        <w:pStyle w:val="5"/>
        <w:spacing w:before="0" w:beforeAutospacing="0" w:after="0" w:afterAutospacing="0"/>
        <w:ind w:left="45" w:right="45"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全年实现工业增加值</w:t>
      </w:r>
      <w:r>
        <w:rPr>
          <w:rFonts w:ascii="方正仿宋_GBK" w:hAnsi="方正仿宋_GBK" w:eastAsia="方正仿宋_GBK" w:cs="方正仿宋_GBK"/>
          <w:sz w:val="32"/>
          <w:szCs w:val="32"/>
        </w:rPr>
        <w:t>2590801</w:t>
      </w:r>
      <w:r>
        <w:rPr>
          <w:rFonts w:hint="eastAsia" w:ascii="方正仿宋_GBK" w:hAnsi="方正仿宋_GBK" w:eastAsia="方正仿宋_GBK" w:cs="方正仿宋_GBK"/>
          <w:sz w:val="32"/>
          <w:szCs w:val="32"/>
        </w:rPr>
        <w:t>万元，比上年增长</w:t>
      </w:r>
      <w:r>
        <w:rPr>
          <w:rFonts w:ascii="方正仿宋_GBK" w:hAnsi="方正仿宋_GBK" w:eastAsia="方正仿宋_GBK" w:cs="方正仿宋_GBK"/>
          <w:sz w:val="32"/>
          <w:szCs w:val="32"/>
        </w:rPr>
        <w:t>10.3</w:t>
      </w:r>
      <w:r>
        <w:rPr>
          <w:rFonts w:hint="eastAsia" w:ascii="方正仿宋_GBK" w:hAnsi="方正仿宋_GBK" w:eastAsia="方正仿宋_GBK" w:cs="方正仿宋_GBK"/>
          <w:sz w:val="32"/>
          <w:szCs w:val="32"/>
        </w:rPr>
        <w:t>%；规模以上工业增加值增长</w:t>
      </w:r>
      <w:r>
        <w:rPr>
          <w:rFonts w:ascii="方正仿宋_GBK" w:hAnsi="方正仿宋_GBK" w:eastAsia="方正仿宋_GBK" w:cs="方正仿宋_GBK"/>
          <w:sz w:val="32"/>
          <w:szCs w:val="32"/>
        </w:rPr>
        <w:t>10.4</w:t>
      </w:r>
      <w:r>
        <w:rPr>
          <w:rFonts w:hint="eastAsia" w:ascii="方正仿宋_GBK" w:hAnsi="方正仿宋_GBK" w:eastAsia="方正仿宋_GBK" w:cs="方正仿宋_GBK"/>
          <w:sz w:val="32"/>
          <w:szCs w:val="32"/>
        </w:rPr>
        <w:t>%；规模以上工业企业实现总产值</w:t>
      </w:r>
      <w:r>
        <w:rPr>
          <w:rFonts w:ascii="方正仿宋_GBK" w:hAnsi="方正仿宋_GBK" w:eastAsia="方正仿宋_GBK" w:cs="方正仿宋_GBK"/>
          <w:sz w:val="32"/>
          <w:szCs w:val="32"/>
        </w:rPr>
        <w:t>8093921</w:t>
      </w:r>
      <w:r>
        <w:rPr>
          <w:rFonts w:hint="eastAsia" w:ascii="方正仿宋_GBK" w:hAnsi="方正仿宋_GBK" w:eastAsia="方正仿宋_GBK" w:cs="方正仿宋_GBK"/>
          <w:sz w:val="32"/>
          <w:szCs w:val="32"/>
        </w:rPr>
        <w:t>万元，同比增长13.6。</w:t>
      </w:r>
    </w:p>
    <w:p>
      <w:pPr>
        <w:pStyle w:val="5"/>
        <w:spacing w:before="0" w:beforeAutospacing="0" w:after="0" w:afterAutospacing="0"/>
        <w:ind w:right="45"/>
        <w:jc w:val="center"/>
        <w:rPr>
          <w:rFonts w:ascii="方正仿宋_GBK" w:hAnsi="方正仿宋_GBK" w:eastAsia="方正仿宋_GBK" w:cs="方正仿宋_GBK"/>
          <w:b/>
          <w:color w:val="0000FF"/>
          <w:sz w:val="28"/>
          <w:szCs w:val="28"/>
        </w:rPr>
      </w:pPr>
      <w:r>
        <w:drawing>
          <wp:inline distT="0" distB="0" distL="0" distR="0">
            <wp:extent cx="5229225" cy="3009900"/>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shd w:val="clear" w:color="auto" w:fill="FFFFFF"/>
        <w:tabs>
          <w:tab w:val="left" w:pos="1360"/>
        </w:tabs>
        <w:spacing w:line="360" w:lineRule="auto"/>
        <w:rPr>
          <w:rFonts w:hint="eastAsia" w:ascii="方正仿宋_GBK" w:hAnsi="方正仿宋_GBK" w:eastAsia="方正仿宋_GBK" w:cs="方正仿宋_GBK"/>
          <w:b/>
          <w:bCs/>
          <w:kern w:val="0"/>
          <w:sz w:val="28"/>
          <w:szCs w:val="28"/>
        </w:rPr>
      </w:pPr>
    </w:p>
    <w:p>
      <w:pPr>
        <w:widowControl/>
        <w:shd w:val="clear" w:color="auto" w:fill="FFFFFF"/>
        <w:tabs>
          <w:tab w:val="left" w:pos="1360"/>
        </w:tabs>
        <w:spacing w:line="360" w:lineRule="auto"/>
        <w:ind w:firstLine="562" w:firstLineChars="200"/>
        <w:jc w:val="center"/>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表3　2019年规模以上工业企业主要产品产量及其增长速度</w:t>
      </w:r>
    </w:p>
    <w:tbl>
      <w:tblPr>
        <w:tblStyle w:val="9"/>
        <w:tblW w:w="7320" w:type="dxa"/>
        <w:jc w:val="center"/>
        <w:tblInd w:w="0" w:type="dxa"/>
        <w:tblLayout w:type="fixed"/>
        <w:tblCellMar>
          <w:top w:w="0" w:type="dxa"/>
          <w:left w:w="108" w:type="dxa"/>
          <w:bottom w:w="0" w:type="dxa"/>
          <w:right w:w="108" w:type="dxa"/>
        </w:tblCellMar>
      </w:tblPr>
      <w:tblGrid>
        <w:gridCol w:w="2835"/>
        <w:gridCol w:w="1418"/>
        <w:gridCol w:w="1559"/>
        <w:gridCol w:w="1508"/>
      </w:tblGrid>
      <w:tr>
        <w:tblPrEx>
          <w:tblLayout w:type="fixed"/>
          <w:tblCellMar>
            <w:top w:w="0" w:type="dxa"/>
            <w:left w:w="108" w:type="dxa"/>
            <w:bottom w:w="0" w:type="dxa"/>
            <w:right w:w="108" w:type="dxa"/>
          </w:tblCellMar>
        </w:tblPrEx>
        <w:trPr>
          <w:trHeight w:val="717" w:hRule="exact"/>
          <w:jc w:val="center"/>
        </w:trPr>
        <w:tc>
          <w:tcPr>
            <w:tcW w:w="2835" w:type="dxa"/>
            <w:tcBorders>
              <w:top w:val="single" w:color="auto" w:sz="4" w:space="0"/>
              <w:bottom w:val="single" w:color="auto" w:sz="4" w:space="0"/>
              <w:right w:val="single" w:color="auto" w:sz="4" w:space="0"/>
            </w:tcBorders>
            <w:vAlign w:val="center"/>
          </w:tcPr>
          <w:p>
            <w:pPr>
              <w:widowControl/>
              <w:shd w:val="clear" w:color="auto" w:fill="FFFFFF"/>
              <w:spacing w:line="360" w:lineRule="auto"/>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产品名称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单位</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产量</w:t>
            </w:r>
          </w:p>
        </w:tc>
        <w:tc>
          <w:tcPr>
            <w:tcW w:w="1508" w:type="dxa"/>
            <w:tcBorders>
              <w:top w:val="single" w:color="auto" w:sz="4" w:space="0"/>
              <w:left w:val="single" w:color="auto" w:sz="4" w:space="0"/>
              <w:bottom w:val="single" w:color="auto" w:sz="4" w:space="0"/>
            </w:tcBorders>
            <w:vAlign w:val="center"/>
          </w:tcPr>
          <w:p>
            <w:pPr>
              <w:widowControl/>
              <w:shd w:val="clear" w:color="auto" w:fill="FFFFFF"/>
              <w:spacing w:line="360" w:lineRule="auto"/>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比上年增长（％）</w:t>
            </w:r>
          </w:p>
        </w:tc>
      </w:tr>
      <w:tr>
        <w:tblPrEx>
          <w:tblLayout w:type="fixed"/>
          <w:tblCellMar>
            <w:top w:w="0" w:type="dxa"/>
            <w:left w:w="108" w:type="dxa"/>
            <w:bottom w:w="0" w:type="dxa"/>
            <w:right w:w="108" w:type="dxa"/>
          </w:tblCellMar>
        </w:tblPrEx>
        <w:trPr>
          <w:trHeight w:val="478" w:hRule="exact"/>
          <w:jc w:val="center"/>
        </w:trPr>
        <w:tc>
          <w:tcPr>
            <w:tcW w:w="2835" w:type="dxa"/>
            <w:tcBorders>
              <w:top w:val="nil"/>
              <w:left w:val="nil"/>
              <w:bottom w:val="nil"/>
              <w:right w:val="single" w:color="auto" w:sz="4" w:space="0"/>
            </w:tcBorders>
            <w:vAlign w:val="center"/>
          </w:tcPr>
          <w:p>
            <w:pPr>
              <w:widowControl/>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原煤</w:t>
            </w:r>
          </w:p>
        </w:tc>
        <w:tc>
          <w:tcPr>
            <w:tcW w:w="1418" w:type="dxa"/>
            <w:tcBorders>
              <w:top w:val="single" w:color="auto" w:sz="4" w:space="0"/>
              <w:left w:val="single" w:color="auto" w:sz="4" w:space="0"/>
              <w:bottom w:val="nil"/>
              <w:right w:val="single" w:color="auto" w:sz="4" w:space="0"/>
            </w:tcBorders>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吨</w:t>
            </w:r>
          </w:p>
        </w:tc>
        <w:tc>
          <w:tcPr>
            <w:tcW w:w="1559" w:type="dxa"/>
            <w:tcBorders>
              <w:top w:val="nil"/>
              <w:left w:val="single" w:color="auto" w:sz="4" w:space="0"/>
              <w:bottom w:val="nil"/>
              <w:right w:val="nil"/>
            </w:tcBorders>
            <w:vAlign w:val="center"/>
          </w:tcPr>
          <w:p>
            <w:pPr>
              <w:widowControl/>
              <w:jc w:val="right"/>
              <w:rPr>
                <w:color w:val="000000"/>
                <w:kern w:val="0"/>
                <w:sz w:val="20"/>
                <w:szCs w:val="20"/>
              </w:rPr>
            </w:pPr>
            <w:r>
              <w:rPr>
                <w:rFonts w:hint="eastAsia"/>
                <w:color w:val="000000"/>
                <w:sz w:val="20"/>
                <w:szCs w:val="20"/>
              </w:rPr>
              <w:t xml:space="preserve">366858 </w:t>
            </w:r>
          </w:p>
        </w:tc>
        <w:tc>
          <w:tcPr>
            <w:tcW w:w="1508" w:type="dxa"/>
            <w:tcBorders>
              <w:top w:val="nil"/>
              <w:left w:val="nil"/>
              <w:bottom w:val="nil"/>
              <w:right w:val="nil"/>
            </w:tcBorders>
            <w:vAlign w:val="center"/>
          </w:tcPr>
          <w:p>
            <w:pPr>
              <w:jc w:val="right"/>
              <w:rPr>
                <w:color w:val="000000"/>
                <w:sz w:val="20"/>
                <w:szCs w:val="20"/>
              </w:rPr>
            </w:pPr>
            <w:r>
              <w:rPr>
                <w:rFonts w:hint="eastAsia"/>
                <w:color w:val="000000"/>
                <w:sz w:val="20"/>
                <w:szCs w:val="20"/>
              </w:rPr>
              <w:t xml:space="preserve">-41.0 </w:t>
            </w:r>
          </w:p>
        </w:tc>
      </w:tr>
      <w:tr>
        <w:tblPrEx>
          <w:tblLayout w:type="fixed"/>
          <w:tblCellMar>
            <w:top w:w="0" w:type="dxa"/>
            <w:left w:w="108" w:type="dxa"/>
            <w:bottom w:w="0" w:type="dxa"/>
            <w:right w:w="108" w:type="dxa"/>
          </w:tblCellMar>
        </w:tblPrEx>
        <w:trPr>
          <w:trHeight w:val="478" w:hRule="exact"/>
          <w:jc w:val="center"/>
        </w:trPr>
        <w:tc>
          <w:tcPr>
            <w:tcW w:w="2835" w:type="dxa"/>
            <w:tcBorders>
              <w:top w:val="nil"/>
              <w:left w:val="nil"/>
              <w:bottom w:val="nil"/>
              <w:right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商品</w:t>
            </w:r>
            <w:r>
              <w:rPr>
                <w:rFonts w:ascii="方正仿宋_GBK" w:hAnsi="方正仿宋_GBK" w:eastAsia="方正仿宋_GBK" w:cs="方正仿宋_GBK"/>
                <w:sz w:val="24"/>
              </w:rPr>
              <w:t>混凝土</w:t>
            </w:r>
          </w:p>
        </w:tc>
        <w:tc>
          <w:tcPr>
            <w:tcW w:w="1418" w:type="dxa"/>
            <w:tcBorders>
              <w:top w:val="nil"/>
              <w:left w:val="single" w:color="auto" w:sz="4" w:space="0"/>
              <w:bottom w:val="nil"/>
              <w:right w:val="single" w:color="auto" w:sz="4" w:space="0"/>
            </w:tcBorders>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立方米</w:t>
            </w:r>
          </w:p>
        </w:tc>
        <w:tc>
          <w:tcPr>
            <w:tcW w:w="1559" w:type="dxa"/>
            <w:tcBorders>
              <w:top w:val="nil"/>
              <w:left w:val="single" w:color="auto" w:sz="4" w:space="0"/>
              <w:bottom w:val="nil"/>
              <w:right w:val="nil"/>
            </w:tcBorders>
            <w:vAlign w:val="center"/>
          </w:tcPr>
          <w:p>
            <w:pPr>
              <w:jc w:val="right"/>
              <w:rPr>
                <w:color w:val="000000"/>
                <w:sz w:val="20"/>
                <w:szCs w:val="20"/>
              </w:rPr>
            </w:pPr>
            <w:r>
              <w:rPr>
                <w:rFonts w:hint="eastAsia"/>
                <w:color w:val="000000"/>
                <w:sz w:val="20"/>
                <w:szCs w:val="20"/>
              </w:rPr>
              <w:t xml:space="preserve">2903739 </w:t>
            </w:r>
          </w:p>
        </w:tc>
        <w:tc>
          <w:tcPr>
            <w:tcW w:w="1508" w:type="dxa"/>
            <w:tcBorders>
              <w:top w:val="nil"/>
              <w:left w:val="nil"/>
              <w:bottom w:val="nil"/>
              <w:right w:val="nil"/>
            </w:tcBorders>
            <w:vAlign w:val="center"/>
          </w:tcPr>
          <w:p>
            <w:pPr>
              <w:jc w:val="right"/>
              <w:rPr>
                <w:color w:val="000000"/>
                <w:sz w:val="20"/>
                <w:szCs w:val="20"/>
              </w:rPr>
            </w:pPr>
            <w:r>
              <w:rPr>
                <w:rFonts w:hint="eastAsia"/>
                <w:color w:val="000000"/>
                <w:sz w:val="20"/>
                <w:szCs w:val="20"/>
              </w:rPr>
              <w:t xml:space="preserve">18.6 </w:t>
            </w:r>
          </w:p>
        </w:tc>
      </w:tr>
      <w:tr>
        <w:tblPrEx>
          <w:tblLayout w:type="fixed"/>
          <w:tblCellMar>
            <w:top w:w="0" w:type="dxa"/>
            <w:left w:w="108" w:type="dxa"/>
            <w:bottom w:w="0" w:type="dxa"/>
            <w:right w:w="108" w:type="dxa"/>
          </w:tblCellMar>
        </w:tblPrEx>
        <w:trPr>
          <w:trHeight w:val="478" w:hRule="exact"/>
          <w:jc w:val="center"/>
        </w:trPr>
        <w:tc>
          <w:tcPr>
            <w:tcW w:w="2835" w:type="dxa"/>
            <w:tcBorders>
              <w:top w:val="nil"/>
              <w:left w:val="nil"/>
              <w:bottom w:val="nil"/>
              <w:right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家具</w:t>
            </w:r>
          </w:p>
        </w:tc>
        <w:tc>
          <w:tcPr>
            <w:tcW w:w="1418" w:type="dxa"/>
            <w:tcBorders>
              <w:top w:val="nil"/>
              <w:left w:val="single" w:color="auto" w:sz="4" w:space="0"/>
              <w:bottom w:val="nil"/>
              <w:right w:val="single" w:color="auto" w:sz="4" w:space="0"/>
            </w:tcBorders>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件</w:t>
            </w:r>
          </w:p>
        </w:tc>
        <w:tc>
          <w:tcPr>
            <w:tcW w:w="1559" w:type="dxa"/>
            <w:tcBorders>
              <w:top w:val="nil"/>
              <w:left w:val="single" w:color="auto" w:sz="4" w:space="0"/>
              <w:bottom w:val="nil"/>
              <w:right w:val="nil"/>
            </w:tcBorders>
            <w:vAlign w:val="center"/>
          </w:tcPr>
          <w:p>
            <w:pPr>
              <w:jc w:val="right"/>
              <w:rPr>
                <w:color w:val="000000"/>
                <w:sz w:val="20"/>
                <w:szCs w:val="20"/>
              </w:rPr>
            </w:pPr>
            <w:r>
              <w:rPr>
                <w:rFonts w:hint="eastAsia"/>
                <w:color w:val="000000"/>
                <w:sz w:val="20"/>
                <w:szCs w:val="20"/>
              </w:rPr>
              <w:t xml:space="preserve">599808 </w:t>
            </w:r>
          </w:p>
        </w:tc>
        <w:tc>
          <w:tcPr>
            <w:tcW w:w="1508" w:type="dxa"/>
            <w:tcBorders>
              <w:top w:val="nil"/>
              <w:left w:val="nil"/>
              <w:bottom w:val="nil"/>
              <w:right w:val="nil"/>
            </w:tcBorders>
            <w:vAlign w:val="center"/>
          </w:tcPr>
          <w:p>
            <w:pPr>
              <w:jc w:val="right"/>
              <w:rPr>
                <w:color w:val="000000"/>
                <w:sz w:val="20"/>
                <w:szCs w:val="20"/>
              </w:rPr>
            </w:pPr>
            <w:r>
              <w:rPr>
                <w:rFonts w:hint="eastAsia"/>
                <w:color w:val="000000"/>
                <w:sz w:val="20"/>
                <w:szCs w:val="20"/>
              </w:rPr>
              <w:t xml:space="preserve">5.9 </w:t>
            </w:r>
          </w:p>
        </w:tc>
      </w:tr>
      <w:tr>
        <w:tblPrEx>
          <w:tblLayout w:type="fixed"/>
          <w:tblCellMar>
            <w:top w:w="0" w:type="dxa"/>
            <w:left w:w="108" w:type="dxa"/>
            <w:bottom w:w="0" w:type="dxa"/>
            <w:right w:w="108" w:type="dxa"/>
          </w:tblCellMar>
        </w:tblPrEx>
        <w:trPr>
          <w:trHeight w:val="478" w:hRule="exact"/>
          <w:jc w:val="center"/>
        </w:trPr>
        <w:tc>
          <w:tcPr>
            <w:tcW w:w="2835" w:type="dxa"/>
            <w:tcBorders>
              <w:top w:val="nil"/>
              <w:left w:val="nil"/>
              <w:bottom w:val="nil"/>
              <w:right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饲料</w:t>
            </w:r>
          </w:p>
        </w:tc>
        <w:tc>
          <w:tcPr>
            <w:tcW w:w="1418" w:type="dxa"/>
            <w:tcBorders>
              <w:top w:val="nil"/>
              <w:left w:val="single" w:color="auto" w:sz="4" w:space="0"/>
              <w:bottom w:val="nil"/>
              <w:right w:val="single" w:color="auto" w:sz="4" w:space="0"/>
            </w:tcBorders>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吨</w:t>
            </w:r>
          </w:p>
        </w:tc>
        <w:tc>
          <w:tcPr>
            <w:tcW w:w="1559" w:type="dxa"/>
            <w:tcBorders>
              <w:top w:val="nil"/>
              <w:left w:val="single" w:color="auto" w:sz="4" w:space="0"/>
              <w:bottom w:val="nil"/>
              <w:right w:val="nil"/>
            </w:tcBorders>
            <w:vAlign w:val="center"/>
          </w:tcPr>
          <w:p>
            <w:pPr>
              <w:jc w:val="right"/>
              <w:rPr>
                <w:color w:val="000000"/>
                <w:sz w:val="20"/>
                <w:szCs w:val="20"/>
              </w:rPr>
            </w:pPr>
            <w:r>
              <w:rPr>
                <w:rFonts w:hint="eastAsia"/>
                <w:color w:val="000000"/>
                <w:sz w:val="20"/>
                <w:szCs w:val="20"/>
              </w:rPr>
              <w:t xml:space="preserve">1217381 </w:t>
            </w:r>
          </w:p>
        </w:tc>
        <w:tc>
          <w:tcPr>
            <w:tcW w:w="1508" w:type="dxa"/>
            <w:tcBorders>
              <w:top w:val="nil"/>
              <w:left w:val="nil"/>
              <w:bottom w:val="nil"/>
              <w:right w:val="nil"/>
            </w:tcBorders>
            <w:vAlign w:val="center"/>
          </w:tcPr>
          <w:p>
            <w:pPr>
              <w:jc w:val="right"/>
              <w:rPr>
                <w:color w:val="000000"/>
                <w:sz w:val="20"/>
                <w:szCs w:val="20"/>
              </w:rPr>
            </w:pPr>
            <w:r>
              <w:rPr>
                <w:rFonts w:hint="eastAsia"/>
                <w:color w:val="000000"/>
                <w:sz w:val="20"/>
                <w:szCs w:val="20"/>
              </w:rPr>
              <w:t xml:space="preserve">5.2 </w:t>
            </w:r>
          </w:p>
        </w:tc>
      </w:tr>
      <w:tr>
        <w:tblPrEx>
          <w:tblLayout w:type="fixed"/>
          <w:tblCellMar>
            <w:top w:w="0" w:type="dxa"/>
            <w:left w:w="108" w:type="dxa"/>
            <w:bottom w:w="0" w:type="dxa"/>
            <w:right w:w="108" w:type="dxa"/>
          </w:tblCellMar>
        </w:tblPrEx>
        <w:trPr>
          <w:trHeight w:val="478" w:hRule="exact"/>
          <w:jc w:val="center"/>
        </w:trPr>
        <w:tc>
          <w:tcPr>
            <w:tcW w:w="2835" w:type="dxa"/>
            <w:tcBorders>
              <w:top w:val="nil"/>
              <w:left w:val="nil"/>
              <w:bottom w:val="nil"/>
              <w:right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鲜、冷藏肉</w:t>
            </w:r>
          </w:p>
        </w:tc>
        <w:tc>
          <w:tcPr>
            <w:tcW w:w="1418" w:type="dxa"/>
            <w:tcBorders>
              <w:top w:val="nil"/>
              <w:left w:val="single" w:color="auto" w:sz="4" w:space="0"/>
              <w:bottom w:val="nil"/>
              <w:right w:val="single" w:color="auto" w:sz="4" w:space="0"/>
            </w:tcBorders>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吨</w:t>
            </w:r>
          </w:p>
        </w:tc>
        <w:tc>
          <w:tcPr>
            <w:tcW w:w="1559" w:type="dxa"/>
            <w:tcBorders>
              <w:top w:val="nil"/>
              <w:left w:val="single" w:color="auto" w:sz="4" w:space="0"/>
              <w:bottom w:val="nil"/>
              <w:right w:val="nil"/>
            </w:tcBorders>
            <w:vAlign w:val="center"/>
          </w:tcPr>
          <w:p>
            <w:pPr>
              <w:jc w:val="right"/>
              <w:rPr>
                <w:color w:val="000000"/>
                <w:sz w:val="20"/>
                <w:szCs w:val="20"/>
              </w:rPr>
            </w:pPr>
            <w:r>
              <w:rPr>
                <w:rFonts w:hint="eastAsia"/>
                <w:color w:val="000000"/>
                <w:sz w:val="20"/>
                <w:szCs w:val="20"/>
              </w:rPr>
              <w:t xml:space="preserve">67189 </w:t>
            </w:r>
          </w:p>
        </w:tc>
        <w:tc>
          <w:tcPr>
            <w:tcW w:w="1508" w:type="dxa"/>
            <w:tcBorders>
              <w:top w:val="nil"/>
              <w:left w:val="nil"/>
              <w:bottom w:val="nil"/>
              <w:right w:val="nil"/>
            </w:tcBorders>
            <w:vAlign w:val="center"/>
          </w:tcPr>
          <w:p>
            <w:pPr>
              <w:jc w:val="right"/>
              <w:rPr>
                <w:color w:val="000000"/>
                <w:sz w:val="20"/>
                <w:szCs w:val="20"/>
              </w:rPr>
            </w:pPr>
            <w:r>
              <w:rPr>
                <w:rFonts w:hint="eastAsia"/>
                <w:color w:val="000000"/>
                <w:sz w:val="20"/>
                <w:szCs w:val="20"/>
              </w:rPr>
              <w:t xml:space="preserve">16.7 </w:t>
            </w:r>
          </w:p>
        </w:tc>
      </w:tr>
      <w:tr>
        <w:tblPrEx>
          <w:tblLayout w:type="fixed"/>
          <w:tblCellMar>
            <w:top w:w="0" w:type="dxa"/>
            <w:left w:w="108" w:type="dxa"/>
            <w:bottom w:w="0" w:type="dxa"/>
            <w:right w:w="108" w:type="dxa"/>
          </w:tblCellMar>
        </w:tblPrEx>
        <w:trPr>
          <w:trHeight w:val="587" w:hRule="exact"/>
          <w:jc w:val="center"/>
        </w:trPr>
        <w:tc>
          <w:tcPr>
            <w:tcW w:w="2835" w:type="dxa"/>
            <w:tcBorders>
              <w:top w:val="nil"/>
              <w:left w:val="nil"/>
              <w:bottom w:val="nil"/>
              <w:right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精制茶</w:t>
            </w:r>
          </w:p>
        </w:tc>
        <w:tc>
          <w:tcPr>
            <w:tcW w:w="1418" w:type="dxa"/>
            <w:tcBorders>
              <w:top w:val="nil"/>
              <w:left w:val="single" w:color="auto" w:sz="4" w:space="0"/>
              <w:bottom w:val="nil"/>
              <w:right w:val="single" w:color="auto" w:sz="4" w:space="0"/>
            </w:tcBorders>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吨</w:t>
            </w:r>
          </w:p>
        </w:tc>
        <w:tc>
          <w:tcPr>
            <w:tcW w:w="1559" w:type="dxa"/>
            <w:tcBorders>
              <w:top w:val="nil"/>
              <w:left w:val="single" w:color="auto" w:sz="4" w:space="0"/>
              <w:bottom w:val="nil"/>
              <w:right w:val="nil"/>
            </w:tcBorders>
            <w:vAlign w:val="center"/>
          </w:tcPr>
          <w:p>
            <w:pPr>
              <w:jc w:val="right"/>
              <w:rPr>
                <w:color w:val="000000"/>
                <w:sz w:val="20"/>
                <w:szCs w:val="20"/>
              </w:rPr>
            </w:pPr>
            <w:r>
              <w:rPr>
                <w:rFonts w:hint="eastAsia"/>
                <w:color w:val="000000"/>
                <w:sz w:val="20"/>
                <w:szCs w:val="20"/>
              </w:rPr>
              <w:t xml:space="preserve">107550 </w:t>
            </w:r>
          </w:p>
        </w:tc>
        <w:tc>
          <w:tcPr>
            <w:tcW w:w="1508" w:type="dxa"/>
            <w:tcBorders>
              <w:top w:val="nil"/>
              <w:left w:val="nil"/>
              <w:bottom w:val="nil"/>
              <w:right w:val="nil"/>
            </w:tcBorders>
            <w:vAlign w:val="center"/>
          </w:tcPr>
          <w:p>
            <w:pPr>
              <w:jc w:val="right"/>
              <w:rPr>
                <w:color w:val="000000"/>
                <w:sz w:val="20"/>
                <w:szCs w:val="20"/>
              </w:rPr>
            </w:pPr>
            <w:r>
              <w:rPr>
                <w:rFonts w:hint="eastAsia"/>
                <w:color w:val="000000"/>
                <w:sz w:val="20"/>
                <w:szCs w:val="20"/>
              </w:rPr>
              <w:t xml:space="preserve">12.1 </w:t>
            </w:r>
          </w:p>
        </w:tc>
      </w:tr>
      <w:tr>
        <w:tblPrEx>
          <w:tblLayout w:type="fixed"/>
          <w:tblCellMar>
            <w:top w:w="0" w:type="dxa"/>
            <w:left w:w="108" w:type="dxa"/>
            <w:bottom w:w="0" w:type="dxa"/>
            <w:right w:w="108" w:type="dxa"/>
          </w:tblCellMar>
        </w:tblPrEx>
        <w:trPr>
          <w:trHeight w:val="478" w:hRule="exact"/>
          <w:jc w:val="center"/>
        </w:trPr>
        <w:tc>
          <w:tcPr>
            <w:tcW w:w="2835" w:type="dxa"/>
            <w:tcBorders>
              <w:top w:val="nil"/>
              <w:left w:val="nil"/>
              <w:bottom w:val="nil"/>
              <w:right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苎麻布（含苎麻≥55</w:t>
            </w:r>
            <w:r>
              <w:rPr>
                <w:rFonts w:ascii="方正仿宋_GBK" w:hAnsi="方正仿宋_GBK" w:eastAsia="方正仿宋_GBK" w:cs="方正仿宋_GBK"/>
                <w:sz w:val="24"/>
              </w:rPr>
              <w:t>%）</w:t>
            </w:r>
          </w:p>
        </w:tc>
        <w:tc>
          <w:tcPr>
            <w:tcW w:w="1418" w:type="dxa"/>
            <w:tcBorders>
              <w:top w:val="nil"/>
              <w:left w:val="single" w:color="auto" w:sz="4" w:space="0"/>
              <w:bottom w:val="nil"/>
              <w:right w:val="single" w:color="auto" w:sz="4" w:space="0"/>
            </w:tcBorders>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万米</w:t>
            </w:r>
          </w:p>
        </w:tc>
        <w:tc>
          <w:tcPr>
            <w:tcW w:w="1559" w:type="dxa"/>
            <w:tcBorders>
              <w:top w:val="nil"/>
              <w:left w:val="single" w:color="auto" w:sz="4" w:space="0"/>
              <w:bottom w:val="nil"/>
              <w:right w:val="nil"/>
            </w:tcBorders>
            <w:vAlign w:val="center"/>
          </w:tcPr>
          <w:p>
            <w:pPr>
              <w:jc w:val="right"/>
              <w:rPr>
                <w:color w:val="000000"/>
                <w:sz w:val="20"/>
                <w:szCs w:val="20"/>
              </w:rPr>
            </w:pPr>
            <w:r>
              <w:rPr>
                <w:rFonts w:hint="eastAsia"/>
                <w:color w:val="000000"/>
                <w:sz w:val="20"/>
                <w:szCs w:val="20"/>
              </w:rPr>
              <w:t xml:space="preserve">3738 </w:t>
            </w:r>
          </w:p>
        </w:tc>
        <w:tc>
          <w:tcPr>
            <w:tcW w:w="1508" w:type="dxa"/>
            <w:tcBorders>
              <w:top w:val="nil"/>
              <w:left w:val="nil"/>
              <w:bottom w:val="nil"/>
              <w:right w:val="nil"/>
            </w:tcBorders>
            <w:vAlign w:val="center"/>
          </w:tcPr>
          <w:p>
            <w:pPr>
              <w:jc w:val="right"/>
              <w:rPr>
                <w:color w:val="000000"/>
                <w:sz w:val="20"/>
                <w:szCs w:val="20"/>
              </w:rPr>
            </w:pPr>
            <w:r>
              <w:rPr>
                <w:rFonts w:hint="eastAsia"/>
                <w:color w:val="000000"/>
                <w:sz w:val="20"/>
                <w:szCs w:val="20"/>
              </w:rPr>
              <w:t xml:space="preserve">13.5 </w:t>
            </w:r>
          </w:p>
        </w:tc>
      </w:tr>
      <w:tr>
        <w:tblPrEx>
          <w:tblLayout w:type="fixed"/>
          <w:tblCellMar>
            <w:top w:w="0" w:type="dxa"/>
            <w:left w:w="108" w:type="dxa"/>
            <w:bottom w:w="0" w:type="dxa"/>
            <w:right w:w="108" w:type="dxa"/>
          </w:tblCellMar>
        </w:tblPrEx>
        <w:trPr>
          <w:trHeight w:val="478" w:hRule="exact"/>
          <w:jc w:val="center"/>
        </w:trPr>
        <w:tc>
          <w:tcPr>
            <w:tcW w:w="2835" w:type="dxa"/>
            <w:tcBorders>
              <w:top w:val="nil"/>
              <w:left w:val="nil"/>
              <w:bottom w:val="nil"/>
              <w:right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纸制品</w:t>
            </w:r>
          </w:p>
        </w:tc>
        <w:tc>
          <w:tcPr>
            <w:tcW w:w="1418" w:type="dxa"/>
            <w:tcBorders>
              <w:top w:val="nil"/>
              <w:left w:val="single" w:color="auto" w:sz="4" w:space="0"/>
              <w:bottom w:val="nil"/>
              <w:right w:val="single" w:color="auto" w:sz="4" w:space="0"/>
            </w:tcBorders>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吨</w:t>
            </w:r>
          </w:p>
        </w:tc>
        <w:tc>
          <w:tcPr>
            <w:tcW w:w="1559" w:type="dxa"/>
            <w:tcBorders>
              <w:top w:val="nil"/>
              <w:left w:val="single" w:color="auto" w:sz="4" w:space="0"/>
              <w:bottom w:val="nil"/>
              <w:right w:val="nil"/>
            </w:tcBorders>
            <w:vAlign w:val="center"/>
          </w:tcPr>
          <w:p>
            <w:pPr>
              <w:jc w:val="right"/>
              <w:rPr>
                <w:color w:val="000000"/>
                <w:sz w:val="20"/>
                <w:szCs w:val="20"/>
              </w:rPr>
            </w:pPr>
            <w:r>
              <w:rPr>
                <w:rFonts w:hint="eastAsia"/>
                <w:color w:val="000000"/>
                <w:sz w:val="20"/>
                <w:szCs w:val="20"/>
              </w:rPr>
              <w:t xml:space="preserve">159308 </w:t>
            </w:r>
          </w:p>
        </w:tc>
        <w:tc>
          <w:tcPr>
            <w:tcW w:w="1508" w:type="dxa"/>
            <w:tcBorders>
              <w:top w:val="nil"/>
              <w:left w:val="nil"/>
              <w:bottom w:val="nil"/>
              <w:right w:val="nil"/>
            </w:tcBorders>
            <w:vAlign w:val="center"/>
          </w:tcPr>
          <w:p>
            <w:pPr>
              <w:jc w:val="right"/>
              <w:rPr>
                <w:color w:val="000000"/>
                <w:sz w:val="20"/>
                <w:szCs w:val="20"/>
              </w:rPr>
            </w:pPr>
            <w:r>
              <w:rPr>
                <w:rFonts w:hint="eastAsia"/>
                <w:color w:val="000000"/>
                <w:sz w:val="20"/>
                <w:szCs w:val="20"/>
              </w:rPr>
              <w:t xml:space="preserve">12.4 </w:t>
            </w:r>
          </w:p>
        </w:tc>
      </w:tr>
      <w:tr>
        <w:tblPrEx>
          <w:tblLayout w:type="fixed"/>
          <w:tblCellMar>
            <w:top w:w="0" w:type="dxa"/>
            <w:left w:w="108" w:type="dxa"/>
            <w:bottom w:w="0" w:type="dxa"/>
            <w:right w:w="108" w:type="dxa"/>
          </w:tblCellMar>
        </w:tblPrEx>
        <w:trPr>
          <w:trHeight w:val="478" w:hRule="exact"/>
          <w:jc w:val="center"/>
        </w:trPr>
        <w:tc>
          <w:tcPr>
            <w:tcW w:w="2835" w:type="dxa"/>
            <w:tcBorders>
              <w:top w:val="nil"/>
              <w:left w:val="nil"/>
              <w:bottom w:val="nil"/>
              <w:right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不锈钢日用制品</w:t>
            </w:r>
          </w:p>
        </w:tc>
        <w:tc>
          <w:tcPr>
            <w:tcW w:w="1418" w:type="dxa"/>
            <w:tcBorders>
              <w:top w:val="nil"/>
              <w:left w:val="single" w:color="auto" w:sz="4" w:space="0"/>
              <w:bottom w:val="nil"/>
              <w:right w:val="single" w:color="auto" w:sz="4" w:space="0"/>
            </w:tcBorders>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吨</w:t>
            </w:r>
          </w:p>
        </w:tc>
        <w:tc>
          <w:tcPr>
            <w:tcW w:w="1559" w:type="dxa"/>
            <w:tcBorders>
              <w:top w:val="nil"/>
              <w:left w:val="single" w:color="auto" w:sz="4" w:space="0"/>
              <w:bottom w:val="nil"/>
              <w:right w:val="nil"/>
            </w:tcBorders>
            <w:vAlign w:val="center"/>
          </w:tcPr>
          <w:p>
            <w:pPr>
              <w:jc w:val="right"/>
              <w:rPr>
                <w:color w:val="000000"/>
                <w:sz w:val="20"/>
                <w:szCs w:val="20"/>
              </w:rPr>
            </w:pPr>
            <w:r>
              <w:rPr>
                <w:rFonts w:hint="eastAsia"/>
                <w:color w:val="000000"/>
                <w:sz w:val="20"/>
                <w:szCs w:val="20"/>
              </w:rPr>
              <w:t xml:space="preserve">11900 </w:t>
            </w:r>
          </w:p>
        </w:tc>
        <w:tc>
          <w:tcPr>
            <w:tcW w:w="1508" w:type="dxa"/>
            <w:tcBorders>
              <w:top w:val="nil"/>
              <w:left w:val="nil"/>
              <w:bottom w:val="nil"/>
              <w:right w:val="nil"/>
            </w:tcBorders>
            <w:vAlign w:val="center"/>
          </w:tcPr>
          <w:p>
            <w:pPr>
              <w:jc w:val="right"/>
              <w:rPr>
                <w:color w:val="000000"/>
                <w:sz w:val="20"/>
                <w:szCs w:val="20"/>
              </w:rPr>
            </w:pPr>
            <w:r>
              <w:rPr>
                <w:rFonts w:hint="eastAsia"/>
                <w:color w:val="000000"/>
                <w:sz w:val="20"/>
                <w:szCs w:val="20"/>
              </w:rPr>
              <w:t xml:space="preserve">-30.9 </w:t>
            </w:r>
          </w:p>
        </w:tc>
      </w:tr>
      <w:tr>
        <w:tblPrEx>
          <w:tblLayout w:type="fixed"/>
          <w:tblCellMar>
            <w:top w:w="0" w:type="dxa"/>
            <w:left w:w="108" w:type="dxa"/>
            <w:bottom w:w="0" w:type="dxa"/>
            <w:right w:w="108" w:type="dxa"/>
          </w:tblCellMar>
        </w:tblPrEx>
        <w:trPr>
          <w:trHeight w:val="478" w:hRule="exact"/>
          <w:jc w:val="center"/>
        </w:trPr>
        <w:tc>
          <w:tcPr>
            <w:tcW w:w="2835" w:type="dxa"/>
            <w:tcBorders>
              <w:top w:val="nil"/>
              <w:left w:val="nil"/>
              <w:bottom w:val="nil"/>
              <w:right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阀门</w:t>
            </w:r>
          </w:p>
        </w:tc>
        <w:tc>
          <w:tcPr>
            <w:tcW w:w="1418" w:type="dxa"/>
            <w:tcBorders>
              <w:top w:val="nil"/>
              <w:left w:val="single" w:color="auto" w:sz="4" w:space="0"/>
              <w:bottom w:val="nil"/>
              <w:right w:val="single" w:color="auto" w:sz="4" w:space="0"/>
            </w:tcBorders>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吨</w:t>
            </w:r>
          </w:p>
        </w:tc>
        <w:tc>
          <w:tcPr>
            <w:tcW w:w="1559" w:type="dxa"/>
            <w:tcBorders>
              <w:top w:val="nil"/>
              <w:left w:val="single" w:color="auto" w:sz="4" w:space="0"/>
              <w:bottom w:val="nil"/>
              <w:right w:val="nil"/>
            </w:tcBorders>
            <w:vAlign w:val="center"/>
          </w:tcPr>
          <w:p>
            <w:pPr>
              <w:jc w:val="right"/>
              <w:rPr>
                <w:color w:val="000000"/>
                <w:sz w:val="20"/>
                <w:szCs w:val="20"/>
              </w:rPr>
            </w:pPr>
            <w:r>
              <w:rPr>
                <w:rFonts w:hint="eastAsia"/>
                <w:color w:val="000000"/>
                <w:sz w:val="20"/>
                <w:szCs w:val="20"/>
              </w:rPr>
              <w:t xml:space="preserve">144570 </w:t>
            </w:r>
          </w:p>
        </w:tc>
        <w:tc>
          <w:tcPr>
            <w:tcW w:w="1508" w:type="dxa"/>
            <w:tcBorders>
              <w:top w:val="nil"/>
              <w:left w:val="nil"/>
              <w:bottom w:val="nil"/>
              <w:right w:val="nil"/>
            </w:tcBorders>
            <w:vAlign w:val="center"/>
          </w:tcPr>
          <w:p>
            <w:pPr>
              <w:jc w:val="right"/>
              <w:rPr>
                <w:color w:val="000000"/>
                <w:sz w:val="20"/>
                <w:szCs w:val="20"/>
              </w:rPr>
            </w:pPr>
            <w:r>
              <w:rPr>
                <w:rFonts w:hint="eastAsia"/>
                <w:color w:val="000000"/>
                <w:sz w:val="20"/>
                <w:szCs w:val="20"/>
              </w:rPr>
              <w:t xml:space="preserve">-0.3 </w:t>
            </w:r>
          </w:p>
        </w:tc>
      </w:tr>
      <w:tr>
        <w:tblPrEx>
          <w:tblLayout w:type="fixed"/>
          <w:tblCellMar>
            <w:top w:w="0" w:type="dxa"/>
            <w:left w:w="108" w:type="dxa"/>
            <w:bottom w:w="0" w:type="dxa"/>
            <w:right w:w="108" w:type="dxa"/>
          </w:tblCellMar>
        </w:tblPrEx>
        <w:trPr>
          <w:trHeight w:val="478" w:hRule="exact"/>
          <w:jc w:val="center"/>
        </w:trPr>
        <w:tc>
          <w:tcPr>
            <w:tcW w:w="2835" w:type="dxa"/>
            <w:tcBorders>
              <w:top w:val="nil"/>
              <w:left w:val="nil"/>
              <w:bottom w:val="nil"/>
              <w:right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电子元件</w:t>
            </w:r>
          </w:p>
        </w:tc>
        <w:tc>
          <w:tcPr>
            <w:tcW w:w="1418" w:type="dxa"/>
            <w:tcBorders>
              <w:top w:val="nil"/>
              <w:left w:val="single" w:color="auto" w:sz="4" w:space="0"/>
              <w:bottom w:val="nil"/>
              <w:right w:val="single" w:color="auto" w:sz="4" w:space="0"/>
            </w:tcBorders>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万只</w:t>
            </w:r>
          </w:p>
        </w:tc>
        <w:tc>
          <w:tcPr>
            <w:tcW w:w="1559" w:type="dxa"/>
            <w:tcBorders>
              <w:top w:val="nil"/>
              <w:left w:val="single" w:color="auto" w:sz="4" w:space="0"/>
              <w:bottom w:val="nil"/>
              <w:right w:val="nil"/>
            </w:tcBorders>
            <w:vAlign w:val="center"/>
          </w:tcPr>
          <w:p>
            <w:pPr>
              <w:jc w:val="right"/>
              <w:rPr>
                <w:color w:val="000000"/>
                <w:sz w:val="20"/>
                <w:szCs w:val="20"/>
              </w:rPr>
            </w:pPr>
            <w:r>
              <w:rPr>
                <w:rFonts w:hint="eastAsia"/>
                <w:color w:val="000000"/>
                <w:sz w:val="20"/>
                <w:szCs w:val="20"/>
              </w:rPr>
              <w:t xml:space="preserve">550569 </w:t>
            </w:r>
          </w:p>
        </w:tc>
        <w:tc>
          <w:tcPr>
            <w:tcW w:w="1508" w:type="dxa"/>
            <w:tcBorders>
              <w:top w:val="nil"/>
              <w:left w:val="nil"/>
              <w:bottom w:val="nil"/>
              <w:right w:val="nil"/>
            </w:tcBorders>
            <w:vAlign w:val="center"/>
          </w:tcPr>
          <w:p>
            <w:pPr>
              <w:jc w:val="right"/>
              <w:rPr>
                <w:color w:val="000000"/>
                <w:sz w:val="20"/>
                <w:szCs w:val="20"/>
              </w:rPr>
            </w:pPr>
            <w:r>
              <w:rPr>
                <w:rFonts w:hint="eastAsia"/>
                <w:color w:val="000000"/>
                <w:sz w:val="20"/>
                <w:szCs w:val="20"/>
              </w:rPr>
              <w:t xml:space="preserve">37.5 </w:t>
            </w:r>
          </w:p>
        </w:tc>
      </w:tr>
      <w:tr>
        <w:tblPrEx>
          <w:tblLayout w:type="fixed"/>
          <w:tblCellMar>
            <w:top w:w="0" w:type="dxa"/>
            <w:left w:w="108" w:type="dxa"/>
            <w:bottom w:w="0" w:type="dxa"/>
            <w:right w:w="108" w:type="dxa"/>
          </w:tblCellMar>
        </w:tblPrEx>
        <w:trPr>
          <w:trHeight w:val="478" w:hRule="exact"/>
          <w:jc w:val="center"/>
        </w:trPr>
        <w:tc>
          <w:tcPr>
            <w:tcW w:w="2835" w:type="dxa"/>
            <w:tcBorders>
              <w:top w:val="nil"/>
              <w:left w:val="nil"/>
              <w:bottom w:val="nil"/>
              <w:right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印制电路板</w:t>
            </w:r>
          </w:p>
        </w:tc>
        <w:tc>
          <w:tcPr>
            <w:tcW w:w="1418" w:type="dxa"/>
            <w:tcBorders>
              <w:top w:val="nil"/>
              <w:left w:val="single" w:color="auto" w:sz="4" w:space="0"/>
              <w:bottom w:val="nil"/>
              <w:right w:val="single" w:color="auto" w:sz="4" w:space="0"/>
            </w:tcBorders>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平方米</w:t>
            </w:r>
          </w:p>
        </w:tc>
        <w:tc>
          <w:tcPr>
            <w:tcW w:w="1559" w:type="dxa"/>
            <w:tcBorders>
              <w:top w:val="nil"/>
              <w:left w:val="single" w:color="auto" w:sz="4" w:space="0"/>
              <w:bottom w:val="nil"/>
              <w:right w:val="nil"/>
            </w:tcBorders>
            <w:vAlign w:val="center"/>
          </w:tcPr>
          <w:p>
            <w:pPr>
              <w:jc w:val="right"/>
              <w:rPr>
                <w:color w:val="000000"/>
                <w:sz w:val="20"/>
                <w:szCs w:val="20"/>
              </w:rPr>
            </w:pPr>
            <w:r>
              <w:rPr>
                <w:rFonts w:hint="eastAsia"/>
                <w:color w:val="000000"/>
                <w:sz w:val="20"/>
                <w:szCs w:val="20"/>
              </w:rPr>
              <w:t xml:space="preserve">607494 </w:t>
            </w:r>
          </w:p>
        </w:tc>
        <w:tc>
          <w:tcPr>
            <w:tcW w:w="1508" w:type="dxa"/>
            <w:tcBorders>
              <w:top w:val="nil"/>
              <w:left w:val="nil"/>
              <w:bottom w:val="nil"/>
              <w:right w:val="nil"/>
            </w:tcBorders>
            <w:vAlign w:val="center"/>
          </w:tcPr>
          <w:p>
            <w:pPr>
              <w:jc w:val="right"/>
              <w:rPr>
                <w:color w:val="000000"/>
                <w:sz w:val="20"/>
                <w:szCs w:val="20"/>
              </w:rPr>
            </w:pPr>
            <w:r>
              <w:rPr>
                <w:rFonts w:hint="eastAsia"/>
                <w:color w:val="000000"/>
                <w:sz w:val="20"/>
                <w:szCs w:val="20"/>
              </w:rPr>
              <w:t xml:space="preserve">-14.7 </w:t>
            </w:r>
          </w:p>
        </w:tc>
      </w:tr>
      <w:tr>
        <w:tblPrEx>
          <w:tblLayout w:type="fixed"/>
          <w:tblCellMar>
            <w:top w:w="0" w:type="dxa"/>
            <w:left w:w="108" w:type="dxa"/>
            <w:bottom w:w="0" w:type="dxa"/>
            <w:right w:w="108" w:type="dxa"/>
          </w:tblCellMar>
        </w:tblPrEx>
        <w:trPr>
          <w:trHeight w:val="478" w:hRule="exact"/>
          <w:jc w:val="center"/>
        </w:trPr>
        <w:tc>
          <w:tcPr>
            <w:tcW w:w="2835" w:type="dxa"/>
            <w:tcBorders>
              <w:top w:val="nil"/>
              <w:left w:val="nil"/>
              <w:right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兽用药品</w:t>
            </w:r>
          </w:p>
        </w:tc>
        <w:tc>
          <w:tcPr>
            <w:tcW w:w="1418" w:type="dxa"/>
            <w:tcBorders>
              <w:top w:val="nil"/>
              <w:left w:val="single" w:color="auto" w:sz="4" w:space="0"/>
              <w:right w:val="single" w:color="auto" w:sz="4" w:space="0"/>
            </w:tcBorders>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吨</w:t>
            </w:r>
          </w:p>
        </w:tc>
        <w:tc>
          <w:tcPr>
            <w:tcW w:w="1559" w:type="dxa"/>
            <w:tcBorders>
              <w:top w:val="nil"/>
              <w:left w:val="single" w:color="auto" w:sz="4" w:space="0"/>
              <w:right w:val="nil"/>
            </w:tcBorders>
            <w:vAlign w:val="center"/>
          </w:tcPr>
          <w:p>
            <w:pPr>
              <w:jc w:val="right"/>
              <w:rPr>
                <w:color w:val="000000"/>
                <w:sz w:val="20"/>
                <w:szCs w:val="20"/>
              </w:rPr>
            </w:pPr>
            <w:r>
              <w:rPr>
                <w:rFonts w:hint="eastAsia"/>
                <w:color w:val="000000"/>
                <w:sz w:val="20"/>
                <w:szCs w:val="20"/>
              </w:rPr>
              <w:t xml:space="preserve">23509 </w:t>
            </w:r>
          </w:p>
        </w:tc>
        <w:tc>
          <w:tcPr>
            <w:tcW w:w="1508" w:type="dxa"/>
            <w:tcBorders>
              <w:top w:val="nil"/>
              <w:left w:val="nil"/>
              <w:right w:val="nil"/>
            </w:tcBorders>
            <w:vAlign w:val="center"/>
          </w:tcPr>
          <w:p>
            <w:pPr>
              <w:jc w:val="right"/>
              <w:rPr>
                <w:color w:val="000000"/>
                <w:sz w:val="20"/>
                <w:szCs w:val="20"/>
              </w:rPr>
            </w:pPr>
            <w:r>
              <w:rPr>
                <w:rFonts w:hint="eastAsia"/>
                <w:color w:val="000000"/>
                <w:sz w:val="20"/>
                <w:szCs w:val="20"/>
              </w:rPr>
              <w:t xml:space="preserve">41.5 </w:t>
            </w:r>
          </w:p>
        </w:tc>
      </w:tr>
      <w:tr>
        <w:tblPrEx>
          <w:tblLayout w:type="fixed"/>
          <w:tblCellMar>
            <w:top w:w="0" w:type="dxa"/>
            <w:left w:w="108" w:type="dxa"/>
            <w:bottom w:w="0" w:type="dxa"/>
            <w:right w:w="108" w:type="dxa"/>
          </w:tblCellMar>
        </w:tblPrEx>
        <w:trPr>
          <w:trHeight w:val="487" w:hRule="exact"/>
          <w:jc w:val="center"/>
        </w:trPr>
        <w:tc>
          <w:tcPr>
            <w:tcW w:w="2835" w:type="dxa"/>
            <w:tcBorders>
              <w:top w:val="nil"/>
              <w:left w:val="nil"/>
              <w:bottom w:val="single" w:color="auto" w:sz="4" w:space="0"/>
              <w:right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日用玻璃制品</w:t>
            </w:r>
          </w:p>
        </w:tc>
        <w:tc>
          <w:tcPr>
            <w:tcW w:w="1418" w:type="dxa"/>
            <w:tcBorders>
              <w:top w:val="nil"/>
              <w:left w:val="single" w:color="auto" w:sz="4" w:space="0"/>
              <w:bottom w:val="single" w:color="auto" w:sz="4" w:space="0"/>
              <w:right w:val="single" w:color="auto" w:sz="4" w:space="0"/>
            </w:tcBorders>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吨</w:t>
            </w:r>
          </w:p>
        </w:tc>
        <w:tc>
          <w:tcPr>
            <w:tcW w:w="1559" w:type="dxa"/>
            <w:tcBorders>
              <w:top w:val="nil"/>
              <w:left w:val="single" w:color="auto" w:sz="4" w:space="0"/>
              <w:bottom w:val="single" w:color="auto" w:sz="4" w:space="0"/>
              <w:right w:val="nil"/>
            </w:tcBorders>
            <w:vAlign w:val="center"/>
          </w:tcPr>
          <w:p>
            <w:pPr>
              <w:jc w:val="right"/>
              <w:rPr>
                <w:color w:val="000000"/>
                <w:sz w:val="20"/>
                <w:szCs w:val="20"/>
              </w:rPr>
            </w:pPr>
            <w:r>
              <w:rPr>
                <w:rFonts w:hint="eastAsia"/>
                <w:color w:val="000000"/>
                <w:sz w:val="20"/>
                <w:szCs w:val="20"/>
              </w:rPr>
              <w:t xml:space="preserve">13419 </w:t>
            </w:r>
          </w:p>
        </w:tc>
        <w:tc>
          <w:tcPr>
            <w:tcW w:w="1508" w:type="dxa"/>
            <w:tcBorders>
              <w:top w:val="nil"/>
              <w:left w:val="nil"/>
              <w:bottom w:val="single" w:color="auto" w:sz="4" w:space="0"/>
              <w:right w:val="nil"/>
            </w:tcBorders>
            <w:vAlign w:val="center"/>
          </w:tcPr>
          <w:p>
            <w:pPr>
              <w:jc w:val="right"/>
              <w:rPr>
                <w:color w:val="000000"/>
                <w:sz w:val="20"/>
                <w:szCs w:val="20"/>
              </w:rPr>
            </w:pPr>
            <w:r>
              <w:rPr>
                <w:rFonts w:hint="eastAsia"/>
                <w:color w:val="000000"/>
                <w:sz w:val="20"/>
                <w:szCs w:val="20"/>
              </w:rPr>
              <w:t xml:space="preserve">-70.8 </w:t>
            </w:r>
          </w:p>
        </w:tc>
      </w:tr>
    </w:tbl>
    <w:p>
      <w:pPr>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全区建筑业实现增加值</w:t>
      </w:r>
      <w:r>
        <w:rPr>
          <w:rFonts w:ascii="方正仿宋_GBK" w:hAnsi="方正仿宋_GBK" w:eastAsia="方正仿宋_GBK" w:cs="方正仿宋_GBK"/>
          <w:kern w:val="0"/>
          <w:sz w:val="32"/>
          <w:szCs w:val="32"/>
        </w:rPr>
        <w:t>837895</w:t>
      </w:r>
      <w:r>
        <w:rPr>
          <w:rFonts w:hint="eastAsia" w:ascii="方正仿宋_GBK" w:hAnsi="方正仿宋_GBK" w:eastAsia="方正仿宋_GBK" w:cs="方正仿宋_GBK"/>
          <w:kern w:val="0"/>
          <w:sz w:val="32"/>
          <w:szCs w:val="32"/>
        </w:rPr>
        <w:t>万元，比上年增长</w:t>
      </w:r>
      <w:r>
        <w:rPr>
          <w:rFonts w:ascii="方正仿宋_GBK" w:hAnsi="方正仿宋_GBK" w:eastAsia="方正仿宋_GBK" w:cs="方正仿宋_GBK"/>
          <w:kern w:val="0"/>
          <w:sz w:val="32"/>
          <w:szCs w:val="32"/>
        </w:rPr>
        <w:t>11.1</w:t>
      </w:r>
      <w:r>
        <w:rPr>
          <w:rFonts w:hint="eastAsia" w:ascii="方正仿宋_GBK" w:hAnsi="方正仿宋_GBK" w:eastAsia="方正仿宋_GBK" w:cs="方正仿宋_GBK"/>
          <w:kern w:val="0"/>
          <w:sz w:val="32"/>
          <w:szCs w:val="32"/>
        </w:rPr>
        <w:t>%。年末在荣昌注册具有资质等级的总承包和专业承包的独立核算建筑业法人企业46家，实现注册地建筑业总产值达到166.84亿元，增长14.8%。全年建筑企业房屋施工面积583.69万平方米，比上年增长4.7%；房屋建筑竣工面积</w:t>
      </w:r>
      <w:r>
        <w:rPr>
          <w:rFonts w:ascii="方正仿宋_GBK" w:hAnsi="方正仿宋_GBK" w:eastAsia="方正仿宋_GBK" w:cs="方正仿宋_GBK"/>
          <w:kern w:val="0"/>
          <w:sz w:val="32"/>
          <w:szCs w:val="32"/>
        </w:rPr>
        <w:t>413.88</w:t>
      </w:r>
      <w:r>
        <w:rPr>
          <w:rFonts w:hint="eastAsia" w:ascii="方正仿宋_GBK" w:hAnsi="方正仿宋_GBK" w:eastAsia="方正仿宋_GBK" w:cs="方正仿宋_GBK"/>
          <w:kern w:val="0"/>
          <w:sz w:val="32"/>
          <w:szCs w:val="32"/>
        </w:rPr>
        <w:t>万平方米，比上年增长56.5% 。</w:t>
      </w:r>
    </w:p>
    <w:p>
      <w:pPr>
        <w:jc w:val="center"/>
        <w:rPr>
          <w:rFonts w:ascii="方正仿宋_GBK" w:hAnsi="方正仿宋_GBK" w:eastAsia="方正仿宋_GBK" w:cs="方正仿宋_GBK"/>
          <w:kern w:val="0"/>
          <w:sz w:val="28"/>
        </w:rPr>
      </w:pPr>
      <w:r>
        <w:drawing>
          <wp:inline distT="0" distB="0" distL="0" distR="0">
            <wp:extent cx="4848225" cy="2905125"/>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ind w:firstLine="643" w:firstLineChars="200"/>
        <w:rPr>
          <w:rFonts w:ascii="方正黑体_GBK" w:hAnsi="方正黑体_GBK" w:eastAsia="方正黑体_GBK" w:cs="方正黑体_GBK"/>
          <w:b/>
          <w:kern w:val="0"/>
          <w:sz w:val="32"/>
          <w:szCs w:val="32"/>
        </w:rPr>
      </w:pPr>
    </w:p>
    <w:p>
      <w:pPr>
        <w:ind w:firstLine="643" w:firstLineChars="200"/>
        <w:rPr>
          <w:rFonts w:ascii="方正黑体_GBK" w:hAnsi="方正黑体_GBK" w:eastAsia="方正黑体_GBK" w:cs="方正黑体_GBK"/>
          <w:b/>
          <w:kern w:val="0"/>
          <w:sz w:val="32"/>
          <w:szCs w:val="32"/>
        </w:rPr>
      </w:pPr>
      <w:r>
        <w:rPr>
          <w:rFonts w:hint="eastAsia" w:ascii="方正黑体_GBK" w:hAnsi="方正黑体_GBK" w:eastAsia="方正黑体_GBK" w:cs="方正黑体_GBK"/>
          <w:b/>
          <w:kern w:val="0"/>
          <w:sz w:val="32"/>
          <w:szCs w:val="32"/>
        </w:rPr>
        <w:t>四、固定资产投资</w:t>
      </w:r>
    </w:p>
    <w:p>
      <w:pPr>
        <w:widowControl/>
        <w:shd w:val="clear" w:color="auto" w:fill="FFFFFF"/>
        <w:spacing w:line="360" w:lineRule="auto"/>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固定资产投资平稳增长。全年固定资产投资比上年增长</w:t>
      </w:r>
      <w:r>
        <w:rPr>
          <w:rFonts w:ascii="方正仿宋_GBK" w:hAnsi="方正仿宋_GBK" w:eastAsia="方正仿宋_GBK" w:cs="方正仿宋_GBK"/>
          <w:kern w:val="0"/>
          <w:sz w:val="32"/>
          <w:szCs w:val="32"/>
        </w:rPr>
        <w:t>14.6</w:t>
      </w:r>
      <w:r>
        <w:rPr>
          <w:rFonts w:hint="eastAsia" w:ascii="方正仿宋_GBK" w:hAnsi="方正仿宋_GBK" w:eastAsia="方正仿宋_GBK" w:cs="方正仿宋_GBK"/>
          <w:kern w:val="0"/>
          <w:sz w:val="32"/>
          <w:szCs w:val="32"/>
        </w:rPr>
        <w:t>％。其中基础设施建设投资下降</w:t>
      </w:r>
      <w:r>
        <w:rPr>
          <w:rFonts w:ascii="方正仿宋_GBK" w:hAnsi="方正仿宋_GBK" w:eastAsia="方正仿宋_GBK" w:cs="方正仿宋_GBK"/>
          <w:kern w:val="0"/>
          <w:sz w:val="32"/>
          <w:szCs w:val="32"/>
        </w:rPr>
        <w:t>21.6</w:t>
      </w:r>
      <w:r>
        <w:rPr>
          <w:rFonts w:hint="eastAsia" w:ascii="方正仿宋_GBK" w:hAnsi="方正仿宋_GBK" w:eastAsia="方正仿宋_GBK" w:cs="方正仿宋_GBK"/>
          <w:kern w:val="0"/>
          <w:sz w:val="32"/>
          <w:szCs w:val="32"/>
        </w:rPr>
        <w:t>%。从投资主体看，国有投资下降</w:t>
      </w:r>
      <w:r>
        <w:rPr>
          <w:rFonts w:ascii="方正仿宋_GBK" w:hAnsi="方正仿宋_GBK" w:eastAsia="方正仿宋_GBK" w:cs="方正仿宋_GBK"/>
          <w:kern w:val="0"/>
          <w:sz w:val="32"/>
          <w:szCs w:val="32"/>
        </w:rPr>
        <w:t>26.4</w:t>
      </w:r>
      <w:r>
        <w:rPr>
          <w:rFonts w:hint="eastAsia" w:ascii="方正仿宋_GBK" w:hAnsi="方正仿宋_GBK" w:eastAsia="方正仿宋_GBK" w:cs="方正仿宋_GBK"/>
          <w:kern w:val="0"/>
          <w:sz w:val="32"/>
          <w:szCs w:val="32"/>
        </w:rPr>
        <w:t>%；民间投资增长</w:t>
      </w:r>
      <w:r>
        <w:rPr>
          <w:rFonts w:ascii="方正仿宋_GBK" w:hAnsi="方正仿宋_GBK" w:eastAsia="方正仿宋_GBK" w:cs="方正仿宋_GBK"/>
          <w:kern w:val="0"/>
          <w:sz w:val="32"/>
          <w:szCs w:val="32"/>
        </w:rPr>
        <w:t>30.6</w:t>
      </w:r>
      <w:r>
        <w:rPr>
          <w:rFonts w:hint="eastAsia" w:ascii="方正仿宋_GBK" w:hAnsi="方正仿宋_GBK" w:eastAsia="方正仿宋_GBK" w:cs="方正仿宋_GBK"/>
          <w:kern w:val="0"/>
          <w:sz w:val="32"/>
          <w:szCs w:val="32"/>
        </w:rPr>
        <w:t>%。从三次产业投资看，第一产业投资增长68.1%；第二产业投资增长</w:t>
      </w:r>
      <w:r>
        <w:rPr>
          <w:rFonts w:ascii="方正仿宋_GBK" w:hAnsi="方正仿宋_GBK" w:eastAsia="方正仿宋_GBK" w:cs="方正仿宋_GBK"/>
          <w:kern w:val="0"/>
          <w:sz w:val="32"/>
          <w:szCs w:val="32"/>
        </w:rPr>
        <w:t>23.4</w:t>
      </w:r>
      <w:r>
        <w:rPr>
          <w:rFonts w:hint="eastAsia" w:ascii="方正仿宋_GBK" w:hAnsi="方正仿宋_GBK" w:eastAsia="方正仿宋_GBK" w:cs="方正仿宋_GBK"/>
          <w:kern w:val="0"/>
          <w:sz w:val="32"/>
          <w:szCs w:val="32"/>
        </w:rPr>
        <w:t>%；第三产业投资增长</w:t>
      </w:r>
      <w:r>
        <w:rPr>
          <w:rFonts w:ascii="方正仿宋_GBK" w:hAnsi="方正仿宋_GBK" w:eastAsia="方正仿宋_GBK" w:cs="方正仿宋_GBK"/>
          <w:kern w:val="0"/>
          <w:sz w:val="32"/>
          <w:szCs w:val="32"/>
        </w:rPr>
        <w:t>6.8</w:t>
      </w:r>
      <w:r>
        <w:rPr>
          <w:rFonts w:hint="eastAsia" w:ascii="方正仿宋_GBK" w:hAnsi="方正仿宋_GBK" w:eastAsia="方正仿宋_GBK" w:cs="方正仿宋_GBK"/>
          <w:kern w:val="0"/>
          <w:sz w:val="32"/>
          <w:szCs w:val="32"/>
        </w:rPr>
        <w:t>%。全年工业投资增长</w:t>
      </w:r>
      <w:r>
        <w:rPr>
          <w:rFonts w:ascii="方正仿宋_GBK" w:hAnsi="方正仿宋_GBK" w:eastAsia="方正仿宋_GBK" w:cs="方正仿宋_GBK"/>
          <w:kern w:val="0"/>
          <w:sz w:val="32"/>
          <w:szCs w:val="32"/>
        </w:rPr>
        <w:t>23.4</w:t>
      </w:r>
      <w:r>
        <w:rPr>
          <w:rFonts w:hint="eastAsia" w:ascii="方正仿宋_GBK" w:hAnsi="方正仿宋_GBK" w:eastAsia="方正仿宋_GBK" w:cs="方正仿宋_GBK"/>
          <w:kern w:val="0"/>
          <w:sz w:val="32"/>
          <w:szCs w:val="32"/>
        </w:rPr>
        <w:t>%。房地产开发投资增长</w:t>
      </w:r>
      <w:r>
        <w:rPr>
          <w:rFonts w:ascii="方正仿宋_GBK" w:hAnsi="方正仿宋_GBK" w:eastAsia="方正仿宋_GBK" w:cs="方正仿宋_GBK"/>
          <w:kern w:val="0"/>
          <w:sz w:val="32"/>
          <w:szCs w:val="32"/>
        </w:rPr>
        <w:t>32.5</w:t>
      </w:r>
      <w:r>
        <w:rPr>
          <w:rFonts w:hint="eastAsia" w:ascii="方正仿宋_GBK" w:hAnsi="方正仿宋_GBK" w:eastAsia="方正仿宋_GBK" w:cs="方正仿宋_GBK"/>
          <w:kern w:val="0"/>
          <w:sz w:val="32"/>
          <w:szCs w:val="32"/>
        </w:rPr>
        <w:t>%，其中住宅投资增长</w:t>
      </w:r>
      <w:r>
        <w:rPr>
          <w:rFonts w:ascii="方正仿宋_GBK" w:hAnsi="方正仿宋_GBK" w:eastAsia="方正仿宋_GBK" w:cs="方正仿宋_GBK"/>
          <w:kern w:val="0"/>
          <w:sz w:val="32"/>
          <w:szCs w:val="32"/>
        </w:rPr>
        <w:t>13.1</w:t>
      </w:r>
      <w:r>
        <w:rPr>
          <w:rFonts w:hint="eastAsia" w:ascii="方正仿宋_GBK" w:hAnsi="方正仿宋_GBK" w:eastAsia="方正仿宋_GBK" w:cs="方正仿宋_GBK"/>
          <w:kern w:val="0"/>
          <w:sz w:val="32"/>
          <w:szCs w:val="32"/>
        </w:rPr>
        <w:t>%。</w:t>
      </w:r>
    </w:p>
    <w:p>
      <w:pPr>
        <w:widowControl/>
        <w:shd w:val="clear" w:color="auto" w:fill="FFFFFF"/>
        <w:spacing w:line="360" w:lineRule="auto"/>
        <w:ind w:firstLine="640" w:firstLineChars="200"/>
        <w:rPr>
          <w:rFonts w:ascii="方正仿宋_GBK" w:hAnsi="方正仿宋_GBK" w:eastAsia="方正仿宋_GBK" w:cs="方正仿宋_GBK"/>
          <w:kern w:val="0"/>
          <w:sz w:val="32"/>
          <w:szCs w:val="32"/>
        </w:rPr>
      </w:pPr>
    </w:p>
    <w:p>
      <w:pPr>
        <w:widowControl/>
        <w:shd w:val="clear" w:color="auto" w:fill="FFFFFF"/>
        <w:spacing w:line="360" w:lineRule="auto"/>
        <w:jc w:val="center"/>
        <w:rPr>
          <w:rFonts w:ascii="方正仿宋_GBK" w:hAnsi="方正仿宋_GBK" w:eastAsia="方正仿宋_GBK" w:cs="方正仿宋_GBK"/>
          <w:kern w:val="0"/>
          <w:sz w:val="32"/>
          <w:szCs w:val="32"/>
        </w:rPr>
      </w:pPr>
      <w:r>
        <w:drawing>
          <wp:inline distT="0" distB="0" distL="0" distR="0">
            <wp:extent cx="5038725" cy="3086100"/>
            <wp:effectExtent l="0" t="0" r="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widowControl/>
        <w:shd w:val="clear" w:color="auto" w:fill="FFFFFF"/>
        <w:spacing w:line="360" w:lineRule="auto"/>
        <w:ind w:firstLine="560" w:firstLineChars="200"/>
        <w:rPr>
          <w:rFonts w:ascii="方正仿宋_GBK" w:hAnsi="方正仿宋_GBK" w:eastAsia="方正仿宋_GBK" w:cs="方正仿宋_GBK"/>
          <w:kern w:val="0"/>
          <w:sz w:val="28"/>
        </w:rPr>
      </w:pPr>
    </w:p>
    <w:p>
      <w:pPr>
        <w:widowControl/>
        <w:shd w:val="clear" w:color="auto" w:fill="FFFFFF"/>
        <w:spacing w:line="360" w:lineRule="auto"/>
        <w:ind w:firstLine="560" w:firstLineChars="200"/>
        <w:rPr>
          <w:rFonts w:ascii="方正仿宋_GBK" w:hAnsi="方正仿宋_GBK" w:eastAsia="方正仿宋_GBK" w:cs="方正仿宋_GBK"/>
          <w:kern w:val="0"/>
          <w:sz w:val="28"/>
        </w:rPr>
      </w:pPr>
    </w:p>
    <w:p>
      <w:pPr>
        <w:widowControl/>
        <w:shd w:val="clear" w:color="auto" w:fill="FFFFFF"/>
        <w:spacing w:line="360" w:lineRule="auto"/>
        <w:ind w:firstLine="560" w:firstLineChars="200"/>
        <w:rPr>
          <w:rFonts w:ascii="方正仿宋_GBK" w:hAnsi="方正仿宋_GBK" w:eastAsia="方正仿宋_GBK" w:cs="方正仿宋_GBK"/>
          <w:kern w:val="0"/>
          <w:sz w:val="28"/>
        </w:rPr>
      </w:pPr>
    </w:p>
    <w:p>
      <w:pPr>
        <w:widowControl/>
        <w:shd w:val="clear" w:color="auto" w:fill="FFFFFF"/>
        <w:spacing w:line="360" w:lineRule="auto"/>
        <w:ind w:firstLine="560" w:firstLineChars="200"/>
        <w:rPr>
          <w:rFonts w:ascii="方正仿宋_GBK" w:hAnsi="方正仿宋_GBK" w:eastAsia="方正仿宋_GBK" w:cs="方正仿宋_GBK"/>
          <w:kern w:val="0"/>
          <w:sz w:val="28"/>
        </w:rPr>
      </w:pPr>
    </w:p>
    <w:p>
      <w:pPr>
        <w:widowControl/>
        <w:shd w:val="clear" w:color="auto" w:fill="FFFFFF"/>
        <w:spacing w:line="360" w:lineRule="auto"/>
        <w:rPr>
          <w:rFonts w:ascii="方正仿宋_GBK" w:hAnsi="方正仿宋_GBK" w:eastAsia="方正仿宋_GBK" w:cs="方正仿宋_GBK"/>
          <w:kern w:val="0"/>
          <w:sz w:val="28"/>
        </w:rPr>
      </w:pPr>
    </w:p>
    <w:p>
      <w:pPr>
        <w:widowControl/>
        <w:shd w:val="clear" w:color="auto" w:fill="FFFFFF"/>
        <w:spacing w:line="360" w:lineRule="auto"/>
        <w:ind w:firstLine="562" w:firstLineChars="200"/>
        <w:jc w:val="center"/>
        <w:rPr>
          <w:rFonts w:ascii="方正仿宋_GBK" w:hAnsi="方正仿宋_GBK" w:eastAsia="方正仿宋_GBK" w:cs="方正仿宋_GBK"/>
          <w:b/>
          <w:bCs/>
          <w:kern w:val="0"/>
          <w:sz w:val="28"/>
          <w:szCs w:val="28"/>
        </w:rPr>
      </w:pPr>
    </w:p>
    <w:p>
      <w:pPr>
        <w:widowControl/>
        <w:shd w:val="clear" w:color="auto" w:fill="FFFFFF"/>
        <w:spacing w:line="360" w:lineRule="auto"/>
        <w:ind w:firstLine="562" w:firstLineChars="200"/>
        <w:jc w:val="center"/>
        <w:rPr>
          <w:rFonts w:hint="eastAsia" w:ascii="方正仿宋_GBK" w:hAnsi="方正仿宋_GBK" w:eastAsia="方正仿宋_GBK" w:cs="方正仿宋_GBK"/>
          <w:b/>
          <w:bCs/>
          <w:kern w:val="0"/>
          <w:sz w:val="28"/>
          <w:szCs w:val="28"/>
        </w:rPr>
      </w:pPr>
    </w:p>
    <w:p>
      <w:pPr>
        <w:widowControl/>
        <w:shd w:val="clear" w:color="auto" w:fill="FFFFFF"/>
        <w:spacing w:line="360" w:lineRule="auto"/>
        <w:ind w:firstLine="562" w:firstLineChars="200"/>
        <w:jc w:val="center"/>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表4　2019年固定资产投资增长速度</w:t>
      </w:r>
    </w:p>
    <w:tbl>
      <w:tblPr>
        <w:tblStyle w:val="9"/>
        <w:tblW w:w="7800" w:type="dxa"/>
        <w:jc w:val="center"/>
        <w:tblInd w:w="0" w:type="dxa"/>
        <w:tblLayout w:type="fixed"/>
        <w:tblCellMar>
          <w:top w:w="0" w:type="dxa"/>
          <w:left w:w="108" w:type="dxa"/>
          <w:bottom w:w="0" w:type="dxa"/>
          <w:right w:w="108" w:type="dxa"/>
        </w:tblCellMar>
      </w:tblPr>
      <w:tblGrid>
        <w:gridCol w:w="4688"/>
        <w:gridCol w:w="3112"/>
      </w:tblGrid>
      <w:tr>
        <w:tblPrEx>
          <w:tblLayout w:type="fixed"/>
          <w:tblCellMar>
            <w:top w:w="0" w:type="dxa"/>
            <w:left w:w="108" w:type="dxa"/>
            <w:bottom w:w="0" w:type="dxa"/>
            <w:right w:w="108" w:type="dxa"/>
          </w:tblCellMar>
        </w:tblPrEx>
        <w:trPr>
          <w:trHeight w:val="1382" w:hRule="atLeast"/>
          <w:jc w:val="center"/>
        </w:trPr>
        <w:tc>
          <w:tcPr>
            <w:tcW w:w="4688" w:type="dxa"/>
            <w:tcBorders>
              <w:top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指标名称</w:t>
            </w:r>
          </w:p>
        </w:tc>
        <w:tc>
          <w:tcPr>
            <w:tcW w:w="3112" w:type="dxa"/>
            <w:tcBorders>
              <w:top w:val="single" w:color="auto" w:sz="4" w:space="0"/>
              <w:left w:val="single" w:color="auto" w:sz="4" w:space="0"/>
              <w:bottom w:val="single" w:color="auto" w:sz="4" w:space="0"/>
            </w:tcBorders>
            <w:vAlign w:val="center"/>
          </w:tcPr>
          <w:p>
            <w:pPr>
              <w:widowControl/>
              <w:shd w:val="clear" w:color="auto" w:fill="FFFFFF"/>
              <w:spacing w:line="360" w:lineRule="auto"/>
              <w:ind w:left="480" w:hanging="480" w:hangingChars="200"/>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比上年增长(%)</w:t>
            </w:r>
          </w:p>
        </w:tc>
      </w:tr>
      <w:tr>
        <w:tblPrEx>
          <w:tblLayout w:type="fixed"/>
          <w:tblCellMar>
            <w:top w:w="0" w:type="dxa"/>
            <w:left w:w="108" w:type="dxa"/>
            <w:bottom w:w="0" w:type="dxa"/>
            <w:right w:w="108" w:type="dxa"/>
          </w:tblCellMar>
        </w:tblPrEx>
        <w:trPr>
          <w:trHeight w:val="828" w:hRule="exact"/>
          <w:jc w:val="center"/>
        </w:trPr>
        <w:tc>
          <w:tcPr>
            <w:tcW w:w="4688" w:type="dxa"/>
            <w:tcBorders>
              <w:top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投资总额（万元）</w:t>
            </w:r>
          </w:p>
        </w:tc>
        <w:tc>
          <w:tcPr>
            <w:tcW w:w="3112" w:type="dxa"/>
            <w:tcBorders>
              <w:top w:val="nil"/>
              <w:left w:val="nil"/>
              <w:bottom w:val="nil"/>
              <w:right w:val="nil"/>
            </w:tcBorders>
            <w:vAlign w:val="center"/>
          </w:tcPr>
          <w:p>
            <w:pPr>
              <w:widowControl/>
              <w:jc w:val="right"/>
              <w:rPr>
                <w:b/>
                <w:bCs/>
                <w:kern w:val="0"/>
                <w:sz w:val="24"/>
              </w:rPr>
            </w:pPr>
            <w:r>
              <w:rPr>
                <w:b/>
                <w:bCs/>
              </w:rPr>
              <w:t>14.6</w:t>
            </w:r>
          </w:p>
        </w:tc>
      </w:tr>
      <w:tr>
        <w:tblPrEx>
          <w:tblLayout w:type="fixed"/>
          <w:tblCellMar>
            <w:top w:w="0" w:type="dxa"/>
            <w:left w:w="108" w:type="dxa"/>
            <w:bottom w:w="0" w:type="dxa"/>
            <w:right w:w="108" w:type="dxa"/>
          </w:tblCellMar>
        </w:tblPrEx>
        <w:trPr>
          <w:trHeight w:val="828" w:hRule="exact"/>
          <w:jc w:val="center"/>
        </w:trPr>
        <w:tc>
          <w:tcPr>
            <w:tcW w:w="4688" w:type="dxa"/>
            <w:tcBorders>
              <w:right w:val="single" w:color="auto"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按投资类别分</w:t>
            </w:r>
          </w:p>
        </w:tc>
        <w:tc>
          <w:tcPr>
            <w:tcW w:w="3112" w:type="dxa"/>
            <w:tcBorders>
              <w:top w:val="nil"/>
              <w:left w:val="nil"/>
              <w:bottom w:val="nil"/>
              <w:right w:val="nil"/>
            </w:tcBorders>
            <w:vAlign w:val="center"/>
          </w:tcPr>
          <w:p>
            <w:pPr>
              <w:jc w:val="right"/>
              <w:rPr>
                <w:rFonts w:ascii="Arial" w:hAnsi="Arial" w:cs="Arial"/>
                <w:sz w:val="20"/>
                <w:szCs w:val="20"/>
              </w:rPr>
            </w:pPr>
            <w:r>
              <w:rPr>
                <w:rFonts w:ascii="Arial" w:hAnsi="Arial" w:cs="Arial"/>
                <w:sz w:val="20"/>
                <w:szCs w:val="20"/>
              </w:rPr>
              <w:t>　</w:t>
            </w:r>
          </w:p>
        </w:tc>
      </w:tr>
      <w:tr>
        <w:tblPrEx>
          <w:tblLayout w:type="fixed"/>
          <w:tblCellMar>
            <w:top w:w="0" w:type="dxa"/>
            <w:left w:w="108" w:type="dxa"/>
            <w:bottom w:w="0" w:type="dxa"/>
            <w:right w:w="108" w:type="dxa"/>
          </w:tblCellMar>
        </w:tblPrEx>
        <w:trPr>
          <w:trHeight w:val="828" w:hRule="exact"/>
          <w:jc w:val="center"/>
        </w:trPr>
        <w:tc>
          <w:tcPr>
            <w:tcW w:w="4688" w:type="dxa"/>
            <w:tcBorders>
              <w:right w:val="single" w:color="auto"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  建设与改造</w:t>
            </w:r>
          </w:p>
        </w:tc>
        <w:tc>
          <w:tcPr>
            <w:tcW w:w="3112" w:type="dxa"/>
            <w:tcBorders>
              <w:top w:val="nil"/>
              <w:left w:val="nil"/>
              <w:bottom w:val="nil"/>
              <w:right w:val="nil"/>
            </w:tcBorders>
            <w:vAlign w:val="center"/>
          </w:tcPr>
          <w:p>
            <w:pPr>
              <w:jc w:val="right"/>
              <w:rPr>
                <w:rFonts w:ascii="Arial" w:hAnsi="Arial" w:cs="Arial"/>
                <w:sz w:val="20"/>
                <w:szCs w:val="20"/>
              </w:rPr>
            </w:pPr>
            <w:r>
              <w:rPr>
                <w:rFonts w:ascii="Arial" w:hAnsi="Arial" w:cs="Arial"/>
                <w:sz w:val="20"/>
                <w:szCs w:val="20"/>
              </w:rPr>
              <w:t>12.5</w:t>
            </w:r>
          </w:p>
        </w:tc>
      </w:tr>
      <w:tr>
        <w:tblPrEx>
          <w:tblLayout w:type="fixed"/>
          <w:tblCellMar>
            <w:top w:w="0" w:type="dxa"/>
            <w:left w:w="108" w:type="dxa"/>
            <w:bottom w:w="0" w:type="dxa"/>
            <w:right w:w="108" w:type="dxa"/>
          </w:tblCellMar>
        </w:tblPrEx>
        <w:trPr>
          <w:trHeight w:val="828" w:hRule="exact"/>
          <w:jc w:val="center"/>
        </w:trPr>
        <w:tc>
          <w:tcPr>
            <w:tcW w:w="4688" w:type="dxa"/>
            <w:tcBorders>
              <w:right w:val="single" w:color="auto"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    ＃基础设施</w:t>
            </w:r>
          </w:p>
        </w:tc>
        <w:tc>
          <w:tcPr>
            <w:tcW w:w="3112" w:type="dxa"/>
            <w:tcBorders>
              <w:top w:val="nil"/>
              <w:left w:val="nil"/>
              <w:bottom w:val="nil"/>
              <w:right w:val="nil"/>
            </w:tcBorders>
            <w:vAlign w:val="center"/>
          </w:tcPr>
          <w:p>
            <w:pPr>
              <w:jc w:val="right"/>
              <w:rPr>
                <w:rFonts w:ascii="Arial" w:hAnsi="Arial" w:cs="Arial"/>
                <w:sz w:val="20"/>
                <w:szCs w:val="20"/>
              </w:rPr>
            </w:pPr>
            <w:r>
              <w:rPr>
                <w:rFonts w:ascii="Arial" w:hAnsi="Arial" w:cs="Arial"/>
                <w:sz w:val="20"/>
                <w:szCs w:val="20"/>
              </w:rPr>
              <w:t>-21.6</w:t>
            </w:r>
          </w:p>
        </w:tc>
      </w:tr>
      <w:tr>
        <w:tblPrEx>
          <w:tblLayout w:type="fixed"/>
          <w:tblCellMar>
            <w:top w:w="0" w:type="dxa"/>
            <w:left w:w="108" w:type="dxa"/>
            <w:bottom w:w="0" w:type="dxa"/>
            <w:right w:w="108" w:type="dxa"/>
          </w:tblCellMar>
        </w:tblPrEx>
        <w:trPr>
          <w:trHeight w:val="828" w:hRule="exact"/>
          <w:jc w:val="center"/>
        </w:trPr>
        <w:tc>
          <w:tcPr>
            <w:tcW w:w="4688" w:type="dxa"/>
            <w:tcBorders>
              <w:right w:val="single" w:color="auto"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  房地产开发</w:t>
            </w:r>
          </w:p>
        </w:tc>
        <w:tc>
          <w:tcPr>
            <w:tcW w:w="3112" w:type="dxa"/>
            <w:tcBorders>
              <w:top w:val="nil"/>
              <w:left w:val="nil"/>
              <w:bottom w:val="nil"/>
              <w:right w:val="nil"/>
            </w:tcBorders>
            <w:vAlign w:val="center"/>
          </w:tcPr>
          <w:p>
            <w:pPr>
              <w:jc w:val="right"/>
              <w:rPr>
                <w:rFonts w:ascii="Arial" w:hAnsi="Arial" w:cs="Arial"/>
                <w:sz w:val="20"/>
                <w:szCs w:val="20"/>
              </w:rPr>
            </w:pPr>
            <w:r>
              <w:rPr>
                <w:rFonts w:ascii="Arial" w:hAnsi="Arial" w:cs="Arial"/>
                <w:sz w:val="20"/>
                <w:szCs w:val="20"/>
              </w:rPr>
              <w:t>32.5</w:t>
            </w:r>
          </w:p>
        </w:tc>
      </w:tr>
      <w:tr>
        <w:tblPrEx>
          <w:tblLayout w:type="fixed"/>
          <w:tblCellMar>
            <w:top w:w="0" w:type="dxa"/>
            <w:left w:w="108" w:type="dxa"/>
            <w:bottom w:w="0" w:type="dxa"/>
            <w:right w:w="108" w:type="dxa"/>
          </w:tblCellMar>
        </w:tblPrEx>
        <w:trPr>
          <w:trHeight w:val="828" w:hRule="exact"/>
          <w:jc w:val="center"/>
        </w:trPr>
        <w:tc>
          <w:tcPr>
            <w:tcW w:w="4688" w:type="dxa"/>
            <w:tcBorders>
              <w:right w:val="single" w:color="auto"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按登记注册类型分</w:t>
            </w:r>
          </w:p>
        </w:tc>
        <w:tc>
          <w:tcPr>
            <w:tcW w:w="3112" w:type="dxa"/>
            <w:tcBorders>
              <w:top w:val="nil"/>
              <w:left w:val="nil"/>
              <w:bottom w:val="nil"/>
              <w:right w:val="nil"/>
            </w:tcBorders>
            <w:vAlign w:val="center"/>
          </w:tcPr>
          <w:p>
            <w:pPr>
              <w:jc w:val="right"/>
              <w:rPr>
                <w:rFonts w:ascii="Arial" w:hAnsi="Arial" w:cs="Arial"/>
                <w:sz w:val="20"/>
                <w:szCs w:val="20"/>
              </w:rPr>
            </w:pPr>
            <w:r>
              <w:rPr>
                <w:rFonts w:ascii="Arial" w:hAnsi="Arial" w:cs="Arial"/>
                <w:sz w:val="20"/>
                <w:szCs w:val="20"/>
              </w:rPr>
              <w:t>　</w:t>
            </w:r>
          </w:p>
        </w:tc>
      </w:tr>
      <w:tr>
        <w:tblPrEx>
          <w:tblLayout w:type="fixed"/>
          <w:tblCellMar>
            <w:top w:w="0" w:type="dxa"/>
            <w:left w:w="108" w:type="dxa"/>
            <w:bottom w:w="0" w:type="dxa"/>
            <w:right w:w="108" w:type="dxa"/>
          </w:tblCellMar>
        </w:tblPrEx>
        <w:trPr>
          <w:trHeight w:val="828" w:hRule="exact"/>
          <w:jc w:val="center"/>
        </w:trPr>
        <w:tc>
          <w:tcPr>
            <w:tcW w:w="4688" w:type="dxa"/>
            <w:tcBorders>
              <w:right w:val="single" w:color="auto"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  国有投资</w:t>
            </w:r>
          </w:p>
        </w:tc>
        <w:tc>
          <w:tcPr>
            <w:tcW w:w="3112" w:type="dxa"/>
            <w:tcBorders>
              <w:top w:val="nil"/>
              <w:left w:val="nil"/>
              <w:bottom w:val="nil"/>
              <w:right w:val="nil"/>
            </w:tcBorders>
            <w:vAlign w:val="center"/>
          </w:tcPr>
          <w:p>
            <w:pPr>
              <w:jc w:val="right"/>
              <w:rPr>
                <w:rFonts w:ascii="Arial" w:hAnsi="Arial" w:cs="Arial"/>
                <w:sz w:val="20"/>
                <w:szCs w:val="20"/>
              </w:rPr>
            </w:pPr>
            <w:r>
              <w:rPr>
                <w:rFonts w:ascii="Arial" w:hAnsi="Arial" w:cs="Arial"/>
                <w:sz w:val="20"/>
                <w:szCs w:val="20"/>
              </w:rPr>
              <w:t>-26.4</w:t>
            </w:r>
          </w:p>
        </w:tc>
      </w:tr>
      <w:tr>
        <w:tblPrEx>
          <w:tblLayout w:type="fixed"/>
          <w:tblCellMar>
            <w:top w:w="0" w:type="dxa"/>
            <w:left w:w="108" w:type="dxa"/>
            <w:bottom w:w="0" w:type="dxa"/>
            <w:right w:w="108" w:type="dxa"/>
          </w:tblCellMar>
        </w:tblPrEx>
        <w:trPr>
          <w:trHeight w:val="828" w:hRule="exact"/>
          <w:jc w:val="center"/>
        </w:trPr>
        <w:tc>
          <w:tcPr>
            <w:tcW w:w="4688" w:type="dxa"/>
            <w:tcBorders>
              <w:right w:val="single" w:color="auto"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  民间投资</w:t>
            </w:r>
          </w:p>
        </w:tc>
        <w:tc>
          <w:tcPr>
            <w:tcW w:w="3112" w:type="dxa"/>
            <w:tcBorders>
              <w:top w:val="nil"/>
              <w:left w:val="nil"/>
              <w:bottom w:val="nil"/>
              <w:right w:val="nil"/>
            </w:tcBorders>
            <w:vAlign w:val="center"/>
          </w:tcPr>
          <w:p>
            <w:pPr>
              <w:jc w:val="right"/>
              <w:rPr>
                <w:rFonts w:ascii="Arial" w:hAnsi="Arial" w:cs="Arial"/>
                <w:sz w:val="20"/>
                <w:szCs w:val="20"/>
              </w:rPr>
            </w:pPr>
            <w:r>
              <w:rPr>
                <w:rFonts w:ascii="Arial" w:hAnsi="Arial" w:cs="Arial"/>
                <w:sz w:val="20"/>
                <w:szCs w:val="20"/>
              </w:rPr>
              <w:t>30.6</w:t>
            </w:r>
          </w:p>
        </w:tc>
      </w:tr>
      <w:tr>
        <w:tblPrEx>
          <w:tblLayout w:type="fixed"/>
          <w:tblCellMar>
            <w:top w:w="0" w:type="dxa"/>
            <w:left w:w="108" w:type="dxa"/>
            <w:bottom w:w="0" w:type="dxa"/>
            <w:right w:w="108" w:type="dxa"/>
          </w:tblCellMar>
        </w:tblPrEx>
        <w:trPr>
          <w:trHeight w:val="828" w:hRule="exact"/>
          <w:jc w:val="center"/>
        </w:trPr>
        <w:tc>
          <w:tcPr>
            <w:tcW w:w="4688" w:type="dxa"/>
            <w:tcBorders>
              <w:right w:val="single" w:color="auto"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按三次产业分</w:t>
            </w:r>
          </w:p>
        </w:tc>
        <w:tc>
          <w:tcPr>
            <w:tcW w:w="3112" w:type="dxa"/>
            <w:tcBorders>
              <w:top w:val="nil"/>
              <w:left w:val="nil"/>
              <w:bottom w:val="nil"/>
              <w:right w:val="nil"/>
            </w:tcBorders>
            <w:vAlign w:val="center"/>
          </w:tcPr>
          <w:p>
            <w:pPr>
              <w:jc w:val="right"/>
              <w:rPr>
                <w:rFonts w:ascii="Arial" w:hAnsi="Arial" w:cs="Arial"/>
                <w:sz w:val="20"/>
                <w:szCs w:val="20"/>
              </w:rPr>
            </w:pPr>
            <w:r>
              <w:rPr>
                <w:rFonts w:ascii="Arial" w:hAnsi="Arial" w:cs="Arial"/>
                <w:sz w:val="20"/>
                <w:szCs w:val="20"/>
              </w:rPr>
              <w:t>　</w:t>
            </w:r>
          </w:p>
        </w:tc>
      </w:tr>
      <w:tr>
        <w:tblPrEx>
          <w:tblLayout w:type="fixed"/>
          <w:tblCellMar>
            <w:top w:w="0" w:type="dxa"/>
            <w:left w:w="108" w:type="dxa"/>
            <w:bottom w:w="0" w:type="dxa"/>
            <w:right w:w="108" w:type="dxa"/>
          </w:tblCellMar>
        </w:tblPrEx>
        <w:trPr>
          <w:trHeight w:val="828" w:hRule="exact"/>
          <w:jc w:val="center"/>
        </w:trPr>
        <w:tc>
          <w:tcPr>
            <w:tcW w:w="4688" w:type="dxa"/>
            <w:tcBorders>
              <w:right w:val="single" w:color="auto"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  第一产业</w:t>
            </w:r>
          </w:p>
        </w:tc>
        <w:tc>
          <w:tcPr>
            <w:tcW w:w="3112" w:type="dxa"/>
            <w:tcBorders>
              <w:top w:val="nil"/>
              <w:left w:val="nil"/>
              <w:bottom w:val="nil"/>
              <w:right w:val="nil"/>
            </w:tcBorders>
            <w:vAlign w:val="center"/>
          </w:tcPr>
          <w:p>
            <w:pPr>
              <w:jc w:val="right"/>
              <w:rPr>
                <w:rFonts w:ascii="Arial" w:hAnsi="Arial" w:cs="Arial"/>
                <w:sz w:val="20"/>
                <w:szCs w:val="20"/>
              </w:rPr>
            </w:pPr>
            <w:r>
              <w:rPr>
                <w:rFonts w:ascii="Arial" w:hAnsi="Arial" w:cs="Arial"/>
                <w:sz w:val="20"/>
                <w:szCs w:val="20"/>
              </w:rPr>
              <w:t>68.1</w:t>
            </w:r>
          </w:p>
        </w:tc>
      </w:tr>
      <w:tr>
        <w:tblPrEx>
          <w:tblLayout w:type="fixed"/>
          <w:tblCellMar>
            <w:top w:w="0" w:type="dxa"/>
            <w:left w:w="108" w:type="dxa"/>
            <w:bottom w:w="0" w:type="dxa"/>
            <w:right w:w="108" w:type="dxa"/>
          </w:tblCellMar>
        </w:tblPrEx>
        <w:trPr>
          <w:trHeight w:val="828" w:hRule="exact"/>
          <w:jc w:val="center"/>
        </w:trPr>
        <w:tc>
          <w:tcPr>
            <w:tcW w:w="4688" w:type="dxa"/>
            <w:tcBorders>
              <w:right w:val="single" w:color="auto"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  第二产业</w:t>
            </w:r>
          </w:p>
        </w:tc>
        <w:tc>
          <w:tcPr>
            <w:tcW w:w="3112" w:type="dxa"/>
            <w:tcBorders>
              <w:top w:val="nil"/>
              <w:left w:val="nil"/>
              <w:bottom w:val="nil"/>
              <w:right w:val="nil"/>
            </w:tcBorders>
            <w:vAlign w:val="center"/>
          </w:tcPr>
          <w:p>
            <w:pPr>
              <w:jc w:val="right"/>
              <w:rPr>
                <w:rFonts w:ascii="Arial" w:hAnsi="Arial" w:cs="Arial"/>
                <w:sz w:val="20"/>
                <w:szCs w:val="20"/>
              </w:rPr>
            </w:pPr>
            <w:r>
              <w:rPr>
                <w:rFonts w:ascii="Arial" w:hAnsi="Arial" w:cs="Arial"/>
                <w:sz w:val="20"/>
                <w:szCs w:val="20"/>
              </w:rPr>
              <w:t>23.4</w:t>
            </w:r>
          </w:p>
        </w:tc>
      </w:tr>
      <w:tr>
        <w:tblPrEx>
          <w:tblLayout w:type="fixed"/>
          <w:tblCellMar>
            <w:top w:w="0" w:type="dxa"/>
            <w:left w:w="108" w:type="dxa"/>
            <w:bottom w:w="0" w:type="dxa"/>
            <w:right w:w="108" w:type="dxa"/>
          </w:tblCellMar>
        </w:tblPrEx>
        <w:trPr>
          <w:trHeight w:val="828" w:hRule="exact"/>
          <w:jc w:val="center"/>
        </w:trPr>
        <w:tc>
          <w:tcPr>
            <w:tcW w:w="4688" w:type="dxa"/>
            <w:tcBorders>
              <w:right w:val="single" w:color="auto"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  ＃工业投资</w:t>
            </w:r>
          </w:p>
        </w:tc>
        <w:tc>
          <w:tcPr>
            <w:tcW w:w="3112" w:type="dxa"/>
            <w:tcBorders>
              <w:top w:val="nil"/>
              <w:left w:val="nil"/>
              <w:bottom w:val="nil"/>
              <w:right w:val="nil"/>
            </w:tcBorders>
            <w:vAlign w:val="center"/>
          </w:tcPr>
          <w:p>
            <w:pPr>
              <w:jc w:val="right"/>
              <w:rPr>
                <w:rFonts w:ascii="Arial" w:hAnsi="Arial" w:cs="Arial"/>
                <w:sz w:val="20"/>
                <w:szCs w:val="20"/>
              </w:rPr>
            </w:pPr>
            <w:r>
              <w:rPr>
                <w:rFonts w:ascii="Arial" w:hAnsi="Arial" w:cs="Arial"/>
                <w:sz w:val="20"/>
                <w:szCs w:val="20"/>
              </w:rPr>
              <w:t>23.4</w:t>
            </w:r>
          </w:p>
        </w:tc>
      </w:tr>
      <w:tr>
        <w:tblPrEx>
          <w:tblLayout w:type="fixed"/>
          <w:tblCellMar>
            <w:top w:w="0" w:type="dxa"/>
            <w:left w:w="108" w:type="dxa"/>
            <w:bottom w:w="0" w:type="dxa"/>
            <w:right w:w="108" w:type="dxa"/>
          </w:tblCellMar>
        </w:tblPrEx>
        <w:trPr>
          <w:trHeight w:val="828" w:hRule="exact"/>
          <w:jc w:val="center"/>
        </w:trPr>
        <w:tc>
          <w:tcPr>
            <w:tcW w:w="4688" w:type="dxa"/>
            <w:tcBorders>
              <w:right w:val="single" w:color="auto"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  第三产业</w:t>
            </w:r>
          </w:p>
        </w:tc>
        <w:tc>
          <w:tcPr>
            <w:tcW w:w="3112" w:type="dxa"/>
            <w:tcBorders>
              <w:top w:val="nil"/>
              <w:left w:val="nil"/>
              <w:right w:val="nil"/>
            </w:tcBorders>
            <w:vAlign w:val="center"/>
          </w:tcPr>
          <w:p>
            <w:pPr>
              <w:jc w:val="right"/>
              <w:rPr>
                <w:rFonts w:ascii="Arial" w:hAnsi="Arial" w:cs="Arial"/>
                <w:sz w:val="20"/>
                <w:szCs w:val="20"/>
              </w:rPr>
            </w:pPr>
            <w:r>
              <w:rPr>
                <w:rFonts w:ascii="Arial" w:hAnsi="Arial" w:cs="Arial"/>
                <w:sz w:val="20"/>
                <w:szCs w:val="20"/>
              </w:rPr>
              <w:t>6.8</w:t>
            </w:r>
          </w:p>
        </w:tc>
      </w:tr>
      <w:tr>
        <w:tblPrEx>
          <w:tblLayout w:type="fixed"/>
          <w:tblCellMar>
            <w:top w:w="0" w:type="dxa"/>
            <w:left w:w="108" w:type="dxa"/>
            <w:bottom w:w="0" w:type="dxa"/>
            <w:right w:w="108" w:type="dxa"/>
          </w:tblCellMar>
        </w:tblPrEx>
        <w:trPr>
          <w:trHeight w:val="842" w:hRule="exact"/>
          <w:jc w:val="center"/>
        </w:trPr>
        <w:tc>
          <w:tcPr>
            <w:tcW w:w="4688" w:type="dxa"/>
            <w:tcBorders>
              <w:bottom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  ＃房地产业</w:t>
            </w:r>
          </w:p>
        </w:tc>
        <w:tc>
          <w:tcPr>
            <w:tcW w:w="3112" w:type="dxa"/>
            <w:tcBorders>
              <w:top w:val="nil"/>
              <w:left w:val="nil"/>
              <w:bottom w:val="single" w:color="auto" w:sz="4" w:space="0"/>
              <w:right w:val="nil"/>
            </w:tcBorders>
            <w:vAlign w:val="center"/>
          </w:tcPr>
          <w:p>
            <w:pPr>
              <w:jc w:val="right"/>
              <w:rPr>
                <w:rFonts w:ascii="Arial" w:hAnsi="Arial" w:cs="Arial"/>
                <w:sz w:val="20"/>
                <w:szCs w:val="20"/>
              </w:rPr>
            </w:pPr>
            <w:r>
              <w:rPr>
                <w:rFonts w:ascii="Arial" w:hAnsi="Arial" w:cs="Arial"/>
                <w:sz w:val="20"/>
                <w:szCs w:val="20"/>
              </w:rPr>
              <w:t>30.1</w:t>
            </w:r>
          </w:p>
        </w:tc>
      </w:tr>
    </w:tbl>
    <w:p>
      <w:pPr>
        <w:widowControl/>
        <w:shd w:val="clear" w:color="auto" w:fill="FFFFFF"/>
        <w:spacing w:line="360" w:lineRule="auto"/>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全年商品房施工面积</w:t>
      </w:r>
      <w:r>
        <w:rPr>
          <w:rFonts w:ascii="方正仿宋_GBK" w:hAnsi="方正仿宋_GBK" w:eastAsia="方正仿宋_GBK" w:cs="方正仿宋_GBK"/>
          <w:kern w:val="0"/>
          <w:sz w:val="32"/>
          <w:szCs w:val="32"/>
        </w:rPr>
        <w:t>298.47</w:t>
      </w:r>
      <w:r>
        <w:rPr>
          <w:rFonts w:hint="eastAsia" w:ascii="方正仿宋_GBK" w:hAnsi="方正仿宋_GBK" w:eastAsia="方正仿宋_GBK" w:cs="方正仿宋_GBK"/>
          <w:kern w:val="0"/>
          <w:sz w:val="32"/>
          <w:szCs w:val="32"/>
        </w:rPr>
        <w:t>万平方米，比上年增长0.6%；商品房竣工面积</w:t>
      </w:r>
      <w:r>
        <w:rPr>
          <w:rFonts w:ascii="方正仿宋_GBK" w:hAnsi="方正仿宋_GBK" w:eastAsia="方正仿宋_GBK" w:cs="方正仿宋_GBK"/>
          <w:kern w:val="0"/>
          <w:sz w:val="32"/>
          <w:szCs w:val="32"/>
        </w:rPr>
        <w:t>48.61</w:t>
      </w:r>
      <w:r>
        <w:rPr>
          <w:rFonts w:hint="eastAsia" w:ascii="方正仿宋_GBK" w:hAnsi="方正仿宋_GBK" w:eastAsia="方正仿宋_GBK" w:cs="方正仿宋_GBK"/>
          <w:kern w:val="0"/>
          <w:sz w:val="32"/>
          <w:szCs w:val="32"/>
        </w:rPr>
        <w:t>万平方米，下降</w:t>
      </w:r>
      <w:r>
        <w:rPr>
          <w:rFonts w:ascii="方正仿宋_GBK" w:hAnsi="方正仿宋_GBK" w:eastAsia="方正仿宋_GBK" w:cs="方正仿宋_GBK"/>
          <w:kern w:val="0"/>
          <w:sz w:val="32"/>
          <w:szCs w:val="32"/>
        </w:rPr>
        <w:t>36.5</w:t>
      </w:r>
      <w:r>
        <w:rPr>
          <w:rFonts w:hint="eastAsia" w:ascii="方正仿宋_GBK" w:hAnsi="方正仿宋_GBK" w:eastAsia="方正仿宋_GBK" w:cs="方正仿宋_GBK"/>
          <w:kern w:val="0"/>
          <w:sz w:val="32"/>
          <w:szCs w:val="32"/>
        </w:rPr>
        <w:t xml:space="preserve"> %。商品房销售面积</w:t>
      </w:r>
      <w:r>
        <w:rPr>
          <w:rFonts w:ascii="方正仿宋_GBK" w:hAnsi="方正仿宋_GBK" w:eastAsia="方正仿宋_GBK" w:cs="方正仿宋_GBK"/>
          <w:kern w:val="0"/>
          <w:sz w:val="32"/>
          <w:szCs w:val="32"/>
        </w:rPr>
        <w:t>93.61</w:t>
      </w:r>
      <w:r>
        <w:rPr>
          <w:rFonts w:hint="eastAsia" w:ascii="方正仿宋_GBK" w:hAnsi="方正仿宋_GBK" w:eastAsia="方正仿宋_GBK" w:cs="方正仿宋_GBK"/>
          <w:kern w:val="0"/>
          <w:sz w:val="32"/>
          <w:szCs w:val="32"/>
        </w:rPr>
        <w:t>万平方米，下降</w:t>
      </w:r>
      <w:r>
        <w:rPr>
          <w:rFonts w:ascii="方正仿宋_GBK" w:hAnsi="方正仿宋_GBK" w:eastAsia="方正仿宋_GBK" w:cs="方正仿宋_GBK"/>
          <w:kern w:val="0"/>
          <w:sz w:val="32"/>
          <w:szCs w:val="32"/>
        </w:rPr>
        <w:t>9.5</w:t>
      </w:r>
      <w:r>
        <w:rPr>
          <w:rFonts w:hint="eastAsia" w:ascii="方正仿宋_GBK" w:hAnsi="方正仿宋_GBK" w:eastAsia="方正仿宋_GBK" w:cs="方正仿宋_GBK"/>
          <w:kern w:val="0"/>
          <w:sz w:val="32"/>
          <w:szCs w:val="32"/>
        </w:rPr>
        <w:t xml:space="preserve"> %；其中住宅销售面积</w:t>
      </w:r>
      <w:r>
        <w:rPr>
          <w:rFonts w:ascii="方正仿宋_GBK" w:hAnsi="方正仿宋_GBK" w:eastAsia="方正仿宋_GBK" w:cs="方正仿宋_GBK"/>
          <w:kern w:val="0"/>
          <w:sz w:val="32"/>
          <w:szCs w:val="32"/>
        </w:rPr>
        <w:t>86.09</w:t>
      </w:r>
      <w:r>
        <w:rPr>
          <w:rFonts w:hint="eastAsia" w:ascii="方正仿宋_GBK" w:hAnsi="方正仿宋_GBK" w:eastAsia="方正仿宋_GBK" w:cs="方正仿宋_GBK"/>
          <w:kern w:val="0"/>
          <w:sz w:val="32"/>
          <w:szCs w:val="32"/>
        </w:rPr>
        <w:t>万平方米，增长15.7 %。商品房销售额</w:t>
      </w:r>
      <w:r>
        <w:rPr>
          <w:rFonts w:ascii="方正仿宋_GBK" w:hAnsi="方正仿宋_GBK" w:eastAsia="方正仿宋_GBK" w:cs="方正仿宋_GBK"/>
          <w:kern w:val="0"/>
          <w:sz w:val="32"/>
          <w:szCs w:val="32"/>
        </w:rPr>
        <w:t>51.57</w:t>
      </w:r>
      <w:r>
        <w:rPr>
          <w:rFonts w:hint="eastAsia" w:ascii="方正仿宋_GBK" w:hAnsi="方正仿宋_GBK" w:eastAsia="方正仿宋_GBK" w:cs="方正仿宋_GBK"/>
          <w:kern w:val="0"/>
          <w:sz w:val="32"/>
          <w:szCs w:val="32"/>
        </w:rPr>
        <w:t>亿元，增长</w:t>
      </w:r>
      <w:r>
        <w:rPr>
          <w:rFonts w:ascii="方正仿宋_GBK" w:hAnsi="方正仿宋_GBK" w:eastAsia="方正仿宋_GBK" w:cs="方正仿宋_GBK"/>
          <w:kern w:val="0"/>
          <w:sz w:val="32"/>
          <w:szCs w:val="32"/>
        </w:rPr>
        <w:t>4.7</w:t>
      </w:r>
      <w:r>
        <w:rPr>
          <w:rFonts w:hint="eastAsia" w:ascii="方正仿宋_GBK" w:hAnsi="方正仿宋_GBK" w:eastAsia="方正仿宋_GBK" w:cs="方正仿宋_GBK"/>
          <w:kern w:val="0"/>
          <w:sz w:val="32"/>
          <w:szCs w:val="32"/>
        </w:rPr>
        <w:t>%。</w:t>
      </w:r>
    </w:p>
    <w:p>
      <w:pPr>
        <w:widowControl/>
        <w:shd w:val="clear" w:color="auto" w:fill="FFFFFF"/>
        <w:spacing w:line="360" w:lineRule="auto"/>
        <w:ind w:firstLine="640" w:firstLineChars="200"/>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完成城市棚户区改造</w:t>
      </w:r>
      <w:r>
        <w:rPr>
          <w:rFonts w:ascii="方正仿宋_GBK" w:hAnsi="方正仿宋_GBK" w:eastAsia="方正仿宋_GBK" w:cs="方正仿宋_GBK"/>
          <w:color w:val="000000" w:themeColor="text1"/>
          <w:kern w:val="0"/>
          <w:sz w:val="32"/>
          <w:szCs w:val="32"/>
          <w14:textFill>
            <w14:solidFill>
              <w14:schemeClr w14:val="tx1"/>
            </w14:solidFill>
          </w14:textFill>
        </w:rPr>
        <w:t>8.43</w:t>
      </w:r>
      <w:r>
        <w:rPr>
          <w:rFonts w:hint="eastAsia" w:ascii="方正仿宋_GBK" w:hAnsi="方正仿宋_GBK" w:eastAsia="方正仿宋_GBK" w:cs="方正仿宋_GBK"/>
          <w:color w:val="000000" w:themeColor="text1"/>
          <w:kern w:val="0"/>
          <w:sz w:val="32"/>
          <w:szCs w:val="32"/>
          <w14:textFill>
            <w14:solidFill>
              <w14:schemeClr w14:val="tx1"/>
            </w14:solidFill>
          </w14:textFill>
        </w:rPr>
        <w:t>万平方米，</w:t>
      </w:r>
      <w:r>
        <w:rPr>
          <w:rFonts w:ascii="方正仿宋_GBK" w:hAnsi="方正仿宋_GBK" w:eastAsia="方正仿宋_GBK" w:cs="方正仿宋_GBK"/>
          <w:color w:val="000000" w:themeColor="text1"/>
          <w:kern w:val="0"/>
          <w:sz w:val="32"/>
          <w:szCs w:val="32"/>
          <w14:textFill>
            <w14:solidFill>
              <w14:schemeClr w14:val="tx1"/>
            </w14:solidFill>
          </w14:textFill>
        </w:rPr>
        <w:t>增长</w:t>
      </w:r>
      <w:r>
        <w:rPr>
          <w:rFonts w:hint="eastAsia" w:ascii="方正仿宋_GBK" w:hAnsi="方正仿宋_GBK" w:eastAsia="方正仿宋_GBK" w:cs="方正仿宋_GBK"/>
          <w:color w:val="000000" w:themeColor="text1"/>
          <w:kern w:val="0"/>
          <w:sz w:val="32"/>
          <w:szCs w:val="32"/>
          <w14:textFill>
            <w14:solidFill>
              <w14:schemeClr w14:val="tx1"/>
            </w14:solidFill>
          </w14:textFill>
        </w:rPr>
        <w:t>7.9</w:t>
      </w:r>
      <w:r>
        <w:rPr>
          <w:rFonts w:ascii="方正仿宋_GBK" w:hAnsi="方正仿宋_GBK" w:eastAsia="方正仿宋_GBK" w:cs="方正仿宋_GBK"/>
          <w:color w:val="000000" w:themeColor="text1"/>
          <w:kern w:val="0"/>
          <w:sz w:val="32"/>
          <w:szCs w:val="32"/>
          <w14:textFill>
            <w14:solidFill>
              <w14:schemeClr w14:val="tx1"/>
            </w14:solidFill>
          </w14:textFill>
        </w:rPr>
        <w:t>%</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。完成农村危旧房改造</w:t>
      </w:r>
      <w:r>
        <w:rPr>
          <w:rFonts w:ascii="方正仿宋_GBK" w:hAnsi="方正仿宋_GBK" w:eastAsia="方正仿宋_GBK" w:cs="方正仿宋_GBK"/>
          <w:color w:val="000000" w:themeColor="text1"/>
          <w:kern w:val="0"/>
          <w:sz w:val="32"/>
          <w:szCs w:val="32"/>
          <w14:textFill>
            <w14:solidFill>
              <w14:schemeClr w14:val="tx1"/>
            </w14:solidFill>
          </w14:textFill>
        </w:rPr>
        <w:t>6.12</w:t>
      </w:r>
      <w:r>
        <w:rPr>
          <w:rFonts w:hint="eastAsia" w:ascii="方正仿宋_GBK" w:hAnsi="方正仿宋_GBK" w:eastAsia="方正仿宋_GBK" w:cs="方正仿宋_GBK"/>
          <w:color w:val="000000" w:themeColor="text1"/>
          <w:kern w:val="0"/>
          <w:sz w:val="32"/>
          <w:szCs w:val="32"/>
          <w14:textFill>
            <w14:solidFill>
              <w14:schemeClr w14:val="tx1"/>
            </w14:solidFill>
          </w14:textFill>
        </w:rPr>
        <w:t>万平方米，下降</w:t>
      </w:r>
      <w:r>
        <w:rPr>
          <w:rFonts w:ascii="方正仿宋_GBK" w:hAnsi="方正仿宋_GBK" w:eastAsia="方正仿宋_GBK" w:cs="方正仿宋_GBK"/>
          <w:color w:val="000000" w:themeColor="text1"/>
          <w:kern w:val="0"/>
          <w:sz w:val="32"/>
          <w:szCs w:val="32"/>
          <w14:textFill>
            <w14:solidFill>
              <w14:schemeClr w14:val="tx1"/>
            </w14:solidFill>
          </w14:textFill>
        </w:rPr>
        <w:t>27.4</w:t>
      </w:r>
      <w:r>
        <w:rPr>
          <w:rFonts w:hint="eastAsia" w:ascii="方正仿宋_GBK" w:hAnsi="方正仿宋_GBK" w:eastAsia="方正仿宋_GBK" w:cs="方正仿宋_GBK"/>
          <w:color w:val="000000" w:themeColor="text1"/>
          <w:kern w:val="0"/>
          <w:sz w:val="32"/>
          <w:szCs w:val="32"/>
          <w14:textFill>
            <w14:solidFill>
              <w14:schemeClr w14:val="tx1"/>
            </w14:solidFill>
          </w14:textFill>
        </w:rPr>
        <w:t>%。</w:t>
      </w:r>
    </w:p>
    <w:p>
      <w:pPr>
        <w:widowControl/>
        <w:shd w:val="clear" w:color="auto" w:fill="FFFFFF"/>
        <w:spacing w:line="360" w:lineRule="auto"/>
        <w:ind w:right="-210" w:rightChars="-100" w:firstLine="562" w:firstLineChars="200"/>
        <w:jc w:val="center"/>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表5　2019年房地产开发和销售主要指标完成情况及其增长速度</w:t>
      </w:r>
    </w:p>
    <w:tbl>
      <w:tblPr>
        <w:tblStyle w:val="9"/>
        <w:tblW w:w="8325" w:type="dxa"/>
        <w:jc w:val="center"/>
        <w:tblInd w:w="0" w:type="dxa"/>
        <w:tblLayout w:type="fixed"/>
        <w:tblCellMar>
          <w:top w:w="0" w:type="dxa"/>
          <w:left w:w="108" w:type="dxa"/>
          <w:bottom w:w="0" w:type="dxa"/>
          <w:right w:w="108" w:type="dxa"/>
        </w:tblCellMar>
      </w:tblPr>
      <w:tblGrid>
        <w:gridCol w:w="4477"/>
        <w:gridCol w:w="1902"/>
        <w:gridCol w:w="1946"/>
      </w:tblGrid>
      <w:tr>
        <w:tblPrEx>
          <w:tblLayout w:type="fixed"/>
          <w:tblCellMar>
            <w:top w:w="0" w:type="dxa"/>
            <w:left w:w="108" w:type="dxa"/>
            <w:bottom w:w="0" w:type="dxa"/>
            <w:right w:w="108" w:type="dxa"/>
          </w:tblCellMar>
        </w:tblPrEx>
        <w:trPr>
          <w:trHeight w:val="911" w:hRule="atLeast"/>
          <w:jc w:val="center"/>
        </w:trPr>
        <w:tc>
          <w:tcPr>
            <w:tcW w:w="4477" w:type="dxa"/>
            <w:tcBorders>
              <w:top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指标名称</w:t>
            </w:r>
          </w:p>
        </w:tc>
        <w:tc>
          <w:tcPr>
            <w:tcW w:w="19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2019年</w:t>
            </w:r>
          </w:p>
        </w:tc>
        <w:tc>
          <w:tcPr>
            <w:tcW w:w="1946" w:type="dxa"/>
            <w:tcBorders>
              <w:top w:val="single" w:color="auto" w:sz="4" w:space="0"/>
              <w:left w:val="single" w:color="auto" w:sz="4" w:space="0"/>
              <w:bottom w:val="single" w:color="auto" w:sz="4" w:space="0"/>
            </w:tcBorders>
            <w:vAlign w:val="center"/>
          </w:tcPr>
          <w:p>
            <w:pPr>
              <w:widowControl/>
              <w:jc w:val="center"/>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比上年增长(%)</w:t>
            </w:r>
          </w:p>
        </w:tc>
      </w:tr>
      <w:tr>
        <w:tblPrEx>
          <w:tblLayout w:type="fixed"/>
          <w:tblCellMar>
            <w:top w:w="0" w:type="dxa"/>
            <w:left w:w="108" w:type="dxa"/>
            <w:bottom w:w="0" w:type="dxa"/>
            <w:right w:w="108" w:type="dxa"/>
          </w:tblCellMar>
        </w:tblPrEx>
        <w:trPr>
          <w:trHeight w:val="739" w:hRule="exact"/>
          <w:jc w:val="center"/>
        </w:trPr>
        <w:tc>
          <w:tcPr>
            <w:tcW w:w="4477" w:type="dxa"/>
            <w:tcBorders>
              <w:top w:val="single" w:color="auto" w:sz="4" w:space="0"/>
              <w:left w:val="nil"/>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商品房施工面积（万平方米）</w:t>
            </w:r>
          </w:p>
        </w:tc>
        <w:tc>
          <w:tcPr>
            <w:tcW w:w="1902" w:type="dxa"/>
            <w:tcBorders>
              <w:top w:val="nil"/>
              <w:left w:val="nil"/>
              <w:bottom w:val="nil"/>
              <w:right w:val="nil"/>
            </w:tcBorders>
            <w:shd w:val="clear" w:color="auto" w:fill="FFFFFF"/>
            <w:vAlign w:val="center"/>
          </w:tcPr>
          <w:p>
            <w:pPr>
              <w:jc w:val="right"/>
              <w:rPr>
                <w:sz w:val="24"/>
              </w:rPr>
            </w:pPr>
            <w:r>
              <w:rPr>
                <w:sz w:val="24"/>
              </w:rPr>
              <w:t xml:space="preserve">298.47 </w:t>
            </w:r>
          </w:p>
        </w:tc>
        <w:tc>
          <w:tcPr>
            <w:tcW w:w="1946" w:type="dxa"/>
            <w:tcBorders>
              <w:top w:val="nil"/>
              <w:left w:val="nil"/>
              <w:bottom w:val="nil"/>
              <w:right w:val="nil"/>
            </w:tcBorders>
            <w:vAlign w:val="center"/>
          </w:tcPr>
          <w:p>
            <w:pPr>
              <w:jc w:val="right"/>
              <w:rPr>
                <w:sz w:val="24"/>
              </w:rPr>
            </w:pPr>
            <w:r>
              <w:rPr>
                <w:sz w:val="24"/>
              </w:rPr>
              <w:t xml:space="preserve">0.6 </w:t>
            </w:r>
          </w:p>
        </w:tc>
      </w:tr>
      <w:tr>
        <w:tblPrEx>
          <w:tblLayout w:type="fixed"/>
          <w:tblCellMar>
            <w:top w:w="0" w:type="dxa"/>
            <w:left w:w="108" w:type="dxa"/>
            <w:bottom w:w="0" w:type="dxa"/>
            <w:right w:w="108" w:type="dxa"/>
          </w:tblCellMar>
        </w:tblPrEx>
        <w:trPr>
          <w:trHeight w:val="739" w:hRule="exact"/>
          <w:jc w:val="center"/>
        </w:trPr>
        <w:tc>
          <w:tcPr>
            <w:tcW w:w="4477" w:type="dxa"/>
            <w:tcBorders>
              <w:top w:val="nil"/>
              <w:left w:val="nil"/>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＃：住宅</w:t>
            </w:r>
          </w:p>
        </w:tc>
        <w:tc>
          <w:tcPr>
            <w:tcW w:w="1902" w:type="dxa"/>
            <w:tcBorders>
              <w:top w:val="nil"/>
              <w:left w:val="nil"/>
              <w:bottom w:val="nil"/>
              <w:right w:val="nil"/>
            </w:tcBorders>
            <w:shd w:val="clear" w:color="auto" w:fill="FFFFFF"/>
            <w:vAlign w:val="center"/>
          </w:tcPr>
          <w:p>
            <w:pPr>
              <w:jc w:val="right"/>
              <w:rPr>
                <w:sz w:val="24"/>
              </w:rPr>
            </w:pPr>
            <w:r>
              <w:rPr>
                <w:sz w:val="24"/>
              </w:rPr>
              <w:t xml:space="preserve">228.28 </w:t>
            </w:r>
          </w:p>
        </w:tc>
        <w:tc>
          <w:tcPr>
            <w:tcW w:w="1946" w:type="dxa"/>
            <w:tcBorders>
              <w:top w:val="nil"/>
              <w:left w:val="nil"/>
              <w:bottom w:val="nil"/>
              <w:right w:val="nil"/>
            </w:tcBorders>
            <w:vAlign w:val="center"/>
          </w:tcPr>
          <w:p>
            <w:pPr>
              <w:jc w:val="right"/>
              <w:rPr>
                <w:sz w:val="24"/>
              </w:rPr>
            </w:pPr>
            <w:r>
              <w:rPr>
                <w:sz w:val="24"/>
              </w:rPr>
              <w:t xml:space="preserve">5.6 </w:t>
            </w:r>
          </w:p>
        </w:tc>
      </w:tr>
      <w:tr>
        <w:tblPrEx>
          <w:tblLayout w:type="fixed"/>
          <w:tblCellMar>
            <w:top w:w="0" w:type="dxa"/>
            <w:left w:w="108" w:type="dxa"/>
            <w:bottom w:w="0" w:type="dxa"/>
            <w:right w:w="108" w:type="dxa"/>
          </w:tblCellMar>
        </w:tblPrEx>
        <w:trPr>
          <w:trHeight w:val="739" w:hRule="exact"/>
          <w:jc w:val="center"/>
        </w:trPr>
        <w:tc>
          <w:tcPr>
            <w:tcW w:w="4477" w:type="dxa"/>
            <w:tcBorders>
              <w:left w:val="nil"/>
              <w:bottom w:val="nil"/>
              <w:right w:val="single" w:color="auto" w:sz="4" w:space="0"/>
            </w:tcBorders>
            <w:vAlign w:val="center"/>
          </w:tcPr>
          <w:p>
            <w:pPr>
              <w:widowControl/>
              <w:jc w:val="left"/>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新开工面积（万平方米）</w:t>
            </w:r>
          </w:p>
        </w:tc>
        <w:tc>
          <w:tcPr>
            <w:tcW w:w="1902" w:type="dxa"/>
            <w:tcBorders>
              <w:top w:val="nil"/>
              <w:left w:val="single" w:color="auto" w:sz="4" w:space="0"/>
              <w:bottom w:val="nil"/>
              <w:right w:val="nil"/>
            </w:tcBorders>
            <w:vAlign w:val="center"/>
          </w:tcPr>
          <w:p>
            <w:pPr>
              <w:jc w:val="right"/>
              <w:rPr>
                <w:sz w:val="24"/>
              </w:rPr>
            </w:pPr>
            <w:r>
              <w:rPr>
                <w:sz w:val="24"/>
              </w:rPr>
              <w:t>148.48</w:t>
            </w:r>
          </w:p>
        </w:tc>
        <w:tc>
          <w:tcPr>
            <w:tcW w:w="1946" w:type="dxa"/>
            <w:tcBorders>
              <w:top w:val="nil"/>
              <w:left w:val="nil"/>
              <w:bottom w:val="nil"/>
              <w:right w:val="nil"/>
            </w:tcBorders>
            <w:vAlign w:val="center"/>
          </w:tcPr>
          <w:p>
            <w:pPr>
              <w:jc w:val="right"/>
              <w:rPr>
                <w:sz w:val="24"/>
              </w:rPr>
            </w:pPr>
            <w:r>
              <w:rPr>
                <w:sz w:val="24"/>
              </w:rPr>
              <w:t>86.5</w:t>
            </w:r>
          </w:p>
        </w:tc>
      </w:tr>
      <w:tr>
        <w:tblPrEx>
          <w:tblLayout w:type="fixed"/>
          <w:tblCellMar>
            <w:top w:w="0" w:type="dxa"/>
            <w:left w:w="108" w:type="dxa"/>
            <w:bottom w:w="0" w:type="dxa"/>
            <w:right w:w="108" w:type="dxa"/>
          </w:tblCellMar>
        </w:tblPrEx>
        <w:trPr>
          <w:trHeight w:val="739" w:hRule="exact"/>
          <w:jc w:val="center"/>
        </w:trPr>
        <w:tc>
          <w:tcPr>
            <w:tcW w:w="4477" w:type="dxa"/>
            <w:tcBorders>
              <w:top w:val="nil"/>
              <w:left w:val="nil"/>
              <w:bottom w:val="nil"/>
              <w:right w:val="single" w:color="auto" w:sz="4" w:space="0"/>
            </w:tcBorders>
            <w:vAlign w:val="center"/>
          </w:tcPr>
          <w:p>
            <w:pPr>
              <w:widowControl/>
              <w:jc w:val="left"/>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＃：住宅</w:t>
            </w:r>
          </w:p>
        </w:tc>
        <w:tc>
          <w:tcPr>
            <w:tcW w:w="1902" w:type="dxa"/>
            <w:tcBorders>
              <w:top w:val="nil"/>
              <w:left w:val="single" w:color="auto" w:sz="4" w:space="0"/>
              <w:right w:val="nil"/>
            </w:tcBorders>
            <w:vAlign w:val="center"/>
          </w:tcPr>
          <w:p>
            <w:pPr>
              <w:jc w:val="right"/>
              <w:rPr>
                <w:sz w:val="24"/>
              </w:rPr>
            </w:pPr>
            <w:r>
              <w:rPr>
                <w:sz w:val="24"/>
              </w:rPr>
              <w:t>115.25</w:t>
            </w:r>
          </w:p>
        </w:tc>
        <w:tc>
          <w:tcPr>
            <w:tcW w:w="1946" w:type="dxa"/>
            <w:tcBorders>
              <w:top w:val="nil"/>
              <w:left w:val="nil"/>
              <w:right w:val="nil"/>
            </w:tcBorders>
            <w:vAlign w:val="center"/>
          </w:tcPr>
          <w:p>
            <w:pPr>
              <w:jc w:val="right"/>
              <w:rPr>
                <w:sz w:val="24"/>
              </w:rPr>
            </w:pPr>
            <w:r>
              <w:rPr>
                <w:sz w:val="24"/>
              </w:rPr>
              <w:t>96.7</w:t>
            </w:r>
          </w:p>
        </w:tc>
      </w:tr>
      <w:tr>
        <w:tblPrEx>
          <w:tblLayout w:type="fixed"/>
          <w:tblCellMar>
            <w:top w:w="0" w:type="dxa"/>
            <w:left w:w="108" w:type="dxa"/>
            <w:bottom w:w="0" w:type="dxa"/>
            <w:right w:w="108" w:type="dxa"/>
          </w:tblCellMar>
        </w:tblPrEx>
        <w:trPr>
          <w:trHeight w:val="739" w:hRule="exact"/>
          <w:jc w:val="center"/>
        </w:trPr>
        <w:tc>
          <w:tcPr>
            <w:tcW w:w="4477" w:type="dxa"/>
            <w:tcBorders>
              <w:left w:val="nil"/>
              <w:bottom w:val="nil"/>
              <w:right w:val="single" w:color="auto" w:sz="4" w:space="0"/>
            </w:tcBorders>
            <w:vAlign w:val="center"/>
          </w:tcPr>
          <w:p>
            <w:pPr>
              <w:widowControl/>
              <w:jc w:val="left"/>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商品房竣工面积（万平方米）</w:t>
            </w:r>
          </w:p>
        </w:tc>
        <w:tc>
          <w:tcPr>
            <w:tcW w:w="1902" w:type="dxa"/>
            <w:tcBorders>
              <w:left w:val="single" w:color="auto" w:sz="4" w:space="0"/>
            </w:tcBorders>
            <w:vAlign w:val="center"/>
          </w:tcPr>
          <w:p>
            <w:pPr>
              <w:jc w:val="right"/>
              <w:rPr>
                <w:sz w:val="24"/>
              </w:rPr>
            </w:pPr>
            <w:r>
              <w:rPr>
                <w:sz w:val="24"/>
              </w:rPr>
              <w:t>48.61</w:t>
            </w:r>
          </w:p>
        </w:tc>
        <w:tc>
          <w:tcPr>
            <w:tcW w:w="1946" w:type="dxa"/>
            <w:tcBorders>
              <w:right w:val="nil"/>
            </w:tcBorders>
            <w:vAlign w:val="center"/>
          </w:tcPr>
          <w:p>
            <w:pPr>
              <w:jc w:val="right"/>
              <w:rPr>
                <w:sz w:val="24"/>
              </w:rPr>
            </w:pPr>
            <w:r>
              <w:rPr>
                <w:sz w:val="24"/>
              </w:rPr>
              <w:t xml:space="preserve">-36.5 </w:t>
            </w:r>
          </w:p>
        </w:tc>
      </w:tr>
      <w:tr>
        <w:tblPrEx>
          <w:tblLayout w:type="fixed"/>
          <w:tblCellMar>
            <w:top w:w="0" w:type="dxa"/>
            <w:left w:w="108" w:type="dxa"/>
            <w:bottom w:w="0" w:type="dxa"/>
            <w:right w:w="108" w:type="dxa"/>
          </w:tblCellMar>
        </w:tblPrEx>
        <w:trPr>
          <w:trHeight w:val="739" w:hRule="exact"/>
          <w:jc w:val="center"/>
        </w:trPr>
        <w:tc>
          <w:tcPr>
            <w:tcW w:w="4477" w:type="dxa"/>
            <w:tcBorders>
              <w:top w:val="nil"/>
              <w:left w:val="nil"/>
              <w:bottom w:val="nil"/>
              <w:right w:val="single" w:color="auto" w:sz="4" w:space="0"/>
            </w:tcBorders>
            <w:vAlign w:val="center"/>
          </w:tcPr>
          <w:p>
            <w:pPr>
              <w:widowControl/>
              <w:jc w:val="left"/>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＃：住宅</w:t>
            </w:r>
          </w:p>
        </w:tc>
        <w:tc>
          <w:tcPr>
            <w:tcW w:w="1902" w:type="dxa"/>
            <w:tcBorders>
              <w:top w:val="nil"/>
              <w:left w:val="single" w:color="auto" w:sz="4" w:space="0"/>
            </w:tcBorders>
            <w:vAlign w:val="center"/>
          </w:tcPr>
          <w:p>
            <w:pPr>
              <w:jc w:val="right"/>
              <w:rPr>
                <w:sz w:val="24"/>
              </w:rPr>
            </w:pPr>
            <w:r>
              <w:rPr>
                <w:sz w:val="24"/>
              </w:rPr>
              <w:t>36.62</w:t>
            </w:r>
          </w:p>
        </w:tc>
        <w:tc>
          <w:tcPr>
            <w:tcW w:w="1946" w:type="dxa"/>
            <w:tcBorders>
              <w:top w:val="nil"/>
              <w:right w:val="nil"/>
            </w:tcBorders>
            <w:vAlign w:val="center"/>
          </w:tcPr>
          <w:p>
            <w:pPr>
              <w:jc w:val="right"/>
              <w:rPr>
                <w:sz w:val="24"/>
              </w:rPr>
            </w:pPr>
            <w:r>
              <w:rPr>
                <w:sz w:val="24"/>
              </w:rPr>
              <w:t xml:space="preserve">-29.3 </w:t>
            </w:r>
          </w:p>
        </w:tc>
      </w:tr>
      <w:tr>
        <w:tblPrEx>
          <w:tblLayout w:type="fixed"/>
          <w:tblCellMar>
            <w:top w:w="0" w:type="dxa"/>
            <w:left w:w="108" w:type="dxa"/>
            <w:bottom w:w="0" w:type="dxa"/>
            <w:right w:w="108" w:type="dxa"/>
          </w:tblCellMar>
        </w:tblPrEx>
        <w:trPr>
          <w:trHeight w:val="739" w:hRule="exact"/>
          <w:jc w:val="center"/>
        </w:trPr>
        <w:tc>
          <w:tcPr>
            <w:tcW w:w="4477" w:type="dxa"/>
            <w:tcBorders>
              <w:top w:val="nil"/>
              <w:left w:val="nil"/>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商品房销售面积（万平方米）</w:t>
            </w:r>
          </w:p>
        </w:tc>
        <w:tc>
          <w:tcPr>
            <w:tcW w:w="1902" w:type="dxa"/>
            <w:tcBorders>
              <w:left w:val="nil"/>
              <w:bottom w:val="nil"/>
              <w:right w:val="nil"/>
            </w:tcBorders>
            <w:shd w:val="clear" w:color="auto" w:fill="FFFFFF"/>
            <w:vAlign w:val="center"/>
          </w:tcPr>
          <w:p>
            <w:pPr>
              <w:jc w:val="right"/>
              <w:rPr>
                <w:sz w:val="24"/>
              </w:rPr>
            </w:pPr>
            <w:r>
              <w:rPr>
                <w:sz w:val="24"/>
              </w:rPr>
              <w:t>93.61</w:t>
            </w:r>
          </w:p>
        </w:tc>
        <w:tc>
          <w:tcPr>
            <w:tcW w:w="1946" w:type="dxa"/>
            <w:tcBorders>
              <w:left w:val="nil"/>
              <w:bottom w:val="nil"/>
              <w:right w:val="nil"/>
            </w:tcBorders>
            <w:vAlign w:val="center"/>
          </w:tcPr>
          <w:p>
            <w:pPr>
              <w:jc w:val="right"/>
              <w:rPr>
                <w:sz w:val="24"/>
              </w:rPr>
            </w:pPr>
            <w:r>
              <w:rPr>
                <w:sz w:val="24"/>
              </w:rPr>
              <w:t xml:space="preserve">-9.5 </w:t>
            </w:r>
          </w:p>
        </w:tc>
      </w:tr>
      <w:tr>
        <w:tblPrEx>
          <w:tblLayout w:type="fixed"/>
          <w:tblCellMar>
            <w:top w:w="0" w:type="dxa"/>
            <w:left w:w="108" w:type="dxa"/>
            <w:bottom w:w="0" w:type="dxa"/>
            <w:right w:w="108" w:type="dxa"/>
          </w:tblCellMar>
        </w:tblPrEx>
        <w:trPr>
          <w:trHeight w:val="739" w:hRule="exact"/>
          <w:jc w:val="center"/>
        </w:trPr>
        <w:tc>
          <w:tcPr>
            <w:tcW w:w="4477" w:type="dxa"/>
            <w:tcBorders>
              <w:top w:val="nil"/>
              <w:left w:val="nil"/>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＃：住宅</w:t>
            </w:r>
          </w:p>
        </w:tc>
        <w:tc>
          <w:tcPr>
            <w:tcW w:w="1902" w:type="dxa"/>
            <w:tcBorders>
              <w:top w:val="nil"/>
              <w:left w:val="nil"/>
              <w:bottom w:val="nil"/>
              <w:right w:val="nil"/>
            </w:tcBorders>
            <w:shd w:val="clear" w:color="auto" w:fill="FFFFFF"/>
            <w:vAlign w:val="center"/>
          </w:tcPr>
          <w:p>
            <w:pPr>
              <w:jc w:val="right"/>
              <w:rPr>
                <w:sz w:val="24"/>
              </w:rPr>
            </w:pPr>
            <w:r>
              <w:rPr>
                <w:sz w:val="24"/>
              </w:rPr>
              <w:t>86.09</w:t>
            </w:r>
          </w:p>
        </w:tc>
        <w:tc>
          <w:tcPr>
            <w:tcW w:w="1946" w:type="dxa"/>
            <w:tcBorders>
              <w:top w:val="nil"/>
              <w:left w:val="nil"/>
              <w:bottom w:val="nil"/>
              <w:right w:val="nil"/>
            </w:tcBorders>
            <w:vAlign w:val="center"/>
          </w:tcPr>
          <w:p>
            <w:pPr>
              <w:jc w:val="right"/>
              <w:rPr>
                <w:sz w:val="24"/>
              </w:rPr>
            </w:pPr>
            <w:r>
              <w:rPr>
                <w:sz w:val="24"/>
              </w:rPr>
              <w:t xml:space="preserve">15.7 </w:t>
            </w:r>
          </w:p>
        </w:tc>
      </w:tr>
      <w:tr>
        <w:tblPrEx>
          <w:tblLayout w:type="fixed"/>
          <w:tblCellMar>
            <w:top w:w="0" w:type="dxa"/>
            <w:left w:w="108" w:type="dxa"/>
            <w:bottom w:w="0" w:type="dxa"/>
            <w:right w:w="108" w:type="dxa"/>
          </w:tblCellMar>
        </w:tblPrEx>
        <w:trPr>
          <w:trHeight w:val="739" w:hRule="exact"/>
          <w:jc w:val="center"/>
        </w:trPr>
        <w:tc>
          <w:tcPr>
            <w:tcW w:w="4477" w:type="dxa"/>
            <w:tcBorders>
              <w:top w:val="nil"/>
              <w:left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商品房销售额（万元）</w:t>
            </w:r>
          </w:p>
        </w:tc>
        <w:tc>
          <w:tcPr>
            <w:tcW w:w="1902" w:type="dxa"/>
            <w:tcBorders>
              <w:top w:val="nil"/>
              <w:left w:val="nil"/>
              <w:right w:val="nil"/>
            </w:tcBorders>
            <w:shd w:val="clear" w:color="auto" w:fill="FFFFFF"/>
            <w:vAlign w:val="center"/>
          </w:tcPr>
          <w:p>
            <w:pPr>
              <w:widowControl/>
              <w:jc w:val="right"/>
              <w:textAlignment w:val="center"/>
              <w:rPr>
                <w:rFonts w:ascii="方正仿宋_GBK" w:hAnsi="方正仿宋_GBK" w:eastAsia="方正仿宋_GBK" w:cs="方正仿宋_GBK"/>
                <w:kern w:val="0"/>
                <w:sz w:val="24"/>
              </w:rPr>
            </w:pPr>
            <w:r>
              <w:rPr>
                <w:rFonts w:ascii="方正仿宋_GBK" w:hAnsi="方正仿宋_GBK" w:eastAsia="方正仿宋_GBK" w:cs="方正仿宋_GBK"/>
                <w:kern w:val="0"/>
                <w:sz w:val="24"/>
              </w:rPr>
              <w:t>515682</w:t>
            </w:r>
          </w:p>
        </w:tc>
        <w:tc>
          <w:tcPr>
            <w:tcW w:w="1946" w:type="dxa"/>
            <w:tcBorders>
              <w:top w:val="nil"/>
              <w:left w:val="nil"/>
              <w:right w:val="nil"/>
            </w:tcBorders>
            <w:vAlign w:val="center"/>
          </w:tcPr>
          <w:p>
            <w:pPr>
              <w:widowControl/>
              <w:jc w:val="right"/>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4.7</w:t>
            </w:r>
          </w:p>
        </w:tc>
      </w:tr>
      <w:tr>
        <w:tblPrEx>
          <w:tblLayout w:type="fixed"/>
          <w:tblCellMar>
            <w:top w:w="0" w:type="dxa"/>
            <w:left w:w="108" w:type="dxa"/>
            <w:bottom w:w="0" w:type="dxa"/>
            <w:right w:w="108" w:type="dxa"/>
          </w:tblCellMar>
        </w:tblPrEx>
        <w:trPr>
          <w:trHeight w:val="750" w:hRule="exact"/>
          <w:jc w:val="center"/>
        </w:trPr>
        <w:tc>
          <w:tcPr>
            <w:tcW w:w="44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＃：住宅</w:t>
            </w:r>
          </w:p>
        </w:tc>
        <w:tc>
          <w:tcPr>
            <w:tcW w:w="1902" w:type="dxa"/>
            <w:tcBorders>
              <w:top w:val="nil"/>
              <w:left w:val="nil"/>
              <w:bottom w:val="single" w:color="auto" w:sz="4" w:space="0"/>
              <w:right w:val="nil"/>
            </w:tcBorders>
            <w:shd w:val="clear" w:color="auto" w:fill="FFFFFF"/>
            <w:vAlign w:val="center"/>
          </w:tcPr>
          <w:p>
            <w:pPr>
              <w:widowControl/>
              <w:jc w:val="right"/>
              <w:textAlignment w:val="center"/>
              <w:rPr>
                <w:rFonts w:ascii="方正仿宋_GBK" w:hAnsi="方正仿宋_GBK" w:eastAsia="方正仿宋_GBK" w:cs="方正仿宋_GBK"/>
                <w:kern w:val="0"/>
                <w:sz w:val="24"/>
              </w:rPr>
            </w:pPr>
            <w:r>
              <w:rPr>
                <w:rFonts w:ascii="方正仿宋_GBK" w:hAnsi="方正仿宋_GBK" w:eastAsia="方正仿宋_GBK" w:cs="方正仿宋_GBK"/>
                <w:kern w:val="0"/>
                <w:sz w:val="24"/>
              </w:rPr>
              <w:t>478108</w:t>
            </w:r>
          </w:p>
        </w:tc>
        <w:tc>
          <w:tcPr>
            <w:tcW w:w="1946" w:type="dxa"/>
            <w:tcBorders>
              <w:top w:val="nil"/>
              <w:left w:val="nil"/>
              <w:bottom w:val="single" w:color="auto" w:sz="4" w:space="0"/>
              <w:right w:val="nil"/>
            </w:tcBorders>
            <w:vAlign w:val="center"/>
          </w:tcPr>
          <w:p>
            <w:pPr>
              <w:widowControl/>
              <w:jc w:val="right"/>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34.5</w:t>
            </w:r>
          </w:p>
        </w:tc>
      </w:tr>
    </w:tbl>
    <w:p>
      <w:pPr>
        <w:pStyle w:val="5"/>
        <w:spacing w:before="0" w:beforeAutospacing="0" w:after="0" w:afterAutospacing="0"/>
        <w:ind w:left="45" w:right="45" w:firstLine="643" w:firstLineChars="200"/>
        <w:jc w:val="both"/>
        <w:rPr>
          <w:rFonts w:ascii="方正黑体_GBK" w:hAnsi="方正黑体_GBK" w:eastAsia="方正黑体_GBK" w:cs="方正黑体_GBK"/>
          <w:b/>
          <w:sz w:val="32"/>
          <w:szCs w:val="32"/>
        </w:rPr>
      </w:pPr>
    </w:p>
    <w:p>
      <w:pPr>
        <w:pStyle w:val="5"/>
        <w:spacing w:before="0" w:beforeAutospacing="0" w:after="0" w:afterAutospacing="0"/>
        <w:ind w:left="45" w:right="45" w:firstLine="643" w:firstLineChars="200"/>
        <w:jc w:val="both"/>
        <w:rPr>
          <w:rFonts w:ascii="方正黑体_GBK" w:hAnsi="方正黑体_GBK" w:eastAsia="方正黑体_GBK" w:cs="方正黑体_GBK"/>
          <w:b/>
          <w:sz w:val="32"/>
          <w:szCs w:val="32"/>
        </w:rPr>
      </w:pPr>
    </w:p>
    <w:p>
      <w:pPr>
        <w:pStyle w:val="5"/>
        <w:spacing w:before="0" w:beforeAutospacing="0" w:after="0" w:afterAutospacing="0"/>
        <w:ind w:left="45" w:right="45" w:firstLine="643" w:firstLineChars="200"/>
        <w:jc w:val="both"/>
        <w:rPr>
          <w:rFonts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五、国内贸易</w:t>
      </w:r>
    </w:p>
    <w:p>
      <w:pPr>
        <w:pStyle w:val="5"/>
        <w:spacing w:before="0" w:beforeAutospacing="0" w:after="0" w:afterAutospacing="0"/>
        <w:ind w:left="45" w:right="45"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全年批发和零售业实现增加值</w:t>
      </w:r>
      <w:r>
        <w:rPr>
          <w:rFonts w:ascii="方正仿宋_GBK" w:hAnsi="方正仿宋_GBK" w:eastAsia="方正仿宋_GBK" w:cs="方正仿宋_GBK"/>
          <w:sz w:val="32"/>
          <w:szCs w:val="32"/>
        </w:rPr>
        <w:t>552664</w:t>
      </w:r>
      <w:r>
        <w:rPr>
          <w:rFonts w:hint="eastAsia" w:ascii="方正仿宋_GBK" w:hAnsi="方正仿宋_GBK" w:eastAsia="方正仿宋_GBK" w:cs="方正仿宋_GBK"/>
          <w:sz w:val="32"/>
          <w:szCs w:val="32"/>
        </w:rPr>
        <w:t>万元，比上年增长</w:t>
      </w:r>
      <w:r>
        <w:rPr>
          <w:rFonts w:ascii="方正仿宋_GBK" w:hAnsi="方正仿宋_GBK" w:eastAsia="方正仿宋_GBK" w:cs="方正仿宋_GBK"/>
          <w:sz w:val="32"/>
          <w:szCs w:val="32"/>
        </w:rPr>
        <w:t>6.1</w:t>
      </w:r>
      <w:r>
        <w:rPr>
          <w:rFonts w:hint="eastAsia" w:ascii="方正仿宋_GBK" w:hAnsi="方正仿宋_GBK" w:eastAsia="方正仿宋_GBK" w:cs="方正仿宋_GBK"/>
          <w:sz w:val="32"/>
          <w:szCs w:val="32"/>
        </w:rPr>
        <w:t>%，占全区生产总值的</w:t>
      </w:r>
      <w:r>
        <w:rPr>
          <w:rFonts w:ascii="方正仿宋_GBK" w:hAnsi="方正仿宋_GBK" w:eastAsia="方正仿宋_GBK" w:cs="方正仿宋_GBK"/>
          <w:sz w:val="32"/>
          <w:szCs w:val="32"/>
        </w:rPr>
        <w:t>8.5</w:t>
      </w:r>
      <w:r>
        <w:rPr>
          <w:rFonts w:hint="eastAsia" w:ascii="方正仿宋_GBK" w:hAnsi="方正仿宋_GBK" w:eastAsia="方正仿宋_GBK" w:cs="方正仿宋_GBK"/>
          <w:sz w:val="32"/>
          <w:szCs w:val="32"/>
        </w:rPr>
        <w:t>%；住宿和餐饮业实现增加值</w:t>
      </w:r>
      <w:r>
        <w:rPr>
          <w:rFonts w:ascii="方正仿宋_GBK" w:hAnsi="方正仿宋_GBK" w:eastAsia="方正仿宋_GBK" w:cs="方正仿宋_GBK"/>
          <w:sz w:val="32"/>
          <w:szCs w:val="32"/>
        </w:rPr>
        <w:t>115497</w:t>
      </w:r>
      <w:r>
        <w:rPr>
          <w:rFonts w:hint="eastAsia" w:ascii="方正仿宋_GBK" w:hAnsi="方正仿宋_GBK" w:eastAsia="方正仿宋_GBK" w:cs="方正仿宋_GBK"/>
          <w:sz w:val="32"/>
          <w:szCs w:val="32"/>
        </w:rPr>
        <w:t>万元，比上年增长5.2%，占全区生产总值的</w:t>
      </w:r>
      <w:r>
        <w:rPr>
          <w:rFonts w:ascii="方正仿宋_GBK" w:hAnsi="方正仿宋_GBK" w:eastAsia="方正仿宋_GBK" w:cs="方正仿宋_GBK"/>
          <w:sz w:val="32"/>
          <w:szCs w:val="32"/>
        </w:rPr>
        <w:t>1.8</w:t>
      </w:r>
      <w:r>
        <w:rPr>
          <w:rFonts w:hint="eastAsia" w:ascii="方正仿宋_GBK" w:hAnsi="方正仿宋_GBK" w:eastAsia="方正仿宋_GBK" w:cs="方正仿宋_GBK"/>
          <w:sz w:val="32"/>
          <w:szCs w:val="32"/>
        </w:rPr>
        <w:t xml:space="preserve">%。 </w:t>
      </w:r>
    </w:p>
    <w:p>
      <w:pPr>
        <w:pStyle w:val="5"/>
        <w:spacing w:before="0" w:beforeAutospacing="0" w:after="0" w:afterAutospacing="0"/>
        <w:ind w:left="45" w:right="45"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消费品市场平稳增长。全年社会消费品零售总额同比增长13.1%。限额以上法人企业主要商品零售额中，粮油、食品类增长</w:t>
      </w:r>
      <w:r>
        <w:rPr>
          <w:rFonts w:ascii="方正仿宋_GBK" w:hAnsi="方正仿宋_GBK" w:eastAsia="方正仿宋_GBK" w:cs="方正仿宋_GBK"/>
          <w:sz w:val="32"/>
          <w:szCs w:val="32"/>
        </w:rPr>
        <w:t>23.3</w:t>
      </w:r>
      <w:r>
        <w:rPr>
          <w:rFonts w:hint="eastAsia" w:ascii="方正仿宋_GBK" w:hAnsi="方正仿宋_GBK" w:eastAsia="方正仿宋_GBK" w:cs="方正仿宋_GBK"/>
          <w:sz w:val="32"/>
          <w:szCs w:val="32"/>
        </w:rPr>
        <w:t>％，烟酒类</w:t>
      </w:r>
      <w:r>
        <w:rPr>
          <w:rFonts w:ascii="方正仿宋_GBK" w:hAnsi="方正仿宋_GBK" w:eastAsia="方正仿宋_GBK" w:cs="方正仿宋_GBK"/>
          <w:sz w:val="32"/>
          <w:szCs w:val="32"/>
        </w:rPr>
        <w:t>增长</w:t>
      </w:r>
      <w:r>
        <w:rPr>
          <w:rFonts w:hint="eastAsia" w:ascii="方正仿宋_GBK" w:hAnsi="方正仿宋_GBK" w:eastAsia="方正仿宋_GBK" w:cs="方正仿宋_GBK"/>
          <w:sz w:val="32"/>
          <w:szCs w:val="32"/>
        </w:rPr>
        <w:t>10.9</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家用电器和音响器材类增长</w:t>
      </w:r>
      <w:r>
        <w:rPr>
          <w:rFonts w:ascii="方正仿宋_GBK" w:hAnsi="方正仿宋_GBK" w:eastAsia="方正仿宋_GBK" w:cs="方正仿宋_GBK"/>
          <w:sz w:val="32"/>
          <w:szCs w:val="32"/>
        </w:rPr>
        <w:t>0.7</w:t>
      </w:r>
      <w:r>
        <w:rPr>
          <w:rFonts w:hint="eastAsia" w:ascii="方正仿宋_GBK" w:hAnsi="方正仿宋_GBK" w:eastAsia="方正仿宋_GBK" w:cs="方正仿宋_GBK"/>
          <w:sz w:val="32"/>
          <w:szCs w:val="32"/>
        </w:rPr>
        <w:t>％，石油及其制品类增长</w:t>
      </w:r>
      <w:r>
        <w:rPr>
          <w:rFonts w:ascii="方正仿宋_GBK" w:hAnsi="方正仿宋_GBK" w:eastAsia="方正仿宋_GBK" w:cs="方正仿宋_GBK"/>
          <w:sz w:val="32"/>
          <w:szCs w:val="32"/>
        </w:rPr>
        <w:t>25.0</w:t>
      </w:r>
      <w:r>
        <w:rPr>
          <w:rFonts w:hint="eastAsia" w:ascii="方正仿宋_GBK" w:hAnsi="方正仿宋_GBK" w:eastAsia="方正仿宋_GBK" w:cs="方正仿宋_GBK"/>
          <w:sz w:val="32"/>
          <w:szCs w:val="32"/>
        </w:rPr>
        <w:t>％。</w:t>
      </w:r>
    </w:p>
    <w:p>
      <w:pPr>
        <w:pStyle w:val="5"/>
        <w:spacing w:before="0" w:beforeAutospacing="0" w:after="0" w:afterAutospacing="0"/>
        <w:ind w:right="45"/>
        <w:jc w:val="center"/>
        <w:rPr>
          <w:rFonts w:ascii="方正仿宋_GBK" w:hAnsi="方正仿宋_GBK" w:eastAsia="方正仿宋_GBK" w:cs="方正仿宋_GBK"/>
        </w:rPr>
      </w:pPr>
      <w:r>
        <w:drawing>
          <wp:inline distT="0" distB="0" distL="0" distR="0">
            <wp:extent cx="4819650" cy="2752725"/>
            <wp:effectExtent l="0" t="0" r="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ind w:firstLine="560" w:firstLineChars="200"/>
        <w:rPr>
          <w:rFonts w:ascii="方正仿宋_GBK" w:hAnsi="方正仿宋_GBK" w:eastAsia="方正仿宋_GBK" w:cs="方正仿宋_GBK"/>
          <w:kern w:val="0"/>
          <w:sz w:val="28"/>
        </w:rPr>
      </w:pPr>
    </w:p>
    <w:p>
      <w:pPr>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全年批发和零售业销售额增长</w:t>
      </w:r>
      <w:r>
        <w:rPr>
          <w:rFonts w:ascii="方正仿宋_GBK" w:hAnsi="方正仿宋_GBK" w:eastAsia="方正仿宋_GBK" w:cs="方正仿宋_GBK"/>
          <w:kern w:val="0"/>
          <w:sz w:val="32"/>
          <w:szCs w:val="32"/>
        </w:rPr>
        <w:t>13.6</w:t>
      </w:r>
      <w:r>
        <w:rPr>
          <w:rFonts w:hint="eastAsia" w:ascii="方正仿宋_GBK" w:hAnsi="方正仿宋_GBK" w:eastAsia="方正仿宋_GBK" w:cs="方正仿宋_GBK"/>
          <w:kern w:val="0"/>
          <w:sz w:val="32"/>
          <w:szCs w:val="32"/>
        </w:rPr>
        <w:t>%；住宿和餐饮业营业额增长</w:t>
      </w:r>
      <w:r>
        <w:rPr>
          <w:rFonts w:ascii="方正仿宋_GBK" w:hAnsi="方正仿宋_GBK" w:eastAsia="方正仿宋_GBK" w:cs="方正仿宋_GBK"/>
          <w:kern w:val="0"/>
          <w:sz w:val="32"/>
          <w:szCs w:val="32"/>
        </w:rPr>
        <w:t>12.1</w:t>
      </w:r>
      <w:r>
        <w:rPr>
          <w:rFonts w:hint="eastAsia" w:ascii="方正仿宋_GBK" w:hAnsi="方正仿宋_GBK" w:eastAsia="方正仿宋_GBK" w:cs="方正仿宋_GBK"/>
          <w:kern w:val="0"/>
          <w:sz w:val="32"/>
          <w:szCs w:val="32"/>
        </w:rPr>
        <w:t>%。</w:t>
      </w:r>
    </w:p>
    <w:p>
      <w:pPr>
        <w:pStyle w:val="5"/>
        <w:spacing w:before="0" w:beforeAutospacing="0" w:after="0" w:afterAutospacing="0"/>
        <w:ind w:left="45" w:right="45" w:firstLine="643" w:firstLineChars="200"/>
        <w:jc w:val="both"/>
        <w:rPr>
          <w:rStyle w:val="7"/>
          <w:rFonts w:ascii="方正黑体_GBK" w:hAnsi="方正黑体_GBK" w:eastAsia="方正黑体_GBK" w:cs="方正黑体_GBK"/>
          <w:sz w:val="32"/>
          <w:szCs w:val="32"/>
        </w:rPr>
      </w:pPr>
      <w:r>
        <w:rPr>
          <w:rFonts w:hint="eastAsia" w:ascii="方正黑体_GBK" w:hAnsi="方正黑体_GBK" w:eastAsia="方正黑体_GBK" w:cs="方正黑体_GBK"/>
          <w:b/>
          <w:sz w:val="32"/>
          <w:szCs w:val="32"/>
        </w:rPr>
        <w:t>六、</w:t>
      </w:r>
      <w:r>
        <w:rPr>
          <w:rStyle w:val="7"/>
          <w:rFonts w:hint="eastAsia" w:ascii="方正黑体_GBK" w:hAnsi="方正黑体_GBK" w:eastAsia="方正黑体_GBK" w:cs="方正黑体_GBK"/>
          <w:sz w:val="32"/>
          <w:szCs w:val="32"/>
        </w:rPr>
        <w:t>对外经济</w:t>
      </w:r>
    </w:p>
    <w:p>
      <w:pPr>
        <w:pStyle w:val="5"/>
        <w:spacing w:before="0" w:beforeAutospacing="0" w:after="0" w:afterAutospacing="0"/>
        <w:ind w:left="45" w:right="45"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全年实现外贸进出口总值</w:t>
      </w:r>
      <w:r>
        <w:rPr>
          <w:rFonts w:ascii="方正仿宋_GBK" w:hAnsi="方正仿宋_GBK" w:eastAsia="方正仿宋_GBK" w:cs="方正仿宋_GBK"/>
          <w:sz w:val="32"/>
          <w:szCs w:val="32"/>
        </w:rPr>
        <w:t>177392</w:t>
      </w:r>
      <w:r>
        <w:rPr>
          <w:rFonts w:hint="eastAsia" w:ascii="方正仿宋_GBK" w:hAnsi="方正仿宋_GBK" w:eastAsia="方正仿宋_GBK" w:cs="方正仿宋_GBK"/>
          <w:sz w:val="32"/>
          <w:szCs w:val="32"/>
        </w:rPr>
        <w:t>万元，下降</w:t>
      </w:r>
      <w:r>
        <w:rPr>
          <w:rFonts w:ascii="方正仿宋_GBK" w:hAnsi="方正仿宋_GBK" w:eastAsia="方正仿宋_GBK" w:cs="方正仿宋_GBK"/>
          <w:sz w:val="32"/>
          <w:szCs w:val="32"/>
        </w:rPr>
        <w:t>3.7</w:t>
      </w:r>
      <w:r>
        <w:rPr>
          <w:rFonts w:hint="eastAsia" w:ascii="方正仿宋_GBK" w:hAnsi="方正仿宋_GBK" w:eastAsia="方正仿宋_GBK" w:cs="方正仿宋_GBK"/>
          <w:sz w:val="32"/>
          <w:szCs w:val="32"/>
        </w:rPr>
        <w:t>％。其中：出口</w:t>
      </w:r>
      <w:r>
        <w:rPr>
          <w:rFonts w:ascii="方正仿宋_GBK" w:hAnsi="方正仿宋_GBK" w:eastAsia="方正仿宋_GBK" w:cs="方正仿宋_GBK"/>
          <w:sz w:val="32"/>
          <w:szCs w:val="32"/>
        </w:rPr>
        <w:t>172657</w:t>
      </w:r>
      <w:r>
        <w:rPr>
          <w:rFonts w:hint="eastAsia" w:ascii="方正仿宋_GBK" w:hAnsi="方正仿宋_GBK" w:eastAsia="方正仿宋_GBK" w:cs="方正仿宋_GBK"/>
          <w:sz w:val="32"/>
          <w:szCs w:val="32"/>
        </w:rPr>
        <w:t>万元，下降</w:t>
      </w:r>
      <w:r>
        <w:rPr>
          <w:rFonts w:ascii="方正仿宋_GBK" w:hAnsi="方正仿宋_GBK" w:eastAsia="方正仿宋_GBK" w:cs="方正仿宋_GBK"/>
          <w:sz w:val="32"/>
          <w:szCs w:val="32"/>
        </w:rPr>
        <w:t>4.7</w:t>
      </w:r>
      <w:r>
        <w:rPr>
          <w:rFonts w:hint="eastAsia" w:ascii="方正仿宋_GBK" w:hAnsi="方正仿宋_GBK" w:eastAsia="方正仿宋_GBK" w:cs="方正仿宋_GBK"/>
          <w:sz w:val="32"/>
          <w:szCs w:val="32"/>
        </w:rPr>
        <w:t>%；进口</w:t>
      </w:r>
      <w:r>
        <w:rPr>
          <w:rFonts w:ascii="方正仿宋_GBK" w:hAnsi="方正仿宋_GBK" w:eastAsia="方正仿宋_GBK" w:cs="方正仿宋_GBK"/>
          <w:sz w:val="32"/>
          <w:szCs w:val="32"/>
        </w:rPr>
        <w:t>4735</w:t>
      </w:r>
      <w:r>
        <w:rPr>
          <w:rFonts w:hint="eastAsia" w:ascii="方正仿宋_GBK" w:hAnsi="方正仿宋_GBK" w:eastAsia="方正仿宋_GBK" w:cs="方正仿宋_GBK"/>
          <w:sz w:val="32"/>
          <w:szCs w:val="32"/>
        </w:rPr>
        <w:t>万元，增长</w:t>
      </w:r>
      <w:r>
        <w:rPr>
          <w:rFonts w:ascii="方正仿宋_GBK" w:hAnsi="方正仿宋_GBK" w:eastAsia="方正仿宋_GBK" w:cs="方正仿宋_GBK"/>
          <w:sz w:val="32"/>
          <w:szCs w:val="32"/>
        </w:rPr>
        <w:t>55.0</w:t>
      </w:r>
      <w:r>
        <w:rPr>
          <w:rFonts w:hint="eastAsia" w:ascii="方正仿宋_GBK" w:hAnsi="方正仿宋_GBK" w:eastAsia="方正仿宋_GBK" w:cs="方正仿宋_GBK"/>
          <w:sz w:val="32"/>
          <w:szCs w:val="32"/>
        </w:rPr>
        <w:t>%。</w:t>
      </w:r>
    </w:p>
    <w:p>
      <w:pPr>
        <w:pStyle w:val="5"/>
        <w:spacing w:before="0" w:beforeAutospacing="0" w:after="0" w:afterAutospacing="0"/>
        <w:ind w:left="45" w:right="45"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全年实际使用外资金额</w:t>
      </w:r>
      <w:r>
        <w:rPr>
          <w:rFonts w:ascii="方正仿宋_GBK" w:hAnsi="方正仿宋_GBK" w:eastAsia="方正仿宋_GBK" w:cs="方正仿宋_GBK"/>
          <w:sz w:val="32"/>
          <w:szCs w:val="32"/>
        </w:rPr>
        <w:t>7294</w:t>
      </w:r>
      <w:r>
        <w:rPr>
          <w:rFonts w:hint="eastAsia" w:ascii="方正仿宋_GBK" w:hAnsi="方正仿宋_GBK" w:eastAsia="方正仿宋_GBK" w:cs="方正仿宋_GBK"/>
          <w:sz w:val="32"/>
          <w:szCs w:val="32"/>
        </w:rPr>
        <w:t>万美元，增长</w:t>
      </w:r>
      <w:r>
        <w:rPr>
          <w:rFonts w:ascii="方正仿宋_GBK" w:hAnsi="方正仿宋_GBK" w:eastAsia="方正仿宋_GBK" w:cs="方正仿宋_GBK"/>
          <w:sz w:val="32"/>
          <w:szCs w:val="32"/>
        </w:rPr>
        <w:t>21.9</w:t>
      </w:r>
      <w:r>
        <w:rPr>
          <w:rFonts w:hint="eastAsia" w:ascii="方正仿宋_GBK" w:hAnsi="方正仿宋_GBK" w:eastAsia="方正仿宋_GBK" w:cs="方正仿宋_GBK"/>
          <w:sz w:val="32"/>
          <w:szCs w:val="32"/>
        </w:rPr>
        <w:t>％。其中，外商直接投资</w:t>
      </w:r>
      <w:r>
        <w:rPr>
          <w:rFonts w:ascii="方正仿宋_GBK" w:hAnsi="方正仿宋_GBK" w:eastAsia="方正仿宋_GBK" w:cs="方正仿宋_GBK"/>
          <w:sz w:val="32"/>
          <w:szCs w:val="32"/>
        </w:rPr>
        <w:t>1000</w:t>
      </w:r>
      <w:r>
        <w:rPr>
          <w:rFonts w:hint="eastAsia" w:ascii="方正仿宋_GBK" w:hAnsi="方正仿宋_GBK" w:eastAsia="方正仿宋_GBK" w:cs="方正仿宋_GBK"/>
          <w:sz w:val="32"/>
          <w:szCs w:val="32"/>
        </w:rPr>
        <w:t>万美元，</w:t>
      </w:r>
      <w:r>
        <w:rPr>
          <w:rFonts w:ascii="方正仿宋_GBK" w:hAnsi="方正仿宋_GBK" w:eastAsia="方正仿宋_GBK" w:cs="方正仿宋_GBK"/>
          <w:sz w:val="32"/>
          <w:szCs w:val="32"/>
        </w:rPr>
        <w:t>增长</w:t>
      </w:r>
      <w:r>
        <w:rPr>
          <w:rFonts w:hint="eastAsia" w:ascii="方正仿宋_GBK" w:hAnsi="方正仿宋_GBK" w:eastAsia="方正仿宋_GBK" w:cs="方正仿宋_GBK"/>
          <w:sz w:val="32"/>
          <w:szCs w:val="32"/>
        </w:rPr>
        <w:t>100.0</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w:t>
      </w:r>
    </w:p>
    <w:p>
      <w:pPr>
        <w:pStyle w:val="5"/>
        <w:spacing w:before="0" w:beforeAutospacing="0" w:after="0" w:afterAutospacing="0"/>
        <w:ind w:left="44" w:right="44" w:firstLine="643" w:firstLineChars="200"/>
        <w:jc w:val="both"/>
        <w:rPr>
          <w:rFonts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七、交通、邮电和旅游</w:t>
      </w:r>
    </w:p>
    <w:p>
      <w:pPr>
        <w:pStyle w:val="5"/>
        <w:spacing w:before="0" w:beforeAutospacing="0" w:after="0" w:afterAutospacing="0"/>
        <w:ind w:left="45" w:right="45" w:firstLine="640" w:firstLineChars="200"/>
        <w:jc w:val="both"/>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全年交通运输、仓储和邮政业实现增加值189349万元，比上年增长6.1％，占全区生产总值的比重为2.9%。</w:t>
      </w:r>
    </w:p>
    <w:p>
      <w:pPr>
        <w:pStyle w:val="5"/>
        <w:spacing w:before="0" w:beforeAutospacing="0" w:after="0" w:afterAutospacing="0"/>
        <w:ind w:left="45" w:right="45" w:firstLine="640" w:firstLineChars="200"/>
        <w:jc w:val="both"/>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全年公路客运量完成5860万人，比上年增长18.4%；公路客运周转量249174万人公里，增长13.0%；公路货运量完成910万吨，增长1.7%；公路货物周转量91978万吨公里，增长8.1%。</w:t>
      </w:r>
      <w:r>
        <w:rPr>
          <w:rFonts w:hint="eastAsia" w:ascii="方正仿宋_GBK" w:hAnsi="方正仿宋_GBK" w:eastAsia="方正仿宋_GBK" w:cs="方正仿宋_GBK"/>
          <w:kern w:val="2"/>
          <w:sz w:val="32"/>
          <w:szCs w:val="32"/>
        </w:rPr>
        <w:tab/>
      </w:r>
    </w:p>
    <w:p>
      <w:pPr>
        <w:pStyle w:val="5"/>
        <w:spacing w:before="0" w:beforeAutospacing="0" w:after="0" w:afterAutospacing="0"/>
        <w:ind w:left="45" w:right="45" w:firstLine="640" w:firstLineChars="200"/>
        <w:jc w:val="both"/>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年末全区拥有营运汽车7453辆，其中货车5910辆、客车543辆(含公交车)、出租汽车220辆。</w:t>
      </w:r>
    </w:p>
    <w:p>
      <w:pPr>
        <w:pStyle w:val="5"/>
        <w:spacing w:before="0" w:beforeAutospacing="0" w:after="0" w:afterAutospacing="0"/>
        <w:ind w:left="45" w:right="45" w:firstLine="640" w:firstLineChars="200"/>
        <w:jc w:val="both"/>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年底全区公路总里程2564.829公里。按行政等级划分：国道（高速公路）99.436公里，省道210.267公里，县道136.588公里，乡道294.177公里，专用公路12.227公里，村道1812.134公里。按技术等级分：高速公路65.8公里、一级公路25.004公里、二级公路224.976公里、三级公路61.429公里、四级公路2125.033公里，等外公路62.587公里。</w:t>
      </w:r>
    </w:p>
    <w:p>
      <w:pPr>
        <w:pStyle w:val="5"/>
        <w:spacing w:before="0" w:beforeAutospacing="0" w:after="0" w:afterAutospacing="0"/>
        <w:ind w:left="45" w:right="45" w:firstLine="640" w:firstLineChars="200"/>
        <w:jc w:val="both"/>
        <w:rPr>
          <w:rFonts w:ascii="方正仿宋_GBK" w:hAnsi="方正仿宋_GBK" w:eastAsia="方正仿宋_GBK" w:cs="方正仿宋_GBK"/>
          <w:color w:val="FF0000"/>
          <w:kern w:val="2"/>
          <w:sz w:val="32"/>
          <w:szCs w:val="32"/>
        </w:rPr>
      </w:pPr>
      <w:r>
        <w:rPr>
          <w:rFonts w:hint="eastAsia" w:ascii="方正仿宋_GBK" w:hAnsi="方正仿宋_GBK" w:eastAsia="方正仿宋_GBK" w:cs="方正仿宋_GBK"/>
          <w:kern w:val="2"/>
          <w:sz w:val="32"/>
          <w:szCs w:val="32"/>
        </w:rPr>
        <w:t>全年完成邮电业务总量48231万元，比上年增长6.5%。其中，邮政业务收入</w:t>
      </w:r>
      <w:r>
        <w:rPr>
          <w:rFonts w:ascii="方正仿宋_GBK" w:hAnsi="方正仿宋_GBK" w:eastAsia="方正仿宋_GBK" w:cs="方正仿宋_GBK"/>
          <w:kern w:val="2"/>
          <w:sz w:val="32"/>
          <w:szCs w:val="32"/>
        </w:rPr>
        <w:t>12670</w:t>
      </w:r>
      <w:r>
        <w:rPr>
          <w:rFonts w:hint="eastAsia" w:ascii="方正仿宋_GBK" w:hAnsi="方正仿宋_GBK" w:eastAsia="方正仿宋_GBK" w:cs="方正仿宋_GBK"/>
          <w:kern w:val="2"/>
          <w:sz w:val="32"/>
          <w:szCs w:val="32"/>
        </w:rPr>
        <w:t>万元，增长</w:t>
      </w:r>
      <w:r>
        <w:rPr>
          <w:rFonts w:ascii="方正仿宋_GBK" w:hAnsi="方正仿宋_GBK" w:eastAsia="方正仿宋_GBK" w:cs="方正仿宋_GBK"/>
          <w:kern w:val="2"/>
          <w:sz w:val="32"/>
          <w:szCs w:val="32"/>
        </w:rPr>
        <w:t>0.8</w:t>
      </w:r>
      <w:r>
        <w:rPr>
          <w:rFonts w:hint="eastAsia" w:ascii="方正仿宋_GBK" w:hAnsi="方正仿宋_GBK" w:eastAsia="方正仿宋_GBK" w:cs="方正仿宋_GBK"/>
          <w:kern w:val="2"/>
          <w:sz w:val="32"/>
          <w:szCs w:val="32"/>
        </w:rPr>
        <w:t>%；电信业务总量35561万元，增长8.7%。年末固定电话用户数</w:t>
      </w:r>
      <w:r>
        <w:rPr>
          <w:rFonts w:ascii="方正仿宋_GBK" w:hAnsi="方正仿宋_GBK" w:eastAsia="方正仿宋_GBK" w:cs="方正仿宋_GBK"/>
          <w:kern w:val="2"/>
          <w:sz w:val="32"/>
          <w:szCs w:val="32"/>
        </w:rPr>
        <w:t>9.</w:t>
      </w:r>
      <w:r>
        <w:rPr>
          <w:rFonts w:hint="eastAsia" w:ascii="方正仿宋_GBK" w:hAnsi="方正仿宋_GBK" w:eastAsia="方正仿宋_GBK" w:cs="方正仿宋_GBK"/>
          <w:kern w:val="2"/>
          <w:sz w:val="32"/>
          <w:szCs w:val="32"/>
        </w:rPr>
        <w:t>36万户，比上年增长8.5%；移动电话用户</w:t>
      </w:r>
      <w:r>
        <w:rPr>
          <w:rFonts w:ascii="方正仿宋_GBK" w:hAnsi="方正仿宋_GBK" w:eastAsia="方正仿宋_GBK" w:cs="方正仿宋_GBK"/>
          <w:kern w:val="2"/>
          <w:sz w:val="32"/>
          <w:szCs w:val="32"/>
        </w:rPr>
        <w:t>74.61</w:t>
      </w:r>
      <w:r>
        <w:rPr>
          <w:rFonts w:hint="eastAsia" w:ascii="方正仿宋_GBK" w:hAnsi="方正仿宋_GBK" w:eastAsia="方正仿宋_GBK" w:cs="方正仿宋_GBK"/>
          <w:kern w:val="2"/>
          <w:sz w:val="32"/>
          <w:szCs w:val="32"/>
        </w:rPr>
        <w:t>万户，比上年增长2.3%。固定互联网宽带接入用户</w:t>
      </w:r>
      <w:r>
        <w:rPr>
          <w:rFonts w:ascii="方正仿宋_GBK" w:hAnsi="方正仿宋_GBK" w:eastAsia="方正仿宋_GBK" w:cs="方正仿宋_GBK"/>
          <w:kern w:val="2"/>
          <w:sz w:val="32"/>
          <w:szCs w:val="32"/>
        </w:rPr>
        <w:t>21.31</w:t>
      </w:r>
      <w:r>
        <w:rPr>
          <w:rFonts w:hint="eastAsia" w:ascii="方正仿宋_GBK" w:hAnsi="方正仿宋_GBK" w:eastAsia="方正仿宋_GBK" w:cs="方正仿宋_GBK"/>
          <w:kern w:val="2"/>
          <w:sz w:val="32"/>
          <w:szCs w:val="32"/>
        </w:rPr>
        <w:t>万户，比上年增长</w:t>
      </w:r>
      <w:r>
        <w:rPr>
          <w:rFonts w:ascii="方正仿宋_GBK" w:hAnsi="方正仿宋_GBK" w:eastAsia="方正仿宋_GBK" w:cs="方正仿宋_GBK"/>
          <w:kern w:val="2"/>
          <w:sz w:val="32"/>
          <w:szCs w:val="32"/>
        </w:rPr>
        <w:t>17.</w:t>
      </w:r>
      <w:r>
        <w:rPr>
          <w:rFonts w:hint="eastAsia" w:ascii="方正仿宋_GBK" w:hAnsi="方正仿宋_GBK" w:eastAsia="方正仿宋_GBK" w:cs="方正仿宋_GBK"/>
          <w:kern w:val="2"/>
          <w:sz w:val="32"/>
          <w:szCs w:val="32"/>
        </w:rPr>
        <w:t>0%；手机上网用户57.80万户，比上年增长9.3%；互联网用户37.56万户，</w:t>
      </w:r>
      <w:r>
        <w:rPr>
          <w:rFonts w:ascii="方正仿宋_GBK" w:hAnsi="方正仿宋_GBK" w:eastAsia="方正仿宋_GBK" w:cs="方正仿宋_GBK"/>
          <w:kern w:val="2"/>
          <w:sz w:val="32"/>
          <w:szCs w:val="32"/>
        </w:rPr>
        <w:t>比上年增长</w:t>
      </w:r>
      <w:r>
        <w:rPr>
          <w:rFonts w:hint="eastAsia" w:ascii="方正仿宋_GBK" w:hAnsi="方正仿宋_GBK" w:eastAsia="方正仿宋_GBK" w:cs="方正仿宋_GBK"/>
          <w:kern w:val="2"/>
          <w:sz w:val="32"/>
          <w:szCs w:val="32"/>
        </w:rPr>
        <w:t>22.6</w:t>
      </w:r>
      <w:r>
        <w:rPr>
          <w:rFonts w:ascii="方正仿宋_GBK" w:hAnsi="方正仿宋_GBK" w:eastAsia="方正仿宋_GBK" w:cs="方正仿宋_GBK"/>
          <w:kern w:val="2"/>
          <w:sz w:val="32"/>
          <w:szCs w:val="32"/>
        </w:rPr>
        <w:t>%</w:t>
      </w:r>
      <w:r>
        <w:rPr>
          <w:rFonts w:hint="eastAsia" w:ascii="方正仿宋_GBK" w:hAnsi="方正仿宋_GBK" w:eastAsia="方正仿宋_GBK" w:cs="方正仿宋_GBK"/>
          <w:kern w:val="2"/>
          <w:sz w:val="32"/>
          <w:szCs w:val="32"/>
        </w:rPr>
        <w:t>。</w:t>
      </w:r>
    </w:p>
    <w:p>
      <w:pPr>
        <w:pStyle w:val="5"/>
        <w:spacing w:before="0" w:beforeAutospacing="0" w:after="0" w:afterAutospacing="0"/>
        <w:ind w:left="45" w:right="45" w:firstLine="640" w:firstLineChars="200"/>
        <w:jc w:val="both"/>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旅游业加快发展。全年接待游客人数</w:t>
      </w:r>
      <w:r>
        <w:rPr>
          <w:rFonts w:ascii="方正仿宋_GBK" w:hAnsi="方正仿宋_GBK" w:eastAsia="方正仿宋_GBK" w:cs="方正仿宋_GBK"/>
          <w:kern w:val="2"/>
          <w:sz w:val="32"/>
          <w:szCs w:val="32"/>
        </w:rPr>
        <w:t>701</w:t>
      </w:r>
      <w:r>
        <w:rPr>
          <w:rFonts w:hint="eastAsia" w:ascii="方正仿宋_GBK" w:hAnsi="方正仿宋_GBK" w:eastAsia="方正仿宋_GBK" w:cs="方正仿宋_GBK"/>
          <w:kern w:val="2"/>
          <w:sz w:val="32"/>
          <w:szCs w:val="32"/>
        </w:rPr>
        <w:t>万人次，比上年增长</w:t>
      </w:r>
      <w:r>
        <w:rPr>
          <w:rFonts w:ascii="方正仿宋_GBK" w:hAnsi="方正仿宋_GBK" w:eastAsia="方正仿宋_GBK" w:cs="方正仿宋_GBK"/>
          <w:kern w:val="2"/>
          <w:sz w:val="32"/>
          <w:szCs w:val="32"/>
        </w:rPr>
        <w:t>2</w:t>
      </w:r>
      <w:r>
        <w:rPr>
          <w:rFonts w:hint="eastAsia" w:ascii="方正仿宋_GBK" w:hAnsi="方正仿宋_GBK" w:eastAsia="方正仿宋_GBK" w:cs="方正仿宋_GBK"/>
          <w:kern w:val="2"/>
          <w:sz w:val="32"/>
          <w:szCs w:val="32"/>
        </w:rPr>
        <w:t>5.4%；实现旅游总收入</w:t>
      </w:r>
      <w:r>
        <w:rPr>
          <w:rFonts w:ascii="方正仿宋_GBK" w:hAnsi="方正仿宋_GBK" w:eastAsia="方正仿宋_GBK" w:cs="方正仿宋_GBK"/>
          <w:kern w:val="2"/>
          <w:sz w:val="32"/>
          <w:szCs w:val="32"/>
        </w:rPr>
        <w:t>30.2</w:t>
      </w:r>
      <w:r>
        <w:rPr>
          <w:rFonts w:hint="eastAsia" w:ascii="方正仿宋_GBK" w:hAnsi="方正仿宋_GBK" w:eastAsia="方正仿宋_GBK" w:cs="方正仿宋_GBK"/>
          <w:kern w:val="2"/>
          <w:sz w:val="32"/>
          <w:szCs w:val="32"/>
        </w:rPr>
        <w:t>9亿元，比上年增长</w:t>
      </w:r>
      <w:r>
        <w:rPr>
          <w:rFonts w:ascii="方正仿宋_GBK" w:hAnsi="方正仿宋_GBK" w:eastAsia="方正仿宋_GBK" w:cs="方正仿宋_GBK"/>
          <w:kern w:val="2"/>
          <w:sz w:val="32"/>
          <w:szCs w:val="32"/>
        </w:rPr>
        <w:t>6</w:t>
      </w:r>
      <w:r>
        <w:rPr>
          <w:rFonts w:hint="eastAsia" w:ascii="方正仿宋_GBK" w:hAnsi="方正仿宋_GBK" w:eastAsia="方正仿宋_GBK" w:cs="方正仿宋_GBK"/>
          <w:kern w:val="2"/>
          <w:sz w:val="32"/>
          <w:szCs w:val="32"/>
        </w:rPr>
        <w:t>9.1％。年末全区拥有A级旅游景区</w:t>
      </w:r>
      <w:r>
        <w:rPr>
          <w:rFonts w:ascii="方正仿宋_GBK" w:hAnsi="方正仿宋_GBK" w:eastAsia="方正仿宋_GBK" w:cs="方正仿宋_GBK"/>
          <w:kern w:val="2"/>
          <w:sz w:val="32"/>
          <w:szCs w:val="32"/>
        </w:rPr>
        <w:t>5</w:t>
      </w:r>
      <w:r>
        <w:rPr>
          <w:rFonts w:hint="eastAsia" w:ascii="方正仿宋_GBK" w:hAnsi="方正仿宋_GBK" w:eastAsia="方正仿宋_GBK" w:cs="方正仿宋_GBK"/>
          <w:kern w:val="2"/>
          <w:sz w:val="32"/>
          <w:szCs w:val="32"/>
        </w:rPr>
        <w:t>个，其中4A级景区1个，3A级景区4个。</w:t>
      </w:r>
    </w:p>
    <w:p>
      <w:pPr>
        <w:pStyle w:val="5"/>
        <w:spacing w:before="0" w:beforeAutospacing="0" w:after="0" w:afterAutospacing="0"/>
        <w:ind w:left="44" w:right="44" w:firstLine="643" w:firstLineChars="200"/>
        <w:jc w:val="both"/>
        <w:rPr>
          <w:rStyle w:val="7"/>
          <w:rFonts w:ascii="方正黑体_GBK" w:hAnsi="方正黑体_GBK" w:eastAsia="方正黑体_GBK" w:cs="方正黑体_GBK"/>
          <w:sz w:val="32"/>
          <w:szCs w:val="32"/>
        </w:rPr>
      </w:pPr>
      <w:r>
        <w:rPr>
          <w:rStyle w:val="7"/>
          <w:rFonts w:hint="eastAsia" w:ascii="方正黑体_GBK" w:hAnsi="方正黑体_GBK" w:eastAsia="方正黑体_GBK" w:cs="方正黑体_GBK"/>
          <w:sz w:val="32"/>
          <w:szCs w:val="32"/>
        </w:rPr>
        <w:t>八、金融</w:t>
      </w:r>
    </w:p>
    <w:p>
      <w:pPr>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金融市场稳健运行。全年金融业实现增加值</w:t>
      </w:r>
      <w:r>
        <w:rPr>
          <w:rFonts w:ascii="方正仿宋_GBK" w:hAnsi="方正仿宋_GBK" w:eastAsia="方正仿宋_GBK" w:cs="方正仿宋_GBK"/>
          <w:kern w:val="0"/>
          <w:sz w:val="32"/>
          <w:szCs w:val="32"/>
        </w:rPr>
        <w:t>178669</w:t>
      </w:r>
      <w:r>
        <w:rPr>
          <w:rFonts w:hint="eastAsia" w:ascii="方正仿宋_GBK" w:hAnsi="方正仿宋_GBK" w:eastAsia="方正仿宋_GBK" w:cs="方正仿宋_GBK"/>
          <w:kern w:val="0"/>
          <w:sz w:val="32"/>
          <w:szCs w:val="32"/>
        </w:rPr>
        <w:t>万元，比上年增长</w:t>
      </w:r>
      <w:r>
        <w:rPr>
          <w:rFonts w:ascii="方正仿宋_GBK" w:hAnsi="方正仿宋_GBK" w:eastAsia="方正仿宋_GBK" w:cs="方正仿宋_GBK"/>
          <w:kern w:val="0"/>
          <w:sz w:val="32"/>
          <w:szCs w:val="32"/>
        </w:rPr>
        <w:t>15.0</w:t>
      </w:r>
      <w:r>
        <w:rPr>
          <w:rFonts w:hint="eastAsia" w:ascii="方正仿宋_GBK" w:hAnsi="方正仿宋_GBK" w:eastAsia="方正仿宋_GBK" w:cs="方正仿宋_GBK"/>
          <w:kern w:val="0"/>
          <w:sz w:val="32"/>
          <w:szCs w:val="32"/>
        </w:rPr>
        <w:t>%,占全区生产总值的</w:t>
      </w:r>
      <w:r>
        <w:rPr>
          <w:rFonts w:ascii="方正仿宋_GBK" w:hAnsi="方正仿宋_GBK" w:eastAsia="方正仿宋_GBK" w:cs="方正仿宋_GBK"/>
          <w:kern w:val="0"/>
          <w:sz w:val="32"/>
          <w:szCs w:val="32"/>
        </w:rPr>
        <w:t>2.7</w:t>
      </w:r>
      <w:r>
        <w:rPr>
          <w:rFonts w:hint="eastAsia" w:ascii="方正仿宋_GBK" w:hAnsi="方正仿宋_GBK" w:eastAsia="方正仿宋_GBK" w:cs="方正仿宋_GBK"/>
          <w:kern w:val="0"/>
          <w:sz w:val="32"/>
          <w:szCs w:val="32"/>
        </w:rPr>
        <w:t>%。不良贷款率为0.30%。</w:t>
      </w:r>
    </w:p>
    <w:p>
      <w:pPr>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金融市场规模进一步扩大。年末全区金融机构各项存款余额达到</w:t>
      </w:r>
      <w:r>
        <w:rPr>
          <w:rFonts w:ascii="方正仿宋_GBK" w:hAnsi="方正仿宋_GBK" w:eastAsia="方正仿宋_GBK" w:cs="方正仿宋_GBK"/>
          <w:kern w:val="0"/>
          <w:sz w:val="32"/>
          <w:szCs w:val="32"/>
        </w:rPr>
        <w:t>4022413</w:t>
      </w:r>
      <w:r>
        <w:rPr>
          <w:rFonts w:hint="eastAsia" w:ascii="方正仿宋_GBK" w:hAnsi="方正仿宋_GBK" w:eastAsia="方正仿宋_GBK" w:cs="方正仿宋_GBK"/>
          <w:kern w:val="0"/>
          <w:sz w:val="32"/>
          <w:szCs w:val="32"/>
        </w:rPr>
        <w:t>万元，比年初增加</w:t>
      </w:r>
      <w:r>
        <w:rPr>
          <w:rFonts w:ascii="方正仿宋_GBK" w:hAnsi="方正仿宋_GBK" w:eastAsia="方正仿宋_GBK" w:cs="方正仿宋_GBK"/>
          <w:kern w:val="0"/>
          <w:sz w:val="32"/>
          <w:szCs w:val="32"/>
        </w:rPr>
        <w:t>523059</w:t>
      </w:r>
      <w:r>
        <w:rPr>
          <w:rFonts w:hint="eastAsia" w:ascii="方正仿宋_GBK" w:hAnsi="方正仿宋_GBK" w:eastAsia="方正仿宋_GBK" w:cs="方正仿宋_GBK"/>
          <w:kern w:val="0"/>
          <w:sz w:val="32"/>
          <w:szCs w:val="32"/>
        </w:rPr>
        <w:t>万元，增长</w:t>
      </w:r>
      <w:r>
        <w:rPr>
          <w:rFonts w:ascii="方正仿宋_GBK" w:hAnsi="方正仿宋_GBK" w:eastAsia="方正仿宋_GBK" w:cs="方正仿宋_GBK"/>
          <w:kern w:val="0"/>
          <w:sz w:val="32"/>
          <w:szCs w:val="32"/>
        </w:rPr>
        <w:t>14.9</w:t>
      </w:r>
      <w:r>
        <w:rPr>
          <w:rFonts w:hint="eastAsia" w:ascii="方正仿宋_GBK" w:hAnsi="方正仿宋_GBK" w:eastAsia="方正仿宋_GBK" w:cs="方正仿宋_GBK"/>
          <w:kern w:val="0"/>
          <w:sz w:val="32"/>
          <w:szCs w:val="32"/>
        </w:rPr>
        <w:t>%。其中，住户存款余额</w:t>
      </w:r>
      <w:r>
        <w:rPr>
          <w:rFonts w:ascii="方正仿宋_GBK" w:hAnsi="方正仿宋_GBK" w:eastAsia="方正仿宋_GBK" w:cs="方正仿宋_GBK"/>
          <w:kern w:val="0"/>
          <w:sz w:val="32"/>
          <w:szCs w:val="32"/>
        </w:rPr>
        <w:t>2978125</w:t>
      </w:r>
      <w:r>
        <w:rPr>
          <w:rFonts w:hint="eastAsia" w:ascii="方正仿宋_GBK" w:hAnsi="方正仿宋_GBK" w:eastAsia="方正仿宋_GBK" w:cs="方正仿宋_GBK"/>
          <w:kern w:val="0"/>
          <w:sz w:val="32"/>
          <w:szCs w:val="32"/>
        </w:rPr>
        <w:t>万元，比年初增长</w:t>
      </w:r>
      <w:r>
        <w:rPr>
          <w:rFonts w:ascii="方正仿宋_GBK" w:hAnsi="方正仿宋_GBK" w:eastAsia="方正仿宋_GBK" w:cs="方正仿宋_GBK"/>
          <w:kern w:val="0"/>
          <w:sz w:val="32"/>
          <w:szCs w:val="32"/>
        </w:rPr>
        <w:t>12.5</w:t>
      </w:r>
      <w:r>
        <w:rPr>
          <w:rFonts w:hint="eastAsia" w:ascii="方正仿宋_GBK" w:hAnsi="方正仿宋_GBK" w:eastAsia="方正仿宋_GBK" w:cs="方正仿宋_GBK"/>
          <w:kern w:val="0"/>
          <w:sz w:val="32"/>
          <w:szCs w:val="32"/>
        </w:rPr>
        <w:t>%。年末金融机构贷款余额达到</w:t>
      </w:r>
      <w:r>
        <w:rPr>
          <w:rFonts w:ascii="方正仿宋_GBK" w:hAnsi="方正仿宋_GBK" w:eastAsia="方正仿宋_GBK" w:cs="方正仿宋_GBK"/>
          <w:kern w:val="0"/>
          <w:sz w:val="32"/>
          <w:szCs w:val="32"/>
        </w:rPr>
        <w:t>3325834</w:t>
      </w:r>
      <w:r>
        <w:rPr>
          <w:rFonts w:hint="eastAsia" w:ascii="方正仿宋_GBK" w:hAnsi="方正仿宋_GBK" w:eastAsia="方正仿宋_GBK" w:cs="方正仿宋_GBK"/>
          <w:kern w:val="0"/>
          <w:sz w:val="32"/>
          <w:szCs w:val="32"/>
        </w:rPr>
        <w:t>万元，比年初增加</w:t>
      </w:r>
      <w:r>
        <w:rPr>
          <w:rFonts w:ascii="方正仿宋_GBK" w:hAnsi="方正仿宋_GBK" w:eastAsia="方正仿宋_GBK" w:cs="方正仿宋_GBK"/>
          <w:kern w:val="0"/>
          <w:sz w:val="32"/>
          <w:szCs w:val="32"/>
        </w:rPr>
        <w:t>610505</w:t>
      </w:r>
      <w:r>
        <w:rPr>
          <w:rFonts w:hint="eastAsia" w:ascii="方正仿宋_GBK" w:hAnsi="方正仿宋_GBK" w:eastAsia="方正仿宋_GBK" w:cs="方正仿宋_GBK"/>
          <w:kern w:val="0"/>
          <w:sz w:val="32"/>
          <w:szCs w:val="32"/>
        </w:rPr>
        <w:t>万元，增长</w:t>
      </w:r>
      <w:r>
        <w:rPr>
          <w:rFonts w:ascii="方正仿宋_GBK" w:hAnsi="方正仿宋_GBK" w:eastAsia="方正仿宋_GBK" w:cs="方正仿宋_GBK"/>
          <w:kern w:val="0"/>
          <w:sz w:val="32"/>
          <w:szCs w:val="32"/>
        </w:rPr>
        <w:t>22.5</w:t>
      </w:r>
      <w:r>
        <w:rPr>
          <w:rFonts w:hint="eastAsia" w:ascii="方正仿宋_GBK" w:hAnsi="方正仿宋_GBK" w:eastAsia="方正仿宋_GBK" w:cs="方正仿宋_GBK"/>
          <w:kern w:val="0"/>
          <w:sz w:val="32"/>
          <w:szCs w:val="32"/>
        </w:rPr>
        <w:t>%。其中，个体经营、个人消费贷款</w:t>
      </w:r>
      <w:r>
        <w:rPr>
          <w:rFonts w:ascii="方正仿宋_GBK" w:hAnsi="方正仿宋_GBK" w:eastAsia="方正仿宋_GBK" w:cs="方正仿宋_GBK"/>
          <w:kern w:val="0"/>
          <w:sz w:val="32"/>
          <w:szCs w:val="32"/>
        </w:rPr>
        <w:t>12121738</w:t>
      </w:r>
      <w:r>
        <w:rPr>
          <w:rFonts w:hint="eastAsia" w:ascii="方正仿宋_GBK" w:hAnsi="方正仿宋_GBK" w:eastAsia="方正仿宋_GBK" w:cs="方正仿宋_GBK"/>
          <w:kern w:val="0"/>
          <w:sz w:val="32"/>
          <w:szCs w:val="32"/>
        </w:rPr>
        <w:t>万元，增长8.3%。</w:t>
      </w:r>
    </w:p>
    <w:p>
      <w:pPr>
        <w:ind w:firstLine="640" w:firstLineChars="200"/>
        <w:jc w:val="left"/>
        <w:rPr>
          <w:rFonts w:ascii="方正仿宋_GBK" w:hAnsi="方正仿宋_GBK" w:eastAsia="方正仿宋_GBK" w:cs="方正仿宋_GBK"/>
          <w:kern w:val="0"/>
          <w:sz w:val="32"/>
          <w:szCs w:val="32"/>
        </w:rPr>
      </w:pPr>
    </w:p>
    <w:p>
      <w:pPr>
        <w:ind w:firstLine="640" w:firstLineChars="200"/>
        <w:jc w:val="left"/>
        <w:rPr>
          <w:rFonts w:ascii="方正仿宋_GBK" w:hAnsi="方正仿宋_GBK" w:eastAsia="方正仿宋_GBK" w:cs="方正仿宋_GBK"/>
          <w:kern w:val="0"/>
          <w:sz w:val="32"/>
          <w:szCs w:val="32"/>
        </w:rPr>
      </w:pPr>
    </w:p>
    <w:p>
      <w:pPr>
        <w:ind w:firstLine="640" w:firstLineChars="200"/>
        <w:jc w:val="left"/>
        <w:rPr>
          <w:rFonts w:ascii="方正仿宋_GBK" w:hAnsi="方正仿宋_GBK" w:eastAsia="方正仿宋_GBK" w:cs="方正仿宋_GBK"/>
          <w:kern w:val="0"/>
          <w:sz w:val="32"/>
          <w:szCs w:val="32"/>
        </w:rPr>
      </w:pPr>
    </w:p>
    <w:p>
      <w:pPr>
        <w:ind w:firstLine="640" w:firstLineChars="200"/>
        <w:jc w:val="left"/>
        <w:rPr>
          <w:rFonts w:ascii="方正仿宋_GBK" w:hAnsi="方正仿宋_GBK" w:eastAsia="方正仿宋_GBK" w:cs="方正仿宋_GBK"/>
          <w:kern w:val="0"/>
          <w:sz w:val="32"/>
          <w:szCs w:val="32"/>
        </w:rPr>
      </w:pPr>
    </w:p>
    <w:p>
      <w:pPr>
        <w:ind w:firstLine="640" w:firstLineChars="200"/>
        <w:jc w:val="left"/>
        <w:rPr>
          <w:rFonts w:hint="eastAsia" w:ascii="方正仿宋_GBK" w:hAnsi="方正仿宋_GBK" w:eastAsia="方正仿宋_GBK" w:cs="方正仿宋_GBK"/>
          <w:kern w:val="0"/>
          <w:sz w:val="32"/>
          <w:szCs w:val="32"/>
        </w:rPr>
      </w:pPr>
    </w:p>
    <w:p>
      <w:pPr>
        <w:ind w:firstLine="562" w:firstLineChars="200"/>
        <w:jc w:val="center"/>
        <w:rPr>
          <w:rFonts w:hint="eastAsia" w:ascii="方正仿宋_GBK" w:hAnsi="方正仿宋_GBK" w:eastAsia="方正仿宋_GBK" w:cs="方正仿宋_GBK"/>
          <w:b/>
          <w:bCs/>
          <w:kern w:val="0"/>
          <w:sz w:val="28"/>
          <w:szCs w:val="28"/>
        </w:rPr>
      </w:pPr>
    </w:p>
    <w:p>
      <w:pPr>
        <w:ind w:firstLine="562" w:firstLineChars="200"/>
        <w:jc w:val="center"/>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表6　　2019年末金融机构存贷款余额</w:t>
      </w:r>
    </w:p>
    <w:tbl>
      <w:tblPr>
        <w:tblStyle w:val="9"/>
        <w:tblW w:w="7800" w:type="dxa"/>
        <w:tblInd w:w="648" w:type="dxa"/>
        <w:tblLayout w:type="fixed"/>
        <w:tblCellMar>
          <w:top w:w="0" w:type="dxa"/>
          <w:left w:w="108" w:type="dxa"/>
          <w:bottom w:w="0" w:type="dxa"/>
          <w:right w:w="108" w:type="dxa"/>
        </w:tblCellMar>
      </w:tblPr>
      <w:tblGrid>
        <w:gridCol w:w="3429"/>
        <w:gridCol w:w="2410"/>
        <w:gridCol w:w="1961"/>
      </w:tblGrid>
      <w:tr>
        <w:tblPrEx>
          <w:tblLayout w:type="fixed"/>
          <w:tblCellMar>
            <w:top w:w="0" w:type="dxa"/>
            <w:left w:w="108" w:type="dxa"/>
            <w:bottom w:w="0" w:type="dxa"/>
            <w:right w:w="108" w:type="dxa"/>
          </w:tblCellMar>
        </w:tblPrEx>
        <w:trPr>
          <w:trHeight w:val="1032" w:hRule="atLeast"/>
        </w:trPr>
        <w:tc>
          <w:tcPr>
            <w:tcW w:w="3429" w:type="dxa"/>
            <w:tcBorders>
              <w:top w:val="single" w:color="auto" w:sz="4" w:space="0"/>
              <w:left w:val="nil"/>
              <w:bottom w:val="single" w:color="auto" w:sz="4" w:space="0"/>
              <w:right w:val="single" w:color="auto" w:sz="4" w:space="0"/>
            </w:tcBorders>
            <w:vAlign w:val="center"/>
          </w:tcPr>
          <w:p>
            <w:pPr>
              <w:widowControl/>
              <w:shd w:val="clear" w:color="auto" w:fill="FFFFFF"/>
              <w:spacing w:line="360" w:lineRule="auto"/>
              <w:ind w:firstLine="482" w:firstLineChars="200"/>
              <w:jc w:val="center"/>
              <w:rPr>
                <w:rFonts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指标</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2" w:firstLineChars="200"/>
              <w:jc w:val="center"/>
              <w:rPr>
                <w:rFonts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年末数（万元）</w:t>
            </w:r>
          </w:p>
        </w:tc>
        <w:tc>
          <w:tcPr>
            <w:tcW w:w="1961" w:type="dxa"/>
            <w:tcBorders>
              <w:top w:val="single" w:color="auto" w:sz="4" w:space="0"/>
              <w:left w:val="single" w:color="auto" w:sz="4" w:space="0"/>
              <w:bottom w:val="single" w:color="auto" w:sz="4" w:space="0"/>
              <w:right w:val="nil"/>
            </w:tcBorders>
            <w:vAlign w:val="center"/>
          </w:tcPr>
          <w:p>
            <w:pPr>
              <w:widowControl/>
              <w:shd w:val="clear" w:color="auto" w:fill="FFFFFF"/>
              <w:spacing w:line="360" w:lineRule="auto"/>
              <w:ind w:firstLine="482" w:firstLineChars="200"/>
              <w:jc w:val="center"/>
              <w:rPr>
                <w:rFonts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比年初±％</w:t>
            </w:r>
          </w:p>
        </w:tc>
      </w:tr>
      <w:tr>
        <w:tblPrEx>
          <w:tblLayout w:type="fixed"/>
          <w:tblCellMar>
            <w:top w:w="0" w:type="dxa"/>
            <w:left w:w="108" w:type="dxa"/>
            <w:bottom w:w="0" w:type="dxa"/>
            <w:right w:w="108" w:type="dxa"/>
          </w:tblCellMar>
        </w:tblPrEx>
        <w:trPr>
          <w:trHeight w:val="621" w:hRule="exact"/>
        </w:trPr>
        <w:tc>
          <w:tcPr>
            <w:tcW w:w="3429" w:type="dxa"/>
            <w:tcBorders>
              <w:top w:val="single" w:color="auto" w:sz="4" w:space="0"/>
              <w:left w:val="nil"/>
              <w:bottom w:val="nil"/>
              <w:right w:val="single" w:color="auto" w:sz="4" w:space="0"/>
            </w:tcBorders>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金融机构存款余额</w:t>
            </w:r>
          </w:p>
        </w:tc>
        <w:tc>
          <w:tcPr>
            <w:tcW w:w="2410" w:type="dxa"/>
            <w:tcBorders>
              <w:top w:val="nil"/>
              <w:left w:val="nil"/>
              <w:bottom w:val="nil"/>
              <w:right w:val="nil"/>
            </w:tcBorders>
            <w:vAlign w:val="center"/>
          </w:tcPr>
          <w:p>
            <w:pPr>
              <w:widowControl/>
              <w:jc w:val="center"/>
              <w:rPr>
                <w:color w:val="000000"/>
                <w:kern w:val="0"/>
                <w:sz w:val="24"/>
              </w:rPr>
            </w:pPr>
            <w:r>
              <w:rPr>
                <w:color w:val="000000"/>
                <w:sz w:val="24"/>
              </w:rPr>
              <w:t>4022413</w:t>
            </w:r>
          </w:p>
        </w:tc>
        <w:tc>
          <w:tcPr>
            <w:tcW w:w="1961" w:type="dxa"/>
            <w:tcBorders>
              <w:top w:val="nil"/>
              <w:left w:val="nil"/>
              <w:bottom w:val="nil"/>
              <w:right w:val="nil"/>
            </w:tcBorders>
            <w:vAlign w:val="center"/>
          </w:tcPr>
          <w:p>
            <w:pPr>
              <w:jc w:val="center"/>
              <w:rPr>
                <w:color w:val="000000"/>
                <w:sz w:val="24"/>
              </w:rPr>
            </w:pPr>
            <w:r>
              <w:rPr>
                <w:color w:val="000000"/>
                <w:sz w:val="24"/>
              </w:rPr>
              <w:t>14.9</w:t>
            </w:r>
          </w:p>
        </w:tc>
      </w:tr>
      <w:tr>
        <w:tblPrEx>
          <w:tblLayout w:type="fixed"/>
          <w:tblCellMar>
            <w:top w:w="0" w:type="dxa"/>
            <w:left w:w="108" w:type="dxa"/>
            <w:bottom w:w="0" w:type="dxa"/>
            <w:right w:w="108" w:type="dxa"/>
          </w:tblCellMar>
        </w:tblPrEx>
        <w:trPr>
          <w:trHeight w:val="621" w:hRule="exact"/>
        </w:trPr>
        <w:tc>
          <w:tcPr>
            <w:tcW w:w="3429" w:type="dxa"/>
            <w:tcBorders>
              <w:top w:val="nil"/>
              <w:left w:val="nil"/>
              <w:bottom w:val="nil"/>
              <w:right w:val="single" w:color="auto" w:sz="4" w:space="0"/>
            </w:tcBorders>
            <w:vAlign w:val="center"/>
          </w:tcPr>
          <w:p>
            <w:pPr>
              <w:ind w:firstLine="240" w:firstLineChars="100"/>
              <w:rPr>
                <w:rFonts w:ascii="方正仿宋_GBK" w:hAnsi="方正仿宋_GBK" w:eastAsia="方正仿宋_GBK" w:cs="方正仿宋_GBK"/>
                <w:sz w:val="24"/>
              </w:rPr>
            </w:pPr>
            <w:r>
              <w:rPr>
                <w:rFonts w:hint="eastAsia" w:ascii="方正仿宋_GBK" w:hAnsi="方正仿宋_GBK" w:eastAsia="方正仿宋_GBK" w:cs="方正仿宋_GBK"/>
                <w:sz w:val="24"/>
              </w:rPr>
              <w:t>＃企事业单位存款</w:t>
            </w:r>
          </w:p>
        </w:tc>
        <w:tc>
          <w:tcPr>
            <w:tcW w:w="2410" w:type="dxa"/>
            <w:tcBorders>
              <w:top w:val="nil"/>
              <w:left w:val="nil"/>
              <w:bottom w:val="nil"/>
              <w:right w:val="nil"/>
            </w:tcBorders>
            <w:vAlign w:val="center"/>
          </w:tcPr>
          <w:p>
            <w:pPr>
              <w:jc w:val="center"/>
              <w:rPr>
                <w:color w:val="000000"/>
                <w:sz w:val="24"/>
              </w:rPr>
            </w:pPr>
            <w:r>
              <w:rPr>
                <w:color w:val="000000"/>
                <w:sz w:val="24"/>
              </w:rPr>
              <w:t>990509</w:t>
            </w:r>
          </w:p>
        </w:tc>
        <w:tc>
          <w:tcPr>
            <w:tcW w:w="1961" w:type="dxa"/>
            <w:tcBorders>
              <w:top w:val="nil"/>
              <w:left w:val="nil"/>
              <w:bottom w:val="nil"/>
              <w:right w:val="nil"/>
            </w:tcBorders>
            <w:vAlign w:val="center"/>
          </w:tcPr>
          <w:p>
            <w:pPr>
              <w:jc w:val="center"/>
              <w:rPr>
                <w:color w:val="000000"/>
                <w:sz w:val="24"/>
              </w:rPr>
            </w:pPr>
            <w:r>
              <w:rPr>
                <w:color w:val="000000"/>
                <w:sz w:val="24"/>
              </w:rPr>
              <w:t>24.9</w:t>
            </w:r>
          </w:p>
        </w:tc>
      </w:tr>
      <w:tr>
        <w:tblPrEx>
          <w:tblLayout w:type="fixed"/>
          <w:tblCellMar>
            <w:top w:w="0" w:type="dxa"/>
            <w:left w:w="108" w:type="dxa"/>
            <w:bottom w:w="0" w:type="dxa"/>
            <w:right w:w="108" w:type="dxa"/>
          </w:tblCellMar>
        </w:tblPrEx>
        <w:trPr>
          <w:trHeight w:val="621" w:hRule="exact"/>
        </w:trPr>
        <w:tc>
          <w:tcPr>
            <w:tcW w:w="3429" w:type="dxa"/>
            <w:tcBorders>
              <w:top w:val="nil"/>
              <w:left w:val="nil"/>
              <w:bottom w:val="nil"/>
              <w:right w:val="single" w:color="auto" w:sz="4" w:space="0"/>
            </w:tcBorders>
            <w:vAlign w:val="center"/>
          </w:tcPr>
          <w:p>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住户存款</w:t>
            </w:r>
          </w:p>
        </w:tc>
        <w:tc>
          <w:tcPr>
            <w:tcW w:w="2410" w:type="dxa"/>
            <w:tcBorders>
              <w:top w:val="nil"/>
              <w:left w:val="nil"/>
              <w:bottom w:val="nil"/>
              <w:right w:val="nil"/>
            </w:tcBorders>
            <w:vAlign w:val="center"/>
          </w:tcPr>
          <w:p>
            <w:pPr>
              <w:jc w:val="center"/>
              <w:rPr>
                <w:color w:val="000000"/>
                <w:sz w:val="24"/>
              </w:rPr>
            </w:pPr>
            <w:r>
              <w:rPr>
                <w:color w:val="000000"/>
                <w:sz w:val="24"/>
              </w:rPr>
              <w:t>2978125</w:t>
            </w:r>
          </w:p>
        </w:tc>
        <w:tc>
          <w:tcPr>
            <w:tcW w:w="1961" w:type="dxa"/>
            <w:tcBorders>
              <w:top w:val="nil"/>
              <w:left w:val="nil"/>
              <w:bottom w:val="nil"/>
              <w:right w:val="nil"/>
            </w:tcBorders>
            <w:vAlign w:val="center"/>
          </w:tcPr>
          <w:p>
            <w:pPr>
              <w:jc w:val="center"/>
              <w:rPr>
                <w:color w:val="000000"/>
                <w:sz w:val="24"/>
              </w:rPr>
            </w:pPr>
            <w:r>
              <w:rPr>
                <w:color w:val="000000"/>
                <w:sz w:val="24"/>
              </w:rPr>
              <w:t>12.5</w:t>
            </w:r>
          </w:p>
        </w:tc>
      </w:tr>
      <w:tr>
        <w:tblPrEx>
          <w:tblLayout w:type="fixed"/>
          <w:tblCellMar>
            <w:top w:w="0" w:type="dxa"/>
            <w:left w:w="108" w:type="dxa"/>
            <w:bottom w:w="0" w:type="dxa"/>
            <w:right w:w="108" w:type="dxa"/>
          </w:tblCellMar>
        </w:tblPrEx>
        <w:trPr>
          <w:trHeight w:val="621" w:hRule="exact"/>
        </w:trPr>
        <w:tc>
          <w:tcPr>
            <w:tcW w:w="3429" w:type="dxa"/>
            <w:tcBorders>
              <w:top w:val="nil"/>
              <w:left w:val="nil"/>
              <w:bottom w:val="nil"/>
              <w:right w:val="single" w:color="auto" w:sz="4" w:space="0"/>
            </w:tcBorders>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金融机构贷款余额</w:t>
            </w:r>
          </w:p>
        </w:tc>
        <w:tc>
          <w:tcPr>
            <w:tcW w:w="2410" w:type="dxa"/>
            <w:tcBorders>
              <w:top w:val="nil"/>
              <w:left w:val="nil"/>
              <w:bottom w:val="nil"/>
              <w:right w:val="nil"/>
            </w:tcBorders>
            <w:vAlign w:val="center"/>
          </w:tcPr>
          <w:p>
            <w:pPr>
              <w:jc w:val="center"/>
              <w:rPr>
                <w:color w:val="000000"/>
                <w:sz w:val="24"/>
              </w:rPr>
            </w:pPr>
            <w:r>
              <w:rPr>
                <w:color w:val="000000"/>
                <w:sz w:val="24"/>
              </w:rPr>
              <w:t>3325834</w:t>
            </w:r>
          </w:p>
        </w:tc>
        <w:tc>
          <w:tcPr>
            <w:tcW w:w="1961" w:type="dxa"/>
            <w:tcBorders>
              <w:top w:val="nil"/>
              <w:left w:val="nil"/>
              <w:bottom w:val="nil"/>
              <w:right w:val="nil"/>
            </w:tcBorders>
            <w:vAlign w:val="center"/>
          </w:tcPr>
          <w:p>
            <w:pPr>
              <w:jc w:val="center"/>
              <w:rPr>
                <w:color w:val="000000"/>
                <w:sz w:val="24"/>
              </w:rPr>
            </w:pPr>
            <w:r>
              <w:rPr>
                <w:color w:val="000000"/>
                <w:sz w:val="24"/>
              </w:rPr>
              <w:t>22.5</w:t>
            </w:r>
          </w:p>
        </w:tc>
      </w:tr>
      <w:tr>
        <w:tblPrEx>
          <w:tblLayout w:type="fixed"/>
          <w:tblCellMar>
            <w:top w:w="0" w:type="dxa"/>
            <w:left w:w="108" w:type="dxa"/>
            <w:bottom w:w="0" w:type="dxa"/>
            <w:right w:w="108" w:type="dxa"/>
          </w:tblCellMar>
        </w:tblPrEx>
        <w:trPr>
          <w:trHeight w:val="621" w:hRule="exact"/>
        </w:trPr>
        <w:tc>
          <w:tcPr>
            <w:tcW w:w="3429" w:type="dxa"/>
            <w:tcBorders>
              <w:top w:val="nil"/>
              <w:left w:val="nil"/>
              <w:bottom w:val="nil"/>
              <w:right w:val="single" w:color="auto" w:sz="4" w:space="0"/>
            </w:tcBorders>
            <w:shd w:val="clear" w:color="auto" w:fill="auto"/>
            <w:vAlign w:val="center"/>
          </w:tcPr>
          <w:p>
            <w:pPr>
              <w:ind w:firstLine="240" w:firstLineChars="100"/>
              <w:rPr>
                <w:rFonts w:ascii="方正仿宋_GBK" w:hAnsi="方正仿宋_GBK" w:eastAsia="方正仿宋_GBK" w:cs="方正仿宋_GBK"/>
                <w:sz w:val="24"/>
              </w:rPr>
            </w:pPr>
            <w:r>
              <w:rPr>
                <w:rFonts w:hint="eastAsia" w:ascii="方正仿宋_GBK" w:hAnsi="方正仿宋_GBK" w:eastAsia="方正仿宋_GBK" w:cs="方正仿宋_GBK"/>
                <w:sz w:val="24"/>
              </w:rPr>
              <w:t>＃短期贷款</w:t>
            </w:r>
          </w:p>
        </w:tc>
        <w:tc>
          <w:tcPr>
            <w:tcW w:w="2410" w:type="dxa"/>
            <w:tcBorders>
              <w:top w:val="nil"/>
              <w:left w:val="nil"/>
              <w:bottom w:val="nil"/>
              <w:right w:val="nil"/>
            </w:tcBorders>
            <w:shd w:val="clear" w:color="auto" w:fill="FFFFFF"/>
            <w:vAlign w:val="center"/>
          </w:tcPr>
          <w:p>
            <w:pPr>
              <w:jc w:val="center"/>
              <w:rPr>
                <w:color w:val="000000"/>
                <w:sz w:val="24"/>
              </w:rPr>
            </w:pPr>
            <w:r>
              <w:rPr>
                <w:color w:val="000000"/>
                <w:sz w:val="24"/>
              </w:rPr>
              <w:t>521833</w:t>
            </w:r>
          </w:p>
        </w:tc>
        <w:tc>
          <w:tcPr>
            <w:tcW w:w="1961" w:type="dxa"/>
            <w:tcBorders>
              <w:top w:val="nil"/>
              <w:left w:val="nil"/>
              <w:bottom w:val="nil"/>
              <w:right w:val="nil"/>
            </w:tcBorders>
            <w:vAlign w:val="center"/>
          </w:tcPr>
          <w:p>
            <w:pPr>
              <w:jc w:val="center"/>
              <w:rPr>
                <w:color w:val="000000"/>
                <w:sz w:val="24"/>
              </w:rPr>
            </w:pPr>
            <w:r>
              <w:rPr>
                <w:color w:val="000000"/>
                <w:sz w:val="24"/>
              </w:rPr>
              <w:t>19.6</w:t>
            </w:r>
          </w:p>
        </w:tc>
      </w:tr>
      <w:tr>
        <w:tblPrEx>
          <w:tblLayout w:type="fixed"/>
          <w:tblCellMar>
            <w:top w:w="0" w:type="dxa"/>
            <w:left w:w="108" w:type="dxa"/>
            <w:bottom w:w="0" w:type="dxa"/>
            <w:right w:w="108" w:type="dxa"/>
          </w:tblCellMar>
        </w:tblPrEx>
        <w:trPr>
          <w:trHeight w:val="621" w:hRule="exact"/>
        </w:trPr>
        <w:tc>
          <w:tcPr>
            <w:tcW w:w="3429" w:type="dxa"/>
            <w:tcBorders>
              <w:top w:val="nil"/>
              <w:left w:val="nil"/>
              <w:bottom w:val="nil"/>
              <w:right w:val="single" w:color="auto" w:sz="4" w:space="0"/>
            </w:tcBorders>
            <w:shd w:val="clear" w:color="auto" w:fill="auto"/>
            <w:vAlign w:val="center"/>
          </w:tcPr>
          <w:p>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中长期贷款</w:t>
            </w:r>
          </w:p>
        </w:tc>
        <w:tc>
          <w:tcPr>
            <w:tcW w:w="2410" w:type="dxa"/>
            <w:tcBorders>
              <w:top w:val="nil"/>
              <w:left w:val="nil"/>
              <w:bottom w:val="nil"/>
              <w:right w:val="nil"/>
            </w:tcBorders>
            <w:shd w:val="clear" w:color="auto" w:fill="FFFFFF"/>
            <w:vAlign w:val="center"/>
          </w:tcPr>
          <w:p>
            <w:pPr>
              <w:jc w:val="center"/>
              <w:rPr>
                <w:color w:val="000000"/>
                <w:sz w:val="24"/>
              </w:rPr>
            </w:pPr>
            <w:r>
              <w:rPr>
                <w:color w:val="000000"/>
                <w:sz w:val="24"/>
              </w:rPr>
              <w:t>2762747</w:t>
            </w:r>
          </w:p>
        </w:tc>
        <w:tc>
          <w:tcPr>
            <w:tcW w:w="1961" w:type="dxa"/>
            <w:tcBorders>
              <w:top w:val="nil"/>
              <w:left w:val="nil"/>
              <w:bottom w:val="nil"/>
              <w:right w:val="nil"/>
            </w:tcBorders>
            <w:vAlign w:val="center"/>
          </w:tcPr>
          <w:p>
            <w:pPr>
              <w:jc w:val="center"/>
              <w:rPr>
                <w:color w:val="000000"/>
                <w:sz w:val="24"/>
              </w:rPr>
            </w:pPr>
            <w:r>
              <w:rPr>
                <w:color w:val="000000"/>
                <w:sz w:val="24"/>
              </w:rPr>
              <w:t>22.2</w:t>
            </w:r>
          </w:p>
        </w:tc>
      </w:tr>
      <w:tr>
        <w:tblPrEx>
          <w:tblLayout w:type="fixed"/>
          <w:tblCellMar>
            <w:top w:w="0" w:type="dxa"/>
            <w:left w:w="108" w:type="dxa"/>
            <w:bottom w:w="0" w:type="dxa"/>
            <w:right w:w="108" w:type="dxa"/>
          </w:tblCellMar>
        </w:tblPrEx>
        <w:trPr>
          <w:trHeight w:val="621" w:hRule="exact"/>
        </w:trPr>
        <w:tc>
          <w:tcPr>
            <w:tcW w:w="3429" w:type="dxa"/>
            <w:tcBorders>
              <w:top w:val="nil"/>
              <w:left w:val="nil"/>
              <w:right w:val="single" w:color="auto" w:sz="4" w:space="0"/>
            </w:tcBorders>
            <w:vAlign w:val="center"/>
          </w:tcPr>
          <w:p>
            <w:pPr>
              <w:ind w:firstLine="240" w:firstLineChars="100"/>
              <w:rPr>
                <w:rFonts w:ascii="方正仿宋_GBK" w:hAnsi="方正仿宋_GBK" w:eastAsia="方正仿宋_GBK" w:cs="方正仿宋_GBK"/>
                <w:sz w:val="24"/>
              </w:rPr>
            </w:pPr>
            <w:r>
              <w:rPr>
                <w:rFonts w:hint="eastAsia" w:ascii="方正仿宋_GBK" w:hAnsi="方正仿宋_GBK" w:eastAsia="方正仿宋_GBK" w:cs="方正仿宋_GBK"/>
                <w:sz w:val="24"/>
              </w:rPr>
              <w:t>＃个体经营</w:t>
            </w:r>
            <w:r>
              <w:rPr>
                <w:rFonts w:ascii="方正仿宋_GBK" w:hAnsi="方正仿宋_GBK" w:eastAsia="方正仿宋_GBK" w:cs="方正仿宋_GBK"/>
                <w:sz w:val="24"/>
              </w:rPr>
              <w:t>、</w:t>
            </w:r>
            <w:r>
              <w:rPr>
                <w:rFonts w:hint="eastAsia" w:ascii="方正仿宋_GBK" w:hAnsi="方正仿宋_GBK" w:eastAsia="方正仿宋_GBK" w:cs="方正仿宋_GBK"/>
                <w:sz w:val="24"/>
              </w:rPr>
              <w:t>个人消费贷款</w:t>
            </w:r>
          </w:p>
        </w:tc>
        <w:tc>
          <w:tcPr>
            <w:tcW w:w="2410" w:type="dxa"/>
            <w:tcBorders>
              <w:top w:val="nil"/>
              <w:left w:val="nil"/>
              <w:right w:val="nil"/>
            </w:tcBorders>
            <w:vAlign w:val="center"/>
          </w:tcPr>
          <w:p>
            <w:pPr>
              <w:jc w:val="center"/>
              <w:rPr>
                <w:color w:val="000000"/>
                <w:sz w:val="24"/>
              </w:rPr>
            </w:pPr>
            <w:r>
              <w:rPr>
                <w:color w:val="000000"/>
                <w:sz w:val="24"/>
              </w:rPr>
              <w:t>1212738</w:t>
            </w:r>
          </w:p>
        </w:tc>
        <w:tc>
          <w:tcPr>
            <w:tcW w:w="1961" w:type="dxa"/>
            <w:tcBorders>
              <w:top w:val="nil"/>
              <w:left w:val="nil"/>
              <w:right w:val="nil"/>
            </w:tcBorders>
            <w:vAlign w:val="center"/>
          </w:tcPr>
          <w:p>
            <w:pPr>
              <w:jc w:val="center"/>
              <w:rPr>
                <w:color w:val="000000"/>
                <w:sz w:val="24"/>
              </w:rPr>
            </w:pPr>
            <w:r>
              <w:rPr>
                <w:color w:val="000000"/>
                <w:sz w:val="24"/>
              </w:rPr>
              <w:t>8.3</w:t>
            </w:r>
          </w:p>
        </w:tc>
      </w:tr>
      <w:tr>
        <w:tblPrEx>
          <w:tblLayout w:type="fixed"/>
          <w:tblCellMar>
            <w:top w:w="0" w:type="dxa"/>
            <w:left w:w="108" w:type="dxa"/>
            <w:bottom w:w="0" w:type="dxa"/>
            <w:right w:w="108" w:type="dxa"/>
          </w:tblCellMar>
        </w:tblPrEx>
        <w:trPr>
          <w:trHeight w:val="621" w:hRule="exact"/>
        </w:trPr>
        <w:tc>
          <w:tcPr>
            <w:tcW w:w="3429" w:type="dxa"/>
            <w:tcBorders>
              <w:top w:val="nil"/>
              <w:left w:val="nil"/>
              <w:bottom w:val="single" w:color="auto" w:sz="4" w:space="0"/>
              <w:right w:val="single" w:color="auto" w:sz="4" w:space="0"/>
            </w:tcBorders>
            <w:vAlign w:val="center"/>
          </w:tcPr>
          <w:p>
            <w:pPr>
              <w:ind w:firstLine="240" w:firstLineChars="100"/>
              <w:rPr>
                <w:rFonts w:ascii="方正仿宋_GBK" w:hAnsi="方正仿宋_GBK" w:eastAsia="方正仿宋_GBK" w:cs="方正仿宋_GBK"/>
                <w:sz w:val="24"/>
              </w:rPr>
            </w:pPr>
            <w:r>
              <w:rPr>
                <w:rFonts w:hint="eastAsia" w:ascii="方正仿宋_GBK" w:hAnsi="方正仿宋_GBK" w:eastAsia="方正仿宋_GBK" w:cs="方正仿宋_GBK"/>
                <w:sz w:val="24"/>
              </w:rPr>
              <w:t>＃不良贷款</w:t>
            </w:r>
          </w:p>
        </w:tc>
        <w:tc>
          <w:tcPr>
            <w:tcW w:w="2410" w:type="dxa"/>
            <w:tcBorders>
              <w:top w:val="nil"/>
              <w:left w:val="nil"/>
              <w:bottom w:val="single" w:color="auto" w:sz="4" w:space="0"/>
              <w:right w:val="nil"/>
            </w:tcBorders>
            <w:vAlign w:val="center"/>
          </w:tcPr>
          <w:p>
            <w:pPr>
              <w:jc w:val="center"/>
              <w:rPr>
                <w:color w:val="000000"/>
                <w:sz w:val="24"/>
              </w:rPr>
            </w:pPr>
            <w:r>
              <w:rPr>
                <w:color w:val="000000"/>
                <w:sz w:val="24"/>
              </w:rPr>
              <w:t>9870</w:t>
            </w:r>
          </w:p>
        </w:tc>
        <w:tc>
          <w:tcPr>
            <w:tcW w:w="1961" w:type="dxa"/>
            <w:tcBorders>
              <w:top w:val="nil"/>
              <w:left w:val="nil"/>
              <w:bottom w:val="single" w:color="auto" w:sz="4" w:space="0"/>
              <w:right w:val="nil"/>
            </w:tcBorders>
            <w:vAlign w:val="center"/>
          </w:tcPr>
          <w:p>
            <w:pPr>
              <w:jc w:val="center"/>
              <w:rPr>
                <w:color w:val="000000"/>
                <w:sz w:val="24"/>
              </w:rPr>
            </w:pPr>
            <w:r>
              <w:rPr>
                <w:color w:val="000000"/>
                <w:sz w:val="24"/>
              </w:rPr>
              <w:t>-12.8</w:t>
            </w:r>
          </w:p>
        </w:tc>
      </w:tr>
    </w:tbl>
    <w:p>
      <w:pPr>
        <w:ind w:firstLine="640" w:firstLineChars="200"/>
        <w:jc w:val="left"/>
        <w:rPr>
          <w:rFonts w:ascii="方正仿宋_GBK" w:hAnsi="方正仿宋_GBK" w:eastAsia="方正仿宋_GBK" w:cs="方正仿宋_GBK"/>
          <w:kern w:val="0"/>
          <w:sz w:val="32"/>
          <w:szCs w:val="32"/>
        </w:rPr>
      </w:pPr>
    </w:p>
    <w:p>
      <w:pPr>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保险业稳定发展。全年保险机构实现保费收入</w:t>
      </w:r>
      <w:r>
        <w:rPr>
          <w:rFonts w:ascii="方正仿宋_GBK" w:hAnsi="方正仿宋_GBK" w:eastAsia="方正仿宋_GBK" w:cs="方正仿宋_GBK"/>
          <w:kern w:val="0"/>
          <w:sz w:val="32"/>
          <w:szCs w:val="32"/>
        </w:rPr>
        <w:t>98669</w:t>
      </w:r>
      <w:r>
        <w:rPr>
          <w:rFonts w:hint="eastAsia" w:ascii="方正仿宋_GBK" w:hAnsi="方正仿宋_GBK" w:eastAsia="方正仿宋_GBK" w:cs="方正仿宋_GBK"/>
          <w:kern w:val="0"/>
          <w:sz w:val="32"/>
          <w:szCs w:val="32"/>
        </w:rPr>
        <w:t>万元，增长</w:t>
      </w:r>
      <w:r>
        <w:rPr>
          <w:rFonts w:ascii="方正仿宋_GBK" w:hAnsi="方正仿宋_GBK" w:eastAsia="方正仿宋_GBK" w:cs="方正仿宋_GBK"/>
          <w:kern w:val="0"/>
          <w:sz w:val="32"/>
          <w:szCs w:val="32"/>
        </w:rPr>
        <w:t>11.2</w:t>
      </w:r>
      <w:r>
        <w:rPr>
          <w:rFonts w:hint="eastAsia" w:ascii="方正仿宋_GBK" w:hAnsi="方正仿宋_GBK" w:eastAsia="方正仿宋_GBK" w:cs="方正仿宋_GBK"/>
          <w:kern w:val="0"/>
          <w:sz w:val="32"/>
          <w:szCs w:val="32"/>
        </w:rPr>
        <w:t>%。理赔金额</w:t>
      </w:r>
      <w:r>
        <w:rPr>
          <w:rFonts w:ascii="方正仿宋_GBK" w:hAnsi="方正仿宋_GBK" w:eastAsia="方正仿宋_GBK" w:cs="方正仿宋_GBK"/>
          <w:kern w:val="0"/>
          <w:sz w:val="32"/>
          <w:szCs w:val="32"/>
        </w:rPr>
        <w:t>31623</w:t>
      </w:r>
      <w:r>
        <w:rPr>
          <w:rFonts w:hint="eastAsia" w:ascii="方正仿宋_GBK" w:hAnsi="方正仿宋_GBK" w:eastAsia="方正仿宋_GBK" w:cs="方正仿宋_GBK"/>
          <w:kern w:val="0"/>
          <w:sz w:val="32"/>
          <w:szCs w:val="32"/>
        </w:rPr>
        <w:t>万元，增长6.1%。</w:t>
      </w:r>
    </w:p>
    <w:p>
      <w:pPr>
        <w:ind w:firstLine="640" w:firstLineChars="200"/>
        <w:jc w:val="left"/>
        <w:rPr>
          <w:rFonts w:ascii="方正仿宋_GBK" w:hAnsi="方正仿宋_GBK" w:eastAsia="方正仿宋_GBK" w:cs="方正仿宋_GBK"/>
          <w:kern w:val="0"/>
          <w:sz w:val="32"/>
          <w:szCs w:val="32"/>
        </w:rPr>
      </w:pPr>
    </w:p>
    <w:p>
      <w:pPr>
        <w:jc w:val="center"/>
        <w:rPr>
          <w:rStyle w:val="7"/>
          <w:rFonts w:ascii="方正仿宋_GBK" w:hAnsi="方正仿宋_GBK" w:eastAsia="方正仿宋_GBK" w:cs="方正仿宋_GBK"/>
          <w:b w:val="0"/>
          <w:kern w:val="0"/>
          <w:sz w:val="32"/>
          <w:szCs w:val="32"/>
        </w:rPr>
      </w:pPr>
      <w:r>
        <w:drawing>
          <wp:inline distT="0" distB="0" distL="0" distR="0">
            <wp:extent cx="4572000" cy="2743200"/>
            <wp:effectExtent l="0" t="0" r="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5"/>
        <w:spacing w:before="0" w:beforeAutospacing="0" w:after="0" w:afterAutospacing="0"/>
        <w:ind w:left="44" w:right="44" w:firstLine="643" w:firstLineChars="200"/>
        <w:jc w:val="both"/>
        <w:rPr>
          <w:rStyle w:val="7"/>
          <w:rFonts w:ascii="方正黑体_GBK" w:hAnsi="方正黑体_GBK" w:eastAsia="方正黑体_GBK" w:cs="方正黑体_GBK"/>
          <w:sz w:val="32"/>
          <w:szCs w:val="32"/>
        </w:rPr>
      </w:pPr>
      <w:r>
        <w:rPr>
          <w:rStyle w:val="7"/>
          <w:rFonts w:hint="eastAsia" w:ascii="方正黑体_GBK" w:hAnsi="方正黑体_GBK" w:eastAsia="方正黑体_GBK" w:cs="方正黑体_GBK"/>
          <w:sz w:val="32"/>
          <w:szCs w:val="32"/>
        </w:rPr>
        <w:t>九、人民生活和社会保障</w:t>
      </w:r>
    </w:p>
    <w:p>
      <w:pPr>
        <w:pStyle w:val="5"/>
        <w:spacing w:before="0" w:beforeAutospacing="0" w:after="0" w:afterAutospacing="0"/>
        <w:ind w:left="44" w:right="44" w:firstLine="640" w:firstLineChars="200"/>
        <w:rPr>
          <w:rStyle w:val="7"/>
          <w:rFonts w:ascii="方正仿宋_GBK" w:hAnsi="方正仿宋_GBK" w:eastAsia="方正仿宋_GBK" w:cs="方正仿宋_GBK"/>
          <w:b w:val="0"/>
          <w:sz w:val="32"/>
          <w:szCs w:val="32"/>
        </w:rPr>
      </w:pPr>
      <w:r>
        <w:rPr>
          <w:rStyle w:val="7"/>
          <w:rFonts w:hint="eastAsia" w:ascii="方正仿宋_GBK" w:hAnsi="方正仿宋_GBK" w:eastAsia="方正仿宋_GBK" w:cs="方正仿宋_GBK"/>
          <w:b w:val="0"/>
          <w:sz w:val="32"/>
          <w:szCs w:val="32"/>
        </w:rPr>
        <w:t>居民收入持续增加。全区常住居民人均可支配收入</w:t>
      </w:r>
      <w:r>
        <w:rPr>
          <w:rStyle w:val="7"/>
          <w:rFonts w:ascii="方正仿宋_GBK" w:hAnsi="方正仿宋_GBK" w:eastAsia="方正仿宋_GBK" w:cs="方正仿宋_GBK"/>
          <w:b w:val="0"/>
          <w:sz w:val="32"/>
          <w:szCs w:val="32"/>
        </w:rPr>
        <w:t>29813</w:t>
      </w:r>
      <w:r>
        <w:rPr>
          <w:rStyle w:val="7"/>
          <w:rFonts w:hint="eastAsia" w:ascii="方正仿宋_GBK" w:hAnsi="方正仿宋_GBK" w:eastAsia="方正仿宋_GBK" w:cs="方正仿宋_GBK"/>
          <w:b w:val="0"/>
          <w:sz w:val="32"/>
          <w:szCs w:val="32"/>
        </w:rPr>
        <w:t>元，比上年增长10.7%。</w:t>
      </w:r>
    </w:p>
    <w:p>
      <w:pPr>
        <w:pStyle w:val="5"/>
        <w:spacing w:before="0" w:beforeAutospacing="0" w:after="0" w:afterAutospacing="0"/>
        <w:ind w:right="44"/>
        <w:jc w:val="both"/>
        <w:rPr>
          <w:rStyle w:val="7"/>
          <w:rFonts w:ascii="方正仿宋_GBK" w:hAnsi="方正仿宋_GBK" w:eastAsia="方正仿宋_GBK" w:cs="方正仿宋_GBK"/>
          <w:b w:val="0"/>
          <w:sz w:val="28"/>
        </w:rPr>
      </w:pPr>
    </w:p>
    <w:p>
      <w:pPr>
        <w:pStyle w:val="5"/>
        <w:spacing w:before="0" w:beforeAutospacing="0" w:after="0" w:afterAutospacing="0"/>
        <w:ind w:right="44"/>
        <w:jc w:val="right"/>
        <w:rPr>
          <w:rStyle w:val="7"/>
          <w:rFonts w:ascii="方正仿宋_GBK" w:hAnsi="方正仿宋_GBK" w:eastAsia="方正仿宋_GBK" w:cs="方正仿宋_GBK"/>
          <w:b w:val="0"/>
          <w:sz w:val="28"/>
        </w:rPr>
      </w:pPr>
      <w:r>
        <w:drawing>
          <wp:inline distT="0" distB="0" distL="0" distR="0">
            <wp:extent cx="5420995" cy="2867660"/>
            <wp:effectExtent l="0" t="0" r="8255" b="889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5"/>
        <w:spacing w:before="0" w:beforeAutospacing="0" w:after="0" w:afterAutospacing="0"/>
        <w:ind w:left="44" w:right="44" w:firstLine="640" w:firstLineChars="200"/>
        <w:jc w:val="both"/>
        <w:rPr>
          <w:rStyle w:val="7"/>
          <w:rFonts w:ascii="方正仿宋_GBK" w:hAnsi="方正仿宋_GBK" w:eastAsia="方正仿宋_GBK" w:cs="方正仿宋_GBK"/>
          <w:b w:val="0"/>
          <w:sz w:val="32"/>
          <w:szCs w:val="32"/>
        </w:rPr>
      </w:pPr>
      <w:r>
        <w:rPr>
          <w:rStyle w:val="7"/>
          <w:rFonts w:hint="eastAsia" w:ascii="方正仿宋_GBK" w:hAnsi="方正仿宋_GBK" w:eastAsia="方正仿宋_GBK" w:cs="方正仿宋_GBK"/>
          <w:b w:val="0"/>
          <w:sz w:val="32"/>
          <w:szCs w:val="32"/>
        </w:rPr>
        <w:t>城镇常住居民人均可支配收入</w:t>
      </w:r>
      <w:r>
        <w:rPr>
          <w:rStyle w:val="7"/>
          <w:rFonts w:ascii="方正仿宋_GBK" w:hAnsi="方正仿宋_GBK" w:eastAsia="方正仿宋_GBK" w:cs="方正仿宋_GBK"/>
          <w:b w:val="0"/>
          <w:sz w:val="32"/>
          <w:szCs w:val="32"/>
        </w:rPr>
        <w:t>38362</w:t>
      </w:r>
      <w:r>
        <w:rPr>
          <w:rStyle w:val="7"/>
          <w:rFonts w:hint="eastAsia" w:ascii="方正仿宋_GBK" w:hAnsi="方正仿宋_GBK" w:eastAsia="方正仿宋_GBK" w:cs="方正仿宋_GBK"/>
          <w:b w:val="0"/>
          <w:sz w:val="32"/>
          <w:szCs w:val="32"/>
        </w:rPr>
        <w:t>元，增长</w:t>
      </w:r>
      <w:r>
        <w:rPr>
          <w:rStyle w:val="7"/>
          <w:rFonts w:ascii="方正仿宋_GBK" w:hAnsi="方正仿宋_GBK" w:eastAsia="方正仿宋_GBK" w:cs="方正仿宋_GBK"/>
          <w:b w:val="0"/>
          <w:sz w:val="32"/>
          <w:szCs w:val="32"/>
        </w:rPr>
        <w:t>9.4</w:t>
      </w:r>
      <w:r>
        <w:rPr>
          <w:rStyle w:val="7"/>
          <w:rFonts w:hint="eastAsia" w:ascii="方正仿宋_GBK" w:hAnsi="方正仿宋_GBK" w:eastAsia="方正仿宋_GBK" w:cs="方正仿宋_GBK"/>
          <w:b w:val="0"/>
          <w:sz w:val="32"/>
          <w:szCs w:val="32"/>
        </w:rPr>
        <w:t>%。其中，人均工资性收入</w:t>
      </w:r>
      <w:r>
        <w:rPr>
          <w:rStyle w:val="7"/>
          <w:rFonts w:ascii="方正仿宋_GBK" w:hAnsi="方正仿宋_GBK" w:eastAsia="方正仿宋_GBK" w:cs="方正仿宋_GBK"/>
          <w:b w:val="0"/>
          <w:sz w:val="32"/>
          <w:szCs w:val="32"/>
        </w:rPr>
        <w:t>22696</w:t>
      </w:r>
      <w:r>
        <w:rPr>
          <w:rStyle w:val="7"/>
          <w:rFonts w:hint="eastAsia" w:ascii="方正仿宋_GBK" w:hAnsi="方正仿宋_GBK" w:eastAsia="方正仿宋_GBK" w:cs="方正仿宋_GBK"/>
          <w:b w:val="0"/>
          <w:sz w:val="32"/>
          <w:szCs w:val="32"/>
        </w:rPr>
        <w:t>元，增长</w:t>
      </w:r>
      <w:r>
        <w:rPr>
          <w:rStyle w:val="7"/>
          <w:rFonts w:ascii="方正仿宋_GBK" w:hAnsi="方正仿宋_GBK" w:eastAsia="方正仿宋_GBK" w:cs="方正仿宋_GBK"/>
          <w:b w:val="0"/>
          <w:sz w:val="32"/>
          <w:szCs w:val="32"/>
        </w:rPr>
        <w:t>9.4</w:t>
      </w:r>
      <w:r>
        <w:rPr>
          <w:rStyle w:val="7"/>
          <w:rFonts w:hint="eastAsia" w:ascii="方正仿宋_GBK" w:hAnsi="方正仿宋_GBK" w:eastAsia="方正仿宋_GBK" w:cs="方正仿宋_GBK"/>
          <w:b w:val="0"/>
          <w:sz w:val="32"/>
          <w:szCs w:val="32"/>
        </w:rPr>
        <w:t>%；人均经营净收入</w:t>
      </w:r>
      <w:r>
        <w:rPr>
          <w:rStyle w:val="7"/>
          <w:rFonts w:ascii="方正仿宋_GBK" w:hAnsi="方正仿宋_GBK" w:eastAsia="方正仿宋_GBK" w:cs="方正仿宋_GBK"/>
          <w:b w:val="0"/>
          <w:sz w:val="32"/>
          <w:szCs w:val="32"/>
        </w:rPr>
        <w:t>4288</w:t>
      </w:r>
      <w:r>
        <w:rPr>
          <w:rStyle w:val="7"/>
          <w:rFonts w:hint="eastAsia" w:ascii="方正仿宋_GBK" w:hAnsi="方正仿宋_GBK" w:eastAsia="方正仿宋_GBK" w:cs="方正仿宋_GBK"/>
          <w:b w:val="0"/>
          <w:sz w:val="32"/>
          <w:szCs w:val="32"/>
        </w:rPr>
        <w:t>元，增长10.6%；人均财产净收入</w:t>
      </w:r>
      <w:r>
        <w:rPr>
          <w:rStyle w:val="7"/>
          <w:rFonts w:ascii="方正仿宋_GBK" w:hAnsi="方正仿宋_GBK" w:eastAsia="方正仿宋_GBK" w:cs="方正仿宋_GBK"/>
          <w:b w:val="0"/>
          <w:sz w:val="32"/>
          <w:szCs w:val="32"/>
        </w:rPr>
        <w:t>2616</w:t>
      </w:r>
      <w:r>
        <w:rPr>
          <w:rStyle w:val="7"/>
          <w:rFonts w:hint="eastAsia" w:ascii="方正仿宋_GBK" w:hAnsi="方正仿宋_GBK" w:eastAsia="方正仿宋_GBK" w:cs="方正仿宋_GBK"/>
          <w:b w:val="0"/>
          <w:sz w:val="32"/>
          <w:szCs w:val="32"/>
        </w:rPr>
        <w:t>元，增长</w:t>
      </w:r>
      <w:r>
        <w:rPr>
          <w:rStyle w:val="7"/>
          <w:rFonts w:ascii="方正仿宋_GBK" w:hAnsi="方正仿宋_GBK" w:eastAsia="方正仿宋_GBK" w:cs="方正仿宋_GBK"/>
          <w:b w:val="0"/>
          <w:sz w:val="32"/>
          <w:szCs w:val="32"/>
        </w:rPr>
        <w:t>7.2</w:t>
      </w:r>
      <w:r>
        <w:rPr>
          <w:rStyle w:val="7"/>
          <w:rFonts w:hint="eastAsia" w:ascii="方正仿宋_GBK" w:hAnsi="方正仿宋_GBK" w:eastAsia="方正仿宋_GBK" w:cs="方正仿宋_GBK"/>
          <w:b w:val="0"/>
          <w:sz w:val="32"/>
          <w:szCs w:val="32"/>
        </w:rPr>
        <w:t>%；人均转移净收入</w:t>
      </w:r>
      <w:r>
        <w:rPr>
          <w:rStyle w:val="7"/>
          <w:rFonts w:ascii="方正仿宋_GBK" w:hAnsi="方正仿宋_GBK" w:eastAsia="方正仿宋_GBK" w:cs="方正仿宋_GBK"/>
          <w:b w:val="0"/>
          <w:sz w:val="32"/>
          <w:szCs w:val="32"/>
        </w:rPr>
        <w:t>8762</w:t>
      </w:r>
      <w:r>
        <w:rPr>
          <w:rStyle w:val="7"/>
          <w:rFonts w:hint="eastAsia" w:ascii="方正仿宋_GBK" w:hAnsi="方正仿宋_GBK" w:eastAsia="方正仿宋_GBK" w:cs="方正仿宋_GBK"/>
          <w:b w:val="0"/>
          <w:sz w:val="32"/>
          <w:szCs w:val="32"/>
        </w:rPr>
        <w:t>元，增长9.5%。城镇居民恩格尔系数</w:t>
      </w:r>
      <w:r>
        <w:rPr>
          <w:rStyle w:val="7"/>
          <w:rFonts w:ascii="方正仿宋_GBK" w:hAnsi="方正仿宋_GBK" w:eastAsia="方正仿宋_GBK" w:cs="方正仿宋_GBK"/>
          <w:b w:val="0"/>
          <w:sz w:val="32"/>
          <w:szCs w:val="32"/>
        </w:rPr>
        <w:t>3</w:t>
      </w:r>
      <w:r>
        <w:rPr>
          <w:rStyle w:val="7"/>
          <w:rFonts w:hint="eastAsia" w:ascii="方正仿宋_GBK" w:hAnsi="方正仿宋_GBK" w:eastAsia="方正仿宋_GBK" w:cs="方正仿宋_GBK"/>
          <w:b w:val="0"/>
          <w:sz w:val="32"/>
          <w:szCs w:val="32"/>
        </w:rPr>
        <w:t>1.82%，比上年下降0.11个百分点。城镇居民人均住房面积</w:t>
      </w:r>
      <w:r>
        <w:rPr>
          <w:rStyle w:val="7"/>
          <w:rFonts w:ascii="方正仿宋_GBK" w:hAnsi="方正仿宋_GBK" w:eastAsia="方正仿宋_GBK" w:cs="方正仿宋_GBK"/>
          <w:b w:val="0"/>
          <w:sz w:val="32"/>
          <w:szCs w:val="32"/>
        </w:rPr>
        <w:t>4</w:t>
      </w:r>
      <w:r>
        <w:rPr>
          <w:rStyle w:val="7"/>
          <w:rFonts w:hint="eastAsia" w:ascii="方正仿宋_GBK" w:hAnsi="方正仿宋_GBK" w:eastAsia="方正仿宋_GBK" w:cs="方正仿宋_GBK"/>
          <w:b w:val="0"/>
          <w:sz w:val="32"/>
          <w:szCs w:val="32"/>
        </w:rPr>
        <w:t>4.23平方米，比上年增长1.7</w:t>
      </w:r>
      <w:r>
        <w:rPr>
          <w:rStyle w:val="7"/>
          <w:rFonts w:ascii="方正仿宋_GBK" w:hAnsi="方正仿宋_GBK" w:eastAsia="方正仿宋_GBK" w:cs="方正仿宋_GBK"/>
          <w:b w:val="0"/>
          <w:sz w:val="32"/>
          <w:szCs w:val="32"/>
        </w:rPr>
        <w:t>%</w:t>
      </w:r>
      <w:r>
        <w:rPr>
          <w:rStyle w:val="7"/>
          <w:rFonts w:hint="eastAsia" w:ascii="方正仿宋_GBK" w:hAnsi="方正仿宋_GBK" w:eastAsia="方正仿宋_GBK" w:cs="方正仿宋_GBK"/>
          <w:b w:val="0"/>
          <w:sz w:val="32"/>
          <w:szCs w:val="32"/>
        </w:rPr>
        <w:t>。</w:t>
      </w:r>
    </w:p>
    <w:p>
      <w:pPr>
        <w:pStyle w:val="5"/>
        <w:spacing w:before="0" w:beforeAutospacing="0" w:after="0" w:afterAutospacing="0"/>
        <w:ind w:left="44" w:right="44" w:firstLine="640" w:firstLineChars="200"/>
        <w:jc w:val="both"/>
        <w:rPr>
          <w:rStyle w:val="7"/>
          <w:rFonts w:ascii="方正仿宋_GBK" w:hAnsi="方正仿宋_GBK" w:eastAsia="方正仿宋_GBK" w:cs="方正仿宋_GBK"/>
          <w:b w:val="0"/>
          <w:color w:val="FF0000"/>
          <w:sz w:val="32"/>
          <w:szCs w:val="32"/>
        </w:rPr>
      </w:pPr>
      <w:r>
        <w:rPr>
          <w:rStyle w:val="7"/>
          <w:rFonts w:hint="eastAsia" w:ascii="方正仿宋_GBK" w:hAnsi="方正仿宋_GBK" w:eastAsia="方正仿宋_GBK" w:cs="方正仿宋_GBK"/>
          <w:b w:val="0"/>
          <w:sz w:val="32"/>
          <w:szCs w:val="32"/>
        </w:rPr>
        <w:t>农村常住居民人均可支配收入</w:t>
      </w:r>
      <w:r>
        <w:rPr>
          <w:rStyle w:val="7"/>
          <w:rFonts w:ascii="方正仿宋_GBK" w:hAnsi="方正仿宋_GBK" w:eastAsia="方正仿宋_GBK" w:cs="方正仿宋_GBK"/>
          <w:b w:val="0"/>
          <w:sz w:val="32"/>
          <w:szCs w:val="32"/>
        </w:rPr>
        <w:t>18671</w:t>
      </w:r>
      <w:r>
        <w:rPr>
          <w:rStyle w:val="7"/>
          <w:rFonts w:hint="eastAsia" w:ascii="方正仿宋_GBK" w:hAnsi="方正仿宋_GBK" w:eastAsia="方正仿宋_GBK" w:cs="方正仿宋_GBK"/>
          <w:b w:val="0"/>
          <w:sz w:val="32"/>
          <w:szCs w:val="32"/>
        </w:rPr>
        <w:t>元，增长</w:t>
      </w:r>
      <w:r>
        <w:rPr>
          <w:rStyle w:val="7"/>
          <w:rFonts w:ascii="方正仿宋_GBK" w:hAnsi="方正仿宋_GBK" w:eastAsia="方正仿宋_GBK" w:cs="方正仿宋_GBK"/>
          <w:b w:val="0"/>
          <w:sz w:val="32"/>
          <w:szCs w:val="32"/>
        </w:rPr>
        <w:t>9.5</w:t>
      </w:r>
      <w:r>
        <w:rPr>
          <w:rStyle w:val="7"/>
          <w:rFonts w:hint="eastAsia" w:ascii="方正仿宋_GBK" w:hAnsi="方正仿宋_GBK" w:eastAsia="方正仿宋_GBK" w:cs="方正仿宋_GBK"/>
          <w:b w:val="0"/>
          <w:sz w:val="32"/>
          <w:szCs w:val="32"/>
        </w:rPr>
        <w:t>%。其中，人均工资性收入</w:t>
      </w:r>
      <w:r>
        <w:rPr>
          <w:rStyle w:val="7"/>
          <w:rFonts w:ascii="方正仿宋_GBK" w:hAnsi="方正仿宋_GBK" w:eastAsia="方正仿宋_GBK" w:cs="方正仿宋_GBK"/>
          <w:b w:val="0"/>
          <w:sz w:val="32"/>
          <w:szCs w:val="32"/>
        </w:rPr>
        <w:t>6459</w:t>
      </w:r>
      <w:r>
        <w:rPr>
          <w:rStyle w:val="7"/>
          <w:rFonts w:hint="eastAsia" w:ascii="方正仿宋_GBK" w:hAnsi="方正仿宋_GBK" w:eastAsia="方正仿宋_GBK" w:cs="方正仿宋_GBK"/>
          <w:b w:val="0"/>
          <w:sz w:val="32"/>
          <w:szCs w:val="32"/>
        </w:rPr>
        <w:t>元，增长</w:t>
      </w:r>
      <w:r>
        <w:rPr>
          <w:rStyle w:val="7"/>
          <w:rFonts w:ascii="方正仿宋_GBK" w:hAnsi="方正仿宋_GBK" w:eastAsia="方正仿宋_GBK" w:cs="方正仿宋_GBK"/>
          <w:b w:val="0"/>
          <w:sz w:val="32"/>
          <w:szCs w:val="32"/>
        </w:rPr>
        <w:t>9.5</w:t>
      </w:r>
      <w:r>
        <w:rPr>
          <w:rStyle w:val="7"/>
          <w:rFonts w:hint="eastAsia" w:ascii="方正仿宋_GBK" w:hAnsi="方正仿宋_GBK" w:eastAsia="方正仿宋_GBK" w:cs="方正仿宋_GBK"/>
          <w:b w:val="0"/>
          <w:sz w:val="32"/>
          <w:szCs w:val="32"/>
        </w:rPr>
        <w:t>%；人均经营净收入</w:t>
      </w:r>
      <w:r>
        <w:rPr>
          <w:rStyle w:val="7"/>
          <w:rFonts w:ascii="方正仿宋_GBK" w:hAnsi="方正仿宋_GBK" w:eastAsia="方正仿宋_GBK" w:cs="方正仿宋_GBK"/>
          <w:b w:val="0"/>
          <w:sz w:val="32"/>
          <w:szCs w:val="32"/>
        </w:rPr>
        <w:t>6410</w:t>
      </w:r>
      <w:r>
        <w:rPr>
          <w:rStyle w:val="7"/>
          <w:rFonts w:hint="eastAsia" w:ascii="方正仿宋_GBK" w:hAnsi="方正仿宋_GBK" w:eastAsia="方正仿宋_GBK" w:cs="方正仿宋_GBK"/>
          <w:b w:val="0"/>
          <w:sz w:val="32"/>
          <w:szCs w:val="32"/>
        </w:rPr>
        <w:t>元，增长</w:t>
      </w:r>
      <w:r>
        <w:rPr>
          <w:rStyle w:val="7"/>
          <w:rFonts w:ascii="方正仿宋_GBK" w:hAnsi="方正仿宋_GBK" w:eastAsia="方正仿宋_GBK" w:cs="方正仿宋_GBK"/>
          <w:b w:val="0"/>
          <w:sz w:val="32"/>
          <w:szCs w:val="32"/>
        </w:rPr>
        <w:t>9.5</w:t>
      </w:r>
      <w:r>
        <w:rPr>
          <w:rStyle w:val="7"/>
          <w:rFonts w:hint="eastAsia" w:ascii="方正仿宋_GBK" w:hAnsi="方正仿宋_GBK" w:eastAsia="方正仿宋_GBK" w:cs="方正仿宋_GBK"/>
          <w:b w:val="0"/>
          <w:sz w:val="32"/>
          <w:szCs w:val="32"/>
        </w:rPr>
        <w:t>%；人均财产净收入</w:t>
      </w:r>
      <w:r>
        <w:rPr>
          <w:rStyle w:val="7"/>
          <w:rFonts w:ascii="方正仿宋_GBK" w:hAnsi="方正仿宋_GBK" w:eastAsia="方正仿宋_GBK" w:cs="方正仿宋_GBK"/>
          <w:b w:val="0"/>
          <w:sz w:val="32"/>
          <w:szCs w:val="32"/>
        </w:rPr>
        <w:t>254</w:t>
      </w:r>
      <w:r>
        <w:rPr>
          <w:rStyle w:val="7"/>
          <w:rFonts w:hint="eastAsia" w:ascii="方正仿宋_GBK" w:hAnsi="方正仿宋_GBK" w:eastAsia="方正仿宋_GBK" w:cs="方正仿宋_GBK"/>
          <w:b w:val="0"/>
          <w:sz w:val="32"/>
          <w:szCs w:val="32"/>
        </w:rPr>
        <w:t>元，增长</w:t>
      </w:r>
      <w:r>
        <w:rPr>
          <w:rStyle w:val="7"/>
          <w:rFonts w:ascii="方正仿宋_GBK" w:hAnsi="方正仿宋_GBK" w:eastAsia="方正仿宋_GBK" w:cs="方正仿宋_GBK"/>
          <w:b w:val="0"/>
          <w:sz w:val="32"/>
          <w:szCs w:val="32"/>
        </w:rPr>
        <w:t>7.6</w:t>
      </w:r>
      <w:r>
        <w:rPr>
          <w:rStyle w:val="7"/>
          <w:rFonts w:hint="eastAsia" w:ascii="方正仿宋_GBK" w:hAnsi="方正仿宋_GBK" w:eastAsia="方正仿宋_GBK" w:cs="方正仿宋_GBK"/>
          <w:b w:val="0"/>
          <w:sz w:val="32"/>
          <w:szCs w:val="32"/>
        </w:rPr>
        <w:t>%；人均转移净收入</w:t>
      </w:r>
      <w:r>
        <w:rPr>
          <w:rStyle w:val="7"/>
          <w:rFonts w:ascii="方正仿宋_GBK" w:hAnsi="方正仿宋_GBK" w:eastAsia="方正仿宋_GBK" w:cs="方正仿宋_GBK"/>
          <w:b w:val="0"/>
          <w:sz w:val="32"/>
          <w:szCs w:val="32"/>
        </w:rPr>
        <w:t>5548</w:t>
      </w:r>
      <w:r>
        <w:rPr>
          <w:rStyle w:val="7"/>
          <w:rFonts w:hint="eastAsia" w:ascii="方正仿宋_GBK" w:hAnsi="方正仿宋_GBK" w:eastAsia="方正仿宋_GBK" w:cs="方正仿宋_GBK"/>
          <w:b w:val="0"/>
          <w:sz w:val="32"/>
          <w:szCs w:val="32"/>
        </w:rPr>
        <w:t>元，增长</w:t>
      </w:r>
      <w:r>
        <w:rPr>
          <w:rStyle w:val="7"/>
          <w:rFonts w:ascii="方正仿宋_GBK" w:hAnsi="方正仿宋_GBK" w:eastAsia="方正仿宋_GBK" w:cs="方正仿宋_GBK"/>
          <w:b w:val="0"/>
          <w:sz w:val="32"/>
          <w:szCs w:val="32"/>
        </w:rPr>
        <w:t>9.6</w:t>
      </w:r>
      <w:r>
        <w:rPr>
          <w:rStyle w:val="7"/>
          <w:rFonts w:hint="eastAsia" w:ascii="方正仿宋_GBK" w:hAnsi="方正仿宋_GBK" w:eastAsia="方正仿宋_GBK" w:cs="方正仿宋_GBK"/>
          <w:b w:val="0"/>
          <w:sz w:val="32"/>
          <w:szCs w:val="32"/>
        </w:rPr>
        <w:t>％。农村常住居民人均生活消费支出</w:t>
      </w:r>
      <w:r>
        <w:rPr>
          <w:rStyle w:val="7"/>
          <w:rFonts w:ascii="方正仿宋_GBK" w:hAnsi="方正仿宋_GBK" w:eastAsia="方正仿宋_GBK" w:cs="方正仿宋_GBK"/>
          <w:b w:val="0"/>
          <w:sz w:val="32"/>
          <w:szCs w:val="32"/>
        </w:rPr>
        <w:t>1</w:t>
      </w:r>
      <w:r>
        <w:rPr>
          <w:rStyle w:val="7"/>
          <w:rFonts w:hint="eastAsia" w:ascii="方正仿宋_GBK" w:hAnsi="方正仿宋_GBK" w:eastAsia="方正仿宋_GBK" w:cs="方正仿宋_GBK"/>
          <w:b w:val="0"/>
          <w:sz w:val="32"/>
          <w:szCs w:val="32"/>
        </w:rPr>
        <w:t>1782元，增长8.9%；其中，衣着745元，增长9.4%；居住2013元，增长0.8%；生活用品及服务1016元，增长6.4%；交通通信</w:t>
      </w:r>
      <w:r>
        <w:rPr>
          <w:rStyle w:val="7"/>
          <w:rFonts w:ascii="方正仿宋_GBK" w:hAnsi="方正仿宋_GBK" w:eastAsia="方正仿宋_GBK" w:cs="方正仿宋_GBK"/>
          <w:b w:val="0"/>
          <w:sz w:val="32"/>
          <w:szCs w:val="32"/>
        </w:rPr>
        <w:t>1</w:t>
      </w:r>
      <w:r>
        <w:rPr>
          <w:rStyle w:val="7"/>
          <w:rFonts w:hint="eastAsia" w:ascii="方正仿宋_GBK" w:hAnsi="方正仿宋_GBK" w:eastAsia="方正仿宋_GBK" w:cs="方正仿宋_GBK"/>
          <w:b w:val="0"/>
          <w:sz w:val="32"/>
          <w:szCs w:val="32"/>
        </w:rPr>
        <w:t>352元，增长8.1%；教育文化娱乐</w:t>
      </w:r>
      <w:r>
        <w:rPr>
          <w:rStyle w:val="7"/>
          <w:rFonts w:ascii="方正仿宋_GBK" w:hAnsi="方正仿宋_GBK" w:eastAsia="方正仿宋_GBK" w:cs="方正仿宋_GBK"/>
          <w:b w:val="0"/>
          <w:sz w:val="32"/>
          <w:szCs w:val="32"/>
        </w:rPr>
        <w:t>1</w:t>
      </w:r>
      <w:r>
        <w:rPr>
          <w:rStyle w:val="7"/>
          <w:rFonts w:hint="eastAsia" w:ascii="方正仿宋_GBK" w:hAnsi="方正仿宋_GBK" w:eastAsia="方正仿宋_GBK" w:cs="方正仿宋_GBK"/>
          <w:b w:val="0"/>
          <w:sz w:val="32"/>
          <w:szCs w:val="32"/>
        </w:rPr>
        <w:t>121元，增长9.6%；医疗保健957元，增长16.1%。农村居民恩格尔系数</w:t>
      </w:r>
      <w:r>
        <w:rPr>
          <w:rStyle w:val="7"/>
          <w:rFonts w:ascii="方正仿宋_GBK" w:hAnsi="方正仿宋_GBK" w:eastAsia="方正仿宋_GBK" w:cs="方正仿宋_GBK"/>
          <w:b w:val="0"/>
          <w:sz w:val="32"/>
          <w:szCs w:val="32"/>
        </w:rPr>
        <w:t>36.7</w:t>
      </w:r>
      <w:r>
        <w:rPr>
          <w:rStyle w:val="7"/>
          <w:rFonts w:hint="eastAsia" w:ascii="方正仿宋_GBK" w:hAnsi="方正仿宋_GBK" w:eastAsia="方正仿宋_GBK" w:cs="方正仿宋_GBK"/>
          <w:b w:val="0"/>
          <w:sz w:val="32"/>
          <w:szCs w:val="32"/>
        </w:rPr>
        <w:t>%，比上年增长1.16个百分点。农村居民人均住房面积</w:t>
      </w:r>
      <w:r>
        <w:rPr>
          <w:rStyle w:val="7"/>
          <w:rFonts w:ascii="方正仿宋_GBK" w:hAnsi="方正仿宋_GBK" w:eastAsia="方正仿宋_GBK" w:cs="方正仿宋_GBK"/>
          <w:b w:val="0"/>
          <w:sz w:val="32"/>
          <w:szCs w:val="32"/>
        </w:rPr>
        <w:t>43.47</w:t>
      </w:r>
      <w:r>
        <w:rPr>
          <w:rStyle w:val="7"/>
          <w:rFonts w:hint="eastAsia" w:ascii="方正仿宋_GBK" w:hAnsi="方正仿宋_GBK" w:eastAsia="方正仿宋_GBK" w:cs="方正仿宋_GBK"/>
          <w:b w:val="0"/>
          <w:sz w:val="32"/>
          <w:szCs w:val="32"/>
        </w:rPr>
        <w:t>平方米，比上年减少</w:t>
      </w:r>
      <w:r>
        <w:rPr>
          <w:rStyle w:val="7"/>
          <w:rFonts w:ascii="方正仿宋_GBK" w:hAnsi="方正仿宋_GBK" w:eastAsia="方正仿宋_GBK" w:cs="方正仿宋_GBK"/>
          <w:b w:val="0"/>
          <w:sz w:val="32"/>
          <w:szCs w:val="32"/>
        </w:rPr>
        <w:t>4.1%</w:t>
      </w:r>
      <w:r>
        <w:rPr>
          <w:rStyle w:val="7"/>
          <w:rFonts w:hint="eastAsia" w:ascii="方正仿宋_GBK" w:hAnsi="方正仿宋_GBK" w:eastAsia="方正仿宋_GBK" w:cs="方正仿宋_GBK"/>
          <w:b w:val="0"/>
          <w:sz w:val="32"/>
          <w:szCs w:val="32"/>
        </w:rPr>
        <w:t>。</w:t>
      </w:r>
    </w:p>
    <w:p>
      <w:pPr>
        <w:ind w:firstLine="562" w:firstLineChars="200"/>
        <w:jc w:val="center"/>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表7  2019年常住居民人均可支配收入</w:t>
      </w:r>
    </w:p>
    <w:tbl>
      <w:tblPr>
        <w:tblStyle w:val="9"/>
        <w:tblW w:w="8140" w:type="dxa"/>
        <w:tblInd w:w="0" w:type="dxa"/>
        <w:tblLayout w:type="fixed"/>
        <w:tblCellMar>
          <w:top w:w="15" w:type="dxa"/>
          <w:left w:w="15" w:type="dxa"/>
          <w:bottom w:w="15" w:type="dxa"/>
          <w:right w:w="15" w:type="dxa"/>
        </w:tblCellMar>
      </w:tblPr>
      <w:tblGrid>
        <w:gridCol w:w="1890"/>
        <w:gridCol w:w="985"/>
        <w:gridCol w:w="1087"/>
        <w:gridCol w:w="985"/>
        <w:gridCol w:w="1118"/>
        <w:gridCol w:w="985"/>
        <w:gridCol w:w="1090"/>
      </w:tblGrid>
      <w:tr>
        <w:tblPrEx>
          <w:tblLayout w:type="fixed"/>
          <w:tblCellMar>
            <w:top w:w="15" w:type="dxa"/>
            <w:left w:w="15" w:type="dxa"/>
            <w:bottom w:w="15" w:type="dxa"/>
            <w:right w:w="15" w:type="dxa"/>
          </w:tblCellMar>
        </w:tblPrEx>
        <w:trPr>
          <w:trHeight w:val="555" w:hRule="atLeast"/>
        </w:trPr>
        <w:tc>
          <w:tcPr>
            <w:tcW w:w="1890" w:type="dxa"/>
            <w:vMerge w:val="restart"/>
            <w:tcBorders>
              <w:top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指标</w:t>
            </w:r>
          </w:p>
        </w:tc>
        <w:tc>
          <w:tcPr>
            <w:tcW w:w="207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 xml:space="preserve">全区常住居民 </w:t>
            </w:r>
          </w:p>
        </w:tc>
        <w:tc>
          <w:tcPr>
            <w:tcW w:w="21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城镇常住居民</w:t>
            </w:r>
          </w:p>
        </w:tc>
        <w:tc>
          <w:tcPr>
            <w:tcW w:w="2075" w:type="dxa"/>
            <w:gridSpan w:val="2"/>
            <w:tcBorders>
              <w:top w:val="single" w:color="000000" w:sz="4" w:space="0"/>
              <w:left w:val="single" w:color="000000" w:sz="4" w:space="0"/>
              <w:bottom w:val="single" w:color="000000" w:sz="4" w:space="0"/>
            </w:tcBorders>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 xml:space="preserve">农村常住居民 </w:t>
            </w:r>
          </w:p>
        </w:tc>
      </w:tr>
      <w:tr>
        <w:tblPrEx>
          <w:tblLayout w:type="fixed"/>
          <w:tblCellMar>
            <w:top w:w="15" w:type="dxa"/>
            <w:left w:w="15" w:type="dxa"/>
            <w:bottom w:w="15" w:type="dxa"/>
            <w:right w:w="15" w:type="dxa"/>
          </w:tblCellMar>
        </w:tblPrEx>
        <w:trPr>
          <w:trHeight w:val="936" w:hRule="atLeast"/>
        </w:trPr>
        <w:tc>
          <w:tcPr>
            <w:tcW w:w="1890" w:type="dxa"/>
            <w:vMerge w:val="continue"/>
            <w:tcBorders>
              <w:top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p>
        </w:tc>
        <w:tc>
          <w:tcPr>
            <w:tcW w:w="98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绝对量（元）</w:t>
            </w:r>
          </w:p>
        </w:tc>
        <w:tc>
          <w:tcPr>
            <w:tcW w:w="108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比上年增长（%）</w:t>
            </w:r>
          </w:p>
        </w:tc>
        <w:tc>
          <w:tcPr>
            <w:tcW w:w="985"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绝对量（元）</w:t>
            </w:r>
          </w:p>
        </w:tc>
        <w:tc>
          <w:tcPr>
            <w:tcW w:w="1118"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比上年增长（%）</w:t>
            </w:r>
          </w:p>
        </w:tc>
        <w:tc>
          <w:tcPr>
            <w:tcW w:w="985"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绝对量（元）</w:t>
            </w:r>
          </w:p>
        </w:tc>
        <w:tc>
          <w:tcPr>
            <w:tcW w:w="1090" w:type="dxa"/>
            <w:tcBorders>
              <w:top w:val="single" w:color="000000" w:sz="4" w:space="0"/>
              <w:left w:val="single" w:color="000000" w:sz="4" w:space="0"/>
              <w:bottom w:val="single" w:color="auto" w:sz="4" w:space="0"/>
            </w:tcBorders>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比上年增长（%）</w:t>
            </w:r>
          </w:p>
        </w:tc>
      </w:tr>
      <w:tr>
        <w:tblPrEx>
          <w:tblLayout w:type="fixed"/>
          <w:tblCellMar>
            <w:top w:w="15" w:type="dxa"/>
            <w:left w:w="15" w:type="dxa"/>
            <w:bottom w:w="15" w:type="dxa"/>
            <w:right w:w="15" w:type="dxa"/>
          </w:tblCellMar>
        </w:tblPrEx>
        <w:trPr>
          <w:trHeight w:val="555" w:hRule="atLeast"/>
        </w:trPr>
        <w:tc>
          <w:tcPr>
            <w:tcW w:w="1890" w:type="dxa"/>
            <w:tcBorders>
              <w:bottom w:val="single" w:color="000000" w:sz="4" w:space="0"/>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人均可支配收入</w:t>
            </w:r>
          </w:p>
        </w:tc>
        <w:tc>
          <w:tcPr>
            <w:tcW w:w="985" w:type="dxa"/>
            <w:tcBorders>
              <w:top w:val="single" w:color="auto" w:sz="4" w:space="0"/>
              <w:left w:val="single" w:color="auto" w:sz="4" w:space="0"/>
              <w:bottom w:val="nil"/>
              <w:right w:val="nil"/>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29813</w:t>
            </w:r>
          </w:p>
        </w:tc>
        <w:tc>
          <w:tcPr>
            <w:tcW w:w="1087" w:type="dxa"/>
            <w:tcBorders>
              <w:top w:val="single" w:color="auto" w:sz="4" w:space="0"/>
              <w:left w:val="nil"/>
              <w:bottom w:val="nil"/>
              <w:right w:val="nil"/>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10.7</w:t>
            </w:r>
          </w:p>
        </w:tc>
        <w:tc>
          <w:tcPr>
            <w:tcW w:w="985" w:type="dxa"/>
            <w:tcBorders>
              <w:top w:val="single" w:color="auto" w:sz="4" w:space="0"/>
              <w:left w:val="nil"/>
              <w:bottom w:val="nil"/>
              <w:right w:val="nil"/>
            </w:tcBorders>
            <w:shd w:val="clear" w:color="auto" w:fill="FFFFFF"/>
            <w:vAlign w:val="center"/>
          </w:tcPr>
          <w:p>
            <w:pPr>
              <w:widowControl/>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38362</w:t>
            </w:r>
          </w:p>
        </w:tc>
        <w:tc>
          <w:tcPr>
            <w:tcW w:w="1118" w:type="dxa"/>
            <w:tcBorders>
              <w:top w:val="single" w:color="auto" w:sz="4" w:space="0"/>
              <w:left w:val="nil"/>
              <w:bottom w:val="nil"/>
              <w:right w:val="nil"/>
            </w:tcBorders>
            <w:shd w:val="clear" w:color="auto" w:fill="FFFFFF"/>
            <w:vAlign w:val="center"/>
          </w:tcPr>
          <w:p>
            <w:pPr>
              <w:widowControl/>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9.4</w:t>
            </w:r>
          </w:p>
        </w:tc>
        <w:tc>
          <w:tcPr>
            <w:tcW w:w="985" w:type="dxa"/>
            <w:tcBorders>
              <w:top w:val="single" w:color="auto" w:sz="4" w:space="0"/>
              <w:left w:val="nil"/>
              <w:bottom w:val="nil"/>
              <w:right w:val="nil"/>
            </w:tcBorders>
            <w:shd w:val="clear" w:color="auto" w:fill="auto"/>
            <w:vAlign w:val="center"/>
          </w:tcPr>
          <w:p>
            <w:pPr>
              <w:widowControl/>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18671</w:t>
            </w:r>
          </w:p>
        </w:tc>
        <w:tc>
          <w:tcPr>
            <w:tcW w:w="1090" w:type="dxa"/>
            <w:tcBorders>
              <w:top w:val="single" w:color="auto" w:sz="4" w:space="0"/>
              <w:left w:val="nil"/>
              <w:bottom w:val="nil"/>
            </w:tcBorders>
            <w:shd w:val="clear" w:color="auto" w:fill="FFFFFF"/>
            <w:vAlign w:val="center"/>
          </w:tcPr>
          <w:p>
            <w:pPr>
              <w:widowControl/>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9.5</w:t>
            </w:r>
          </w:p>
        </w:tc>
      </w:tr>
      <w:tr>
        <w:tblPrEx>
          <w:tblLayout w:type="fixed"/>
          <w:tblCellMar>
            <w:top w:w="15" w:type="dxa"/>
            <w:left w:w="15" w:type="dxa"/>
            <w:bottom w:w="15" w:type="dxa"/>
            <w:right w:w="15" w:type="dxa"/>
          </w:tblCellMar>
        </w:tblPrEx>
        <w:trPr>
          <w:trHeight w:val="555" w:hRule="atLeast"/>
        </w:trPr>
        <w:tc>
          <w:tcPr>
            <w:tcW w:w="1890" w:type="dxa"/>
            <w:tcBorders>
              <w:top w:val="single" w:color="000000" w:sz="4" w:space="0"/>
              <w:bottom w:val="single" w:color="000000" w:sz="4" w:space="0"/>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 xml:space="preserve">  工资性收入</w:t>
            </w:r>
          </w:p>
        </w:tc>
        <w:tc>
          <w:tcPr>
            <w:tcW w:w="985" w:type="dxa"/>
            <w:tcBorders>
              <w:top w:val="nil"/>
              <w:left w:val="single" w:color="auto" w:sz="4" w:space="0"/>
              <w:bottom w:val="nil"/>
              <w:right w:val="nil"/>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15646</w:t>
            </w:r>
          </w:p>
        </w:tc>
        <w:tc>
          <w:tcPr>
            <w:tcW w:w="1087" w:type="dxa"/>
            <w:tcBorders>
              <w:top w:val="nil"/>
              <w:left w:val="nil"/>
              <w:bottom w:val="nil"/>
              <w:right w:val="nil"/>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11.4</w:t>
            </w:r>
          </w:p>
        </w:tc>
        <w:tc>
          <w:tcPr>
            <w:tcW w:w="985" w:type="dxa"/>
            <w:tcBorders>
              <w:top w:val="nil"/>
              <w:left w:val="nil"/>
              <w:bottom w:val="nil"/>
              <w:right w:val="nil"/>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22696</w:t>
            </w:r>
          </w:p>
        </w:tc>
        <w:tc>
          <w:tcPr>
            <w:tcW w:w="1118" w:type="dxa"/>
            <w:tcBorders>
              <w:top w:val="nil"/>
              <w:left w:val="nil"/>
              <w:bottom w:val="nil"/>
              <w:right w:val="nil"/>
            </w:tcBorders>
            <w:shd w:val="clear" w:color="auto" w:fill="FFFFFF"/>
            <w:vAlign w:val="center"/>
          </w:tcPr>
          <w:p>
            <w:pPr>
              <w:widowControl/>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9.4</w:t>
            </w:r>
          </w:p>
        </w:tc>
        <w:tc>
          <w:tcPr>
            <w:tcW w:w="985" w:type="dxa"/>
            <w:tcBorders>
              <w:top w:val="nil"/>
              <w:left w:val="nil"/>
              <w:bottom w:val="nil"/>
              <w:right w:val="nil"/>
            </w:tcBorders>
            <w:shd w:val="clear" w:color="auto" w:fill="auto"/>
            <w:vAlign w:val="center"/>
          </w:tcPr>
          <w:p>
            <w:pPr>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6459</w:t>
            </w:r>
          </w:p>
        </w:tc>
        <w:tc>
          <w:tcPr>
            <w:tcW w:w="1090" w:type="dxa"/>
            <w:tcBorders>
              <w:top w:val="nil"/>
              <w:left w:val="nil"/>
              <w:bottom w:val="nil"/>
            </w:tcBorders>
            <w:shd w:val="clear" w:color="auto" w:fill="FFFFFF"/>
            <w:vAlign w:val="center"/>
          </w:tcPr>
          <w:p>
            <w:pPr>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9.5</w:t>
            </w:r>
          </w:p>
        </w:tc>
      </w:tr>
      <w:tr>
        <w:tblPrEx>
          <w:tblLayout w:type="fixed"/>
          <w:tblCellMar>
            <w:top w:w="15" w:type="dxa"/>
            <w:left w:w="15" w:type="dxa"/>
            <w:bottom w:w="15" w:type="dxa"/>
            <w:right w:w="15" w:type="dxa"/>
          </w:tblCellMar>
        </w:tblPrEx>
        <w:trPr>
          <w:trHeight w:val="555" w:hRule="atLeast"/>
        </w:trPr>
        <w:tc>
          <w:tcPr>
            <w:tcW w:w="1890" w:type="dxa"/>
            <w:tcBorders>
              <w:top w:val="single" w:color="000000" w:sz="4" w:space="0"/>
              <w:bottom w:val="single" w:color="000000" w:sz="4" w:space="0"/>
              <w:right w:val="single" w:color="auto" w:sz="4" w:space="0"/>
            </w:tcBorders>
            <w:shd w:val="clear" w:color="auto" w:fill="auto"/>
            <w:vAlign w:val="center"/>
          </w:tcPr>
          <w:p>
            <w:pPr>
              <w:widowControl/>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 xml:space="preserve">  经营净收入</w:t>
            </w:r>
          </w:p>
        </w:tc>
        <w:tc>
          <w:tcPr>
            <w:tcW w:w="985" w:type="dxa"/>
            <w:tcBorders>
              <w:top w:val="nil"/>
              <w:left w:val="single" w:color="auto" w:sz="4" w:space="0"/>
              <w:bottom w:val="nil"/>
              <w:right w:val="nil"/>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5209</w:t>
            </w:r>
          </w:p>
        </w:tc>
        <w:tc>
          <w:tcPr>
            <w:tcW w:w="1087" w:type="dxa"/>
            <w:tcBorders>
              <w:top w:val="nil"/>
              <w:left w:val="nil"/>
              <w:bottom w:val="nil"/>
              <w:right w:val="nil"/>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9.2</w:t>
            </w:r>
          </w:p>
        </w:tc>
        <w:tc>
          <w:tcPr>
            <w:tcW w:w="985" w:type="dxa"/>
            <w:tcBorders>
              <w:top w:val="nil"/>
              <w:left w:val="nil"/>
              <w:bottom w:val="nil"/>
              <w:right w:val="nil"/>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4288</w:t>
            </w:r>
          </w:p>
        </w:tc>
        <w:tc>
          <w:tcPr>
            <w:tcW w:w="1118" w:type="dxa"/>
            <w:tcBorders>
              <w:top w:val="nil"/>
              <w:left w:val="nil"/>
              <w:bottom w:val="nil"/>
              <w:right w:val="nil"/>
            </w:tcBorders>
            <w:shd w:val="clear" w:color="auto" w:fill="FFFFFF"/>
            <w:vAlign w:val="center"/>
          </w:tcPr>
          <w:p>
            <w:pPr>
              <w:widowControl/>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10.6</w:t>
            </w:r>
          </w:p>
        </w:tc>
        <w:tc>
          <w:tcPr>
            <w:tcW w:w="985" w:type="dxa"/>
            <w:tcBorders>
              <w:top w:val="nil"/>
              <w:left w:val="nil"/>
              <w:bottom w:val="nil"/>
              <w:right w:val="nil"/>
            </w:tcBorders>
            <w:shd w:val="clear" w:color="auto" w:fill="auto"/>
            <w:vAlign w:val="center"/>
          </w:tcPr>
          <w:p>
            <w:pPr>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6410</w:t>
            </w:r>
          </w:p>
        </w:tc>
        <w:tc>
          <w:tcPr>
            <w:tcW w:w="1090" w:type="dxa"/>
            <w:tcBorders>
              <w:top w:val="nil"/>
              <w:left w:val="nil"/>
              <w:bottom w:val="nil"/>
            </w:tcBorders>
            <w:shd w:val="clear" w:color="auto" w:fill="FFFFFF"/>
            <w:vAlign w:val="center"/>
          </w:tcPr>
          <w:p>
            <w:pPr>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9.5</w:t>
            </w:r>
          </w:p>
        </w:tc>
      </w:tr>
      <w:tr>
        <w:tblPrEx>
          <w:tblLayout w:type="fixed"/>
          <w:tblCellMar>
            <w:top w:w="15" w:type="dxa"/>
            <w:left w:w="15" w:type="dxa"/>
            <w:bottom w:w="15" w:type="dxa"/>
            <w:right w:w="15" w:type="dxa"/>
          </w:tblCellMar>
        </w:tblPrEx>
        <w:trPr>
          <w:trHeight w:val="555" w:hRule="atLeast"/>
        </w:trPr>
        <w:tc>
          <w:tcPr>
            <w:tcW w:w="1890" w:type="dxa"/>
            <w:tcBorders>
              <w:top w:val="single" w:color="000000" w:sz="4" w:space="0"/>
              <w:bottom w:val="single" w:color="000000" w:sz="4" w:space="0"/>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 xml:space="preserve">  财产净收入</w:t>
            </w:r>
          </w:p>
        </w:tc>
        <w:tc>
          <w:tcPr>
            <w:tcW w:w="985" w:type="dxa"/>
            <w:tcBorders>
              <w:top w:val="nil"/>
              <w:left w:val="single" w:color="auto" w:sz="4" w:space="0"/>
              <w:bottom w:val="nil"/>
              <w:right w:val="nil"/>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1590</w:t>
            </w:r>
          </w:p>
        </w:tc>
        <w:tc>
          <w:tcPr>
            <w:tcW w:w="1087" w:type="dxa"/>
            <w:tcBorders>
              <w:top w:val="nil"/>
              <w:left w:val="nil"/>
              <w:bottom w:val="nil"/>
              <w:right w:val="nil"/>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10.1</w:t>
            </w:r>
          </w:p>
        </w:tc>
        <w:tc>
          <w:tcPr>
            <w:tcW w:w="985" w:type="dxa"/>
            <w:tcBorders>
              <w:top w:val="nil"/>
              <w:left w:val="nil"/>
              <w:bottom w:val="nil"/>
              <w:right w:val="nil"/>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2616</w:t>
            </w:r>
          </w:p>
        </w:tc>
        <w:tc>
          <w:tcPr>
            <w:tcW w:w="1118" w:type="dxa"/>
            <w:tcBorders>
              <w:top w:val="nil"/>
              <w:left w:val="nil"/>
              <w:bottom w:val="nil"/>
              <w:right w:val="nil"/>
            </w:tcBorders>
            <w:shd w:val="clear" w:color="auto" w:fill="FFFFFF"/>
            <w:vAlign w:val="center"/>
          </w:tcPr>
          <w:p>
            <w:pPr>
              <w:widowControl/>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7.2</w:t>
            </w:r>
          </w:p>
        </w:tc>
        <w:tc>
          <w:tcPr>
            <w:tcW w:w="985" w:type="dxa"/>
            <w:tcBorders>
              <w:top w:val="nil"/>
              <w:left w:val="nil"/>
              <w:bottom w:val="nil"/>
              <w:right w:val="nil"/>
            </w:tcBorders>
            <w:shd w:val="clear" w:color="auto" w:fill="auto"/>
            <w:vAlign w:val="center"/>
          </w:tcPr>
          <w:p>
            <w:pPr>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254</w:t>
            </w:r>
          </w:p>
        </w:tc>
        <w:tc>
          <w:tcPr>
            <w:tcW w:w="1090" w:type="dxa"/>
            <w:tcBorders>
              <w:top w:val="nil"/>
              <w:left w:val="nil"/>
              <w:bottom w:val="nil"/>
            </w:tcBorders>
            <w:shd w:val="clear" w:color="auto" w:fill="FFFFFF"/>
            <w:vAlign w:val="center"/>
          </w:tcPr>
          <w:p>
            <w:pPr>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7.6</w:t>
            </w:r>
          </w:p>
        </w:tc>
      </w:tr>
      <w:tr>
        <w:tblPrEx>
          <w:tblLayout w:type="fixed"/>
          <w:tblCellMar>
            <w:top w:w="15" w:type="dxa"/>
            <w:left w:w="15" w:type="dxa"/>
            <w:bottom w:w="15" w:type="dxa"/>
            <w:right w:w="15" w:type="dxa"/>
          </w:tblCellMar>
        </w:tblPrEx>
        <w:trPr>
          <w:trHeight w:val="582" w:hRule="atLeast"/>
        </w:trPr>
        <w:tc>
          <w:tcPr>
            <w:tcW w:w="1890" w:type="dxa"/>
            <w:tcBorders>
              <w:top w:val="single" w:color="000000" w:sz="4" w:space="0"/>
              <w:bottom w:val="single" w:color="000000" w:sz="4" w:space="0"/>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 xml:space="preserve">  转移净收入</w:t>
            </w:r>
          </w:p>
        </w:tc>
        <w:tc>
          <w:tcPr>
            <w:tcW w:w="985" w:type="dxa"/>
            <w:tcBorders>
              <w:top w:val="nil"/>
              <w:left w:val="single" w:color="auto" w:sz="4" w:space="0"/>
              <w:bottom w:val="single" w:color="auto" w:sz="4" w:space="0"/>
              <w:right w:val="nil"/>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7367</w:t>
            </w:r>
          </w:p>
        </w:tc>
        <w:tc>
          <w:tcPr>
            <w:tcW w:w="1087" w:type="dxa"/>
            <w:tcBorders>
              <w:top w:val="nil"/>
              <w:left w:val="nil"/>
              <w:bottom w:val="single" w:color="auto" w:sz="4" w:space="0"/>
              <w:right w:val="nil"/>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10.4</w:t>
            </w:r>
          </w:p>
        </w:tc>
        <w:tc>
          <w:tcPr>
            <w:tcW w:w="985" w:type="dxa"/>
            <w:tcBorders>
              <w:top w:val="nil"/>
              <w:left w:val="nil"/>
              <w:bottom w:val="single" w:color="auto" w:sz="4" w:space="0"/>
              <w:right w:val="nil"/>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8762</w:t>
            </w:r>
          </w:p>
        </w:tc>
        <w:tc>
          <w:tcPr>
            <w:tcW w:w="1118" w:type="dxa"/>
            <w:tcBorders>
              <w:top w:val="nil"/>
              <w:left w:val="nil"/>
              <w:bottom w:val="single" w:color="auto" w:sz="4" w:space="0"/>
              <w:right w:val="nil"/>
            </w:tcBorders>
            <w:shd w:val="clear" w:color="auto" w:fill="FFFFFF"/>
            <w:vAlign w:val="center"/>
          </w:tcPr>
          <w:p>
            <w:pPr>
              <w:widowControl/>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9.5</w:t>
            </w:r>
          </w:p>
        </w:tc>
        <w:tc>
          <w:tcPr>
            <w:tcW w:w="985" w:type="dxa"/>
            <w:tcBorders>
              <w:top w:val="nil"/>
              <w:left w:val="nil"/>
              <w:bottom w:val="single" w:color="auto" w:sz="4" w:space="0"/>
              <w:right w:val="nil"/>
            </w:tcBorders>
            <w:shd w:val="clear" w:color="auto" w:fill="auto"/>
            <w:vAlign w:val="center"/>
          </w:tcPr>
          <w:p>
            <w:pPr>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5548</w:t>
            </w:r>
          </w:p>
        </w:tc>
        <w:tc>
          <w:tcPr>
            <w:tcW w:w="1090" w:type="dxa"/>
            <w:tcBorders>
              <w:top w:val="nil"/>
              <w:left w:val="nil"/>
              <w:bottom w:val="single" w:color="auto" w:sz="4" w:space="0"/>
            </w:tcBorders>
            <w:shd w:val="clear" w:color="auto" w:fill="FFFFFF"/>
            <w:vAlign w:val="center"/>
          </w:tcPr>
          <w:p>
            <w:pPr>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9.6</w:t>
            </w:r>
          </w:p>
        </w:tc>
      </w:tr>
    </w:tbl>
    <w:p>
      <w:pPr>
        <w:pStyle w:val="5"/>
        <w:tabs>
          <w:tab w:val="left" w:pos="1081"/>
        </w:tabs>
        <w:spacing w:before="0" w:beforeAutospacing="0" w:after="0" w:afterAutospacing="0"/>
        <w:ind w:right="44" w:firstLine="640" w:firstLineChars="200"/>
        <w:jc w:val="both"/>
        <w:rPr>
          <w:rStyle w:val="7"/>
          <w:rFonts w:ascii="方正仿宋_GBK" w:hAnsi="方正仿宋_GBK" w:eastAsia="方正仿宋_GBK" w:cs="方正仿宋_GBK"/>
          <w:b w:val="0"/>
          <w:color w:val="000000" w:themeColor="text1"/>
          <w:sz w:val="32"/>
          <w:szCs w:val="32"/>
          <w14:textFill>
            <w14:solidFill>
              <w14:schemeClr w14:val="tx1"/>
            </w14:solidFill>
          </w14:textFill>
        </w:rPr>
      </w:pPr>
      <w:r>
        <w:rPr>
          <w:rStyle w:val="7"/>
          <w:rFonts w:hint="eastAsia" w:ascii="方正仿宋_GBK" w:hAnsi="方正仿宋_GBK" w:eastAsia="方正仿宋_GBK" w:cs="方正仿宋_GBK"/>
          <w:b w:val="0"/>
          <w:sz w:val="32"/>
          <w:szCs w:val="32"/>
        </w:rPr>
        <w:t>社会保障建设稳步推进。</w:t>
      </w:r>
      <w:r>
        <w:rPr>
          <w:rStyle w:val="7"/>
          <w:rFonts w:hint="eastAsia" w:ascii="方正仿宋_GBK" w:hAnsi="方正仿宋_GBK" w:eastAsia="方正仿宋_GBK" w:cs="方正仿宋_GBK"/>
          <w:b w:val="0"/>
          <w:color w:val="000000" w:themeColor="text1"/>
          <w:sz w:val="32"/>
          <w:szCs w:val="32"/>
          <w14:textFill>
            <w14:solidFill>
              <w14:schemeClr w14:val="tx1"/>
            </w14:solidFill>
          </w14:textFill>
        </w:rPr>
        <w:t>全区城镇企业职工基本养老保险参保人数为</w:t>
      </w:r>
      <w:r>
        <w:rPr>
          <w:rStyle w:val="7"/>
          <w:rFonts w:ascii="方正仿宋_GBK" w:hAnsi="方正仿宋_GBK" w:eastAsia="方正仿宋_GBK" w:cs="方正仿宋_GBK"/>
          <w:b w:val="0"/>
          <w:color w:val="000000" w:themeColor="text1"/>
          <w:sz w:val="32"/>
          <w:szCs w:val="32"/>
          <w14:textFill>
            <w14:solidFill>
              <w14:schemeClr w14:val="tx1"/>
            </w14:solidFill>
          </w14:textFill>
        </w:rPr>
        <w:t>124547</w:t>
      </w:r>
      <w:r>
        <w:rPr>
          <w:rStyle w:val="7"/>
          <w:rFonts w:hint="eastAsia" w:ascii="方正仿宋_GBK" w:hAnsi="方正仿宋_GBK" w:eastAsia="方正仿宋_GBK" w:cs="方正仿宋_GBK"/>
          <w:b w:val="0"/>
          <w:color w:val="000000" w:themeColor="text1"/>
          <w:sz w:val="32"/>
          <w:szCs w:val="32"/>
          <w14:textFill>
            <w14:solidFill>
              <w14:schemeClr w14:val="tx1"/>
            </w14:solidFill>
          </w14:textFill>
        </w:rPr>
        <w:t>人，比上年增长</w:t>
      </w:r>
      <w:r>
        <w:rPr>
          <w:rStyle w:val="7"/>
          <w:rFonts w:ascii="方正仿宋_GBK" w:hAnsi="方正仿宋_GBK" w:eastAsia="方正仿宋_GBK" w:cs="方正仿宋_GBK"/>
          <w:b w:val="0"/>
          <w:color w:val="000000" w:themeColor="text1"/>
          <w:sz w:val="32"/>
          <w:szCs w:val="32"/>
          <w14:textFill>
            <w14:solidFill>
              <w14:schemeClr w14:val="tx1"/>
            </w14:solidFill>
          </w14:textFill>
        </w:rPr>
        <w:t>16.2</w:t>
      </w:r>
      <w:r>
        <w:rPr>
          <w:rStyle w:val="7"/>
          <w:rFonts w:hint="eastAsia" w:ascii="方正仿宋_GBK" w:hAnsi="方正仿宋_GBK" w:eastAsia="方正仿宋_GBK" w:cs="方正仿宋_GBK"/>
          <w:b w:val="0"/>
          <w:color w:val="000000" w:themeColor="text1"/>
          <w:sz w:val="32"/>
          <w:szCs w:val="32"/>
          <w14:textFill>
            <w14:solidFill>
              <w14:schemeClr w14:val="tx1"/>
            </w14:solidFill>
          </w14:textFill>
        </w:rPr>
        <w:t>%。参加城乡居民社会养老保险人数34.</w:t>
      </w:r>
      <w:r>
        <w:rPr>
          <w:rStyle w:val="7"/>
          <w:rFonts w:ascii="方正仿宋_GBK" w:hAnsi="方正仿宋_GBK" w:eastAsia="方正仿宋_GBK" w:cs="方正仿宋_GBK"/>
          <w:b w:val="0"/>
          <w:color w:val="000000" w:themeColor="text1"/>
          <w:sz w:val="32"/>
          <w:szCs w:val="32"/>
          <w14:textFill>
            <w14:solidFill>
              <w14:schemeClr w14:val="tx1"/>
            </w14:solidFill>
          </w14:textFill>
        </w:rPr>
        <w:t>81</w:t>
      </w:r>
      <w:r>
        <w:rPr>
          <w:rStyle w:val="7"/>
          <w:rFonts w:hint="eastAsia" w:ascii="方正仿宋_GBK" w:hAnsi="方正仿宋_GBK" w:eastAsia="方正仿宋_GBK" w:cs="方正仿宋_GBK"/>
          <w:b w:val="0"/>
          <w:color w:val="000000" w:themeColor="text1"/>
          <w:sz w:val="32"/>
          <w:szCs w:val="32"/>
          <w14:textFill>
            <w14:solidFill>
              <w14:schemeClr w14:val="tx1"/>
            </w14:solidFill>
          </w14:textFill>
        </w:rPr>
        <w:t>万人，比上年增长</w:t>
      </w:r>
      <w:r>
        <w:rPr>
          <w:rStyle w:val="7"/>
          <w:rFonts w:ascii="方正仿宋_GBK" w:hAnsi="方正仿宋_GBK" w:eastAsia="方正仿宋_GBK" w:cs="方正仿宋_GBK"/>
          <w:b w:val="0"/>
          <w:color w:val="000000" w:themeColor="text1"/>
          <w:sz w:val="32"/>
          <w:szCs w:val="32"/>
          <w14:textFill>
            <w14:solidFill>
              <w14:schemeClr w14:val="tx1"/>
            </w14:solidFill>
          </w14:textFill>
        </w:rPr>
        <w:t>1.4</w:t>
      </w:r>
      <w:r>
        <w:rPr>
          <w:rStyle w:val="7"/>
          <w:rFonts w:hint="eastAsia" w:ascii="方正仿宋_GBK" w:hAnsi="方正仿宋_GBK" w:eastAsia="方正仿宋_GBK" w:cs="方正仿宋_GBK"/>
          <w:b w:val="0"/>
          <w:color w:val="000000" w:themeColor="text1"/>
          <w:sz w:val="32"/>
          <w:szCs w:val="32"/>
          <w14:textFill>
            <w14:solidFill>
              <w14:schemeClr w14:val="tx1"/>
            </w14:solidFill>
          </w14:textFill>
        </w:rPr>
        <w:t>%。城镇职工基本医疗保险参保人数</w:t>
      </w:r>
      <w:r>
        <w:rPr>
          <w:rStyle w:val="7"/>
          <w:rFonts w:ascii="方正仿宋_GBK" w:hAnsi="方正仿宋_GBK" w:eastAsia="方正仿宋_GBK" w:cs="方正仿宋_GBK"/>
          <w:b w:val="0"/>
          <w:color w:val="000000" w:themeColor="text1"/>
          <w:sz w:val="32"/>
          <w:szCs w:val="32"/>
          <w14:textFill>
            <w14:solidFill>
              <w14:schemeClr w14:val="tx1"/>
            </w14:solidFill>
          </w14:textFill>
        </w:rPr>
        <w:t>104102</w:t>
      </w:r>
      <w:r>
        <w:rPr>
          <w:rStyle w:val="7"/>
          <w:rFonts w:hint="eastAsia" w:ascii="方正仿宋_GBK" w:hAnsi="方正仿宋_GBK" w:eastAsia="方正仿宋_GBK" w:cs="方正仿宋_GBK"/>
          <w:b w:val="0"/>
          <w:color w:val="000000" w:themeColor="text1"/>
          <w:sz w:val="32"/>
          <w:szCs w:val="32"/>
          <w14:textFill>
            <w14:solidFill>
              <w14:schemeClr w14:val="tx1"/>
            </w14:solidFill>
          </w14:textFill>
        </w:rPr>
        <w:t>人，增长</w:t>
      </w:r>
      <w:r>
        <w:rPr>
          <w:rStyle w:val="7"/>
          <w:rFonts w:ascii="方正仿宋_GBK" w:hAnsi="方正仿宋_GBK" w:eastAsia="方正仿宋_GBK" w:cs="方正仿宋_GBK"/>
          <w:b w:val="0"/>
          <w:color w:val="000000" w:themeColor="text1"/>
          <w:sz w:val="32"/>
          <w:szCs w:val="32"/>
          <w14:textFill>
            <w14:solidFill>
              <w14:schemeClr w14:val="tx1"/>
            </w14:solidFill>
          </w14:textFill>
        </w:rPr>
        <w:t>14.0</w:t>
      </w:r>
      <w:r>
        <w:rPr>
          <w:rStyle w:val="7"/>
          <w:rFonts w:hint="eastAsia" w:ascii="方正仿宋_GBK" w:hAnsi="方正仿宋_GBK" w:eastAsia="方正仿宋_GBK" w:cs="方正仿宋_GBK"/>
          <w:b w:val="0"/>
          <w:color w:val="000000" w:themeColor="text1"/>
          <w:sz w:val="32"/>
          <w:szCs w:val="32"/>
          <w14:textFill>
            <w14:solidFill>
              <w14:schemeClr w14:val="tx1"/>
            </w14:solidFill>
          </w14:textFill>
        </w:rPr>
        <w:t>%；城乡居民合作医疗保险参保人数</w:t>
      </w:r>
      <w:r>
        <w:rPr>
          <w:rStyle w:val="7"/>
          <w:rFonts w:ascii="方正仿宋_GBK" w:hAnsi="方正仿宋_GBK" w:eastAsia="方正仿宋_GBK" w:cs="方正仿宋_GBK"/>
          <w:b w:val="0"/>
          <w:color w:val="000000" w:themeColor="text1"/>
          <w:sz w:val="32"/>
          <w:szCs w:val="32"/>
          <w14:textFill>
            <w14:solidFill>
              <w14:schemeClr w14:val="tx1"/>
            </w14:solidFill>
          </w14:textFill>
        </w:rPr>
        <w:t>668582</w:t>
      </w:r>
      <w:r>
        <w:rPr>
          <w:rStyle w:val="7"/>
          <w:rFonts w:hint="eastAsia" w:ascii="方正仿宋_GBK" w:hAnsi="方正仿宋_GBK" w:eastAsia="方正仿宋_GBK" w:cs="方正仿宋_GBK"/>
          <w:b w:val="0"/>
          <w:color w:val="000000" w:themeColor="text1"/>
          <w:sz w:val="32"/>
          <w:szCs w:val="32"/>
          <w14:textFill>
            <w14:solidFill>
              <w14:schemeClr w14:val="tx1"/>
            </w14:solidFill>
          </w14:textFill>
        </w:rPr>
        <w:t>人，下降</w:t>
      </w:r>
      <w:r>
        <w:rPr>
          <w:rStyle w:val="7"/>
          <w:rFonts w:ascii="方正仿宋_GBK" w:hAnsi="方正仿宋_GBK" w:eastAsia="方正仿宋_GBK" w:cs="方正仿宋_GBK"/>
          <w:b w:val="0"/>
          <w:color w:val="000000" w:themeColor="text1"/>
          <w:sz w:val="32"/>
          <w:szCs w:val="32"/>
          <w14:textFill>
            <w14:solidFill>
              <w14:schemeClr w14:val="tx1"/>
            </w14:solidFill>
          </w14:textFill>
        </w:rPr>
        <w:t>2.0</w:t>
      </w:r>
      <w:r>
        <w:rPr>
          <w:rStyle w:val="7"/>
          <w:rFonts w:hint="eastAsia" w:ascii="方正仿宋_GBK" w:hAnsi="方正仿宋_GBK" w:eastAsia="方正仿宋_GBK" w:cs="方正仿宋_GBK"/>
          <w:b w:val="0"/>
          <w:color w:val="000000" w:themeColor="text1"/>
          <w:sz w:val="32"/>
          <w:szCs w:val="32"/>
          <w14:textFill>
            <w14:solidFill>
              <w14:schemeClr w14:val="tx1"/>
            </w14:solidFill>
          </w14:textFill>
        </w:rPr>
        <w:t>%，全年城乡居民合作医疗基金总支出</w:t>
      </w:r>
      <w:r>
        <w:rPr>
          <w:rStyle w:val="7"/>
          <w:rFonts w:ascii="方正仿宋_GBK" w:hAnsi="方正仿宋_GBK" w:eastAsia="方正仿宋_GBK" w:cs="方正仿宋_GBK"/>
          <w:b w:val="0"/>
          <w:color w:val="000000" w:themeColor="text1"/>
          <w:sz w:val="32"/>
          <w:szCs w:val="32"/>
          <w14:textFill>
            <w14:solidFill>
              <w14:schemeClr w14:val="tx1"/>
            </w14:solidFill>
          </w14:textFill>
        </w:rPr>
        <w:t>54902</w:t>
      </w:r>
      <w:r>
        <w:rPr>
          <w:rStyle w:val="7"/>
          <w:rFonts w:hint="eastAsia" w:ascii="方正仿宋_GBK" w:hAnsi="方正仿宋_GBK" w:eastAsia="方正仿宋_GBK" w:cs="方正仿宋_GBK"/>
          <w:b w:val="0"/>
          <w:color w:val="000000" w:themeColor="text1"/>
          <w:sz w:val="32"/>
          <w:szCs w:val="32"/>
          <w14:textFill>
            <w14:solidFill>
              <w14:schemeClr w14:val="tx1"/>
            </w14:solidFill>
          </w14:textFill>
        </w:rPr>
        <w:t>万元。工伤保险参保人数</w:t>
      </w:r>
      <w:r>
        <w:rPr>
          <w:rStyle w:val="7"/>
          <w:rFonts w:ascii="方正仿宋_GBK" w:hAnsi="方正仿宋_GBK" w:eastAsia="方正仿宋_GBK" w:cs="方正仿宋_GBK"/>
          <w:b w:val="0"/>
          <w:color w:val="000000" w:themeColor="text1"/>
          <w:sz w:val="32"/>
          <w:szCs w:val="32"/>
          <w14:textFill>
            <w14:solidFill>
              <w14:schemeClr w14:val="tx1"/>
            </w14:solidFill>
          </w14:textFill>
        </w:rPr>
        <w:t>136244</w:t>
      </w:r>
      <w:r>
        <w:rPr>
          <w:rStyle w:val="7"/>
          <w:rFonts w:hint="eastAsia" w:ascii="方正仿宋_GBK" w:hAnsi="方正仿宋_GBK" w:eastAsia="方正仿宋_GBK" w:cs="方正仿宋_GBK"/>
          <w:b w:val="0"/>
          <w:color w:val="000000" w:themeColor="text1"/>
          <w:sz w:val="32"/>
          <w:szCs w:val="32"/>
          <w14:textFill>
            <w14:solidFill>
              <w14:schemeClr w14:val="tx1"/>
            </w14:solidFill>
          </w14:textFill>
        </w:rPr>
        <w:t>人，增长</w:t>
      </w:r>
      <w:r>
        <w:rPr>
          <w:rStyle w:val="7"/>
          <w:rFonts w:ascii="方正仿宋_GBK" w:hAnsi="方正仿宋_GBK" w:eastAsia="方正仿宋_GBK" w:cs="方正仿宋_GBK"/>
          <w:b w:val="0"/>
          <w:color w:val="000000" w:themeColor="text1"/>
          <w:sz w:val="32"/>
          <w:szCs w:val="32"/>
          <w14:textFill>
            <w14:solidFill>
              <w14:schemeClr w14:val="tx1"/>
            </w14:solidFill>
          </w14:textFill>
        </w:rPr>
        <w:t>48.4</w:t>
      </w:r>
      <w:r>
        <w:rPr>
          <w:rStyle w:val="7"/>
          <w:rFonts w:hint="eastAsia" w:ascii="方正仿宋_GBK" w:hAnsi="方正仿宋_GBK" w:eastAsia="方正仿宋_GBK" w:cs="方正仿宋_GBK"/>
          <w:b w:val="0"/>
          <w:color w:val="000000" w:themeColor="text1"/>
          <w:sz w:val="32"/>
          <w:szCs w:val="32"/>
          <w14:textFill>
            <w14:solidFill>
              <w14:schemeClr w14:val="tx1"/>
            </w14:solidFill>
          </w14:textFill>
        </w:rPr>
        <w:t>％。失业保险</w:t>
      </w:r>
      <w:r>
        <w:rPr>
          <w:rStyle w:val="7"/>
          <w:rFonts w:ascii="方正仿宋_GBK" w:hAnsi="方正仿宋_GBK" w:eastAsia="方正仿宋_GBK" w:cs="方正仿宋_GBK"/>
          <w:b w:val="0"/>
          <w:color w:val="000000" w:themeColor="text1"/>
          <w:sz w:val="32"/>
          <w:szCs w:val="32"/>
          <w14:textFill>
            <w14:solidFill>
              <w14:schemeClr w14:val="tx1"/>
            </w14:solidFill>
          </w14:textFill>
        </w:rPr>
        <w:t>参保</w:t>
      </w:r>
      <w:r>
        <w:rPr>
          <w:rStyle w:val="7"/>
          <w:rFonts w:hint="eastAsia" w:ascii="方正仿宋_GBK" w:hAnsi="方正仿宋_GBK" w:eastAsia="方正仿宋_GBK" w:cs="方正仿宋_GBK"/>
          <w:b w:val="0"/>
          <w:color w:val="000000" w:themeColor="text1"/>
          <w:sz w:val="32"/>
          <w:szCs w:val="32"/>
          <w14:textFill>
            <w14:solidFill>
              <w14:schemeClr w14:val="tx1"/>
            </w14:solidFill>
          </w14:textFill>
        </w:rPr>
        <w:t>人数</w:t>
      </w:r>
      <w:r>
        <w:rPr>
          <w:rStyle w:val="7"/>
          <w:rFonts w:ascii="方正仿宋_GBK" w:hAnsi="方正仿宋_GBK" w:eastAsia="方正仿宋_GBK" w:cs="方正仿宋_GBK"/>
          <w:b w:val="0"/>
          <w:color w:val="000000" w:themeColor="text1"/>
          <w:sz w:val="32"/>
          <w:szCs w:val="32"/>
          <w14:textFill>
            <w14:solidFill>
              <w14:schemeClr w14:val="tx1"/>
            </w14:solidFill>
          </w14:textFill>
        </w:rPr>
        <w:t>51449</w:t>
      </w:r>
      <w:r>
        <w:rPr>
          <w:rStyle w:val="7"/>
          <w:rFonts w:hint="eastAsia" w:ascii="方正仿宋_GBK" w:hAnsi="方正仿宋_GBK" w:eastAsia="方正仿宋_GBK" w:cs="方正仿宋_GBK"/>
          <w:b w:val="0"/>
          <w:color w:val="000000" w:themeColor="text1"/>
          <w:sz w:val="32"/>
          <w:szCs w:val="32"/>
          <w14:textFill>
            <w14:solidFill>
              <w14:schemeClr w14:val="tx1"/>
            </w14:solidFill>
          </w14:textFill>
        </w:rPr>
        <w:t>人，增长21.1%。</w:t>
      </w:r>
    </w:p>
    <w:p>
      <w:pPr>
        <w:pStyle w:val="5"/>
        <w:spacing w:before="0" w:beforeAutospacing="0" w:after="0" w:afterAutospacing="0"/>
        <w:ind w:left="44" w:right="44" w:firstLine="643" w:firstLineChars="200"/>
        <w:jc w:val="both"/>
        <w:rPr>
          <w:rFonts w:ascii="方正黑体_GBK" w:hAnsi="方正黑体_GBK" w:eastAsia="方正黑体_GBK" w:cs="方正黑体_GBK"/>
          <w:b/>
          <w:kern w:val="2"/>
          <w:sz w:val="32"/>
          <w:szCs w:val="32"/>
        </w:rPr>
      </w:pPr>
      <w:r>
        <w:rPr>
          <w:rFonts w:hint="eastAsia" w:ascii="方正黑体_GBK" w:hAnsi="方正黑体_GBK" w:eastAsia="方正黑体_GBK" w:cs="方正黑体_GBK"/>
          <w:b/>
          <w:kern w:val="2"/>
          <w:sz w:val="32"/>
          <w:szCs w:val="32"/>
        </w:rPr>
        <w:t>十、教育、科学技术和文化</w:t>
      </w:r>
    </w:p>
    <w:p>
      <w:pPr>
        <w:pStyle w:val="5"/>
        <w:spacing w:before="0" w:beforeAutospacing="0" w:after="0" w:afterAutospacing="0"/>
        <w:ind w:left="44" w:right="44" w:firstLine="640" w:firstLineChars="200"/>
        <w:jc w:val="both"/>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全区共有区属各类学校</w:t>
      </w:r>
      <w:r>
        <w:rPr>
          <w:rFonts w:ascii="方正仿宋_GBK" w:hAnsi="方正仿宋_GBK" w:eastAsia="方正仿宋_GBK" w:cs="方正仿宋_GBK"/>
          <w:kern w:val="2"/>
          <w:sz w:val="32"/>
          <w:szCs w:val="32"/>
        </w:rPr>
        <w:t>290</w:t>
      </w:r>
      <w:r>
        <w:rPr>
          <w:rFonts w:hint="eastAsia" w:ascii="方正仿宋_GBK" w:hAnsi="方正仿宋_GBK" w:eastAsia="方正仿宋_GBK" w:cs="方正仿宋_GBK"/>
          <w:kern w:val="2"/>
          <w:sz w:val="32"/>
          <w:szCs w:val="32"/>
        </w:rPr>
        <w:t>所。其中，普通中学 20所（含4所高完中），小学 120所，幼儿园147所，特殊学校１所,职业高中1所，</w:t>
      </w:r>
      <w:r>
        <w:rPr>
          <w:rFonts w:ascii="方正仿宋_GBK" w:hAnsi="方正仿宋_GBK" w:eastAsia="方正仿宋_GBK" w:cs="方正仿宋_GBK"/>
          <w:kern w:val="2"/>
          <w:sz w:val="32"/>
          <w:szCs w:val="32"/>
        </w:rPr>
        <w:t>教师进修学校</w:t>
      </w:r>
      <w:r>
        <w:rPr>
          <w:rFonts w:hint="eastAsia" w:ascii="方正仿宋_GBK" w:hAnsi="方正仿宋_GBK" w:eastAsia="方正仿宋_GBK" w:cs="方正仿宋_GBK"/>
          <w:kern w:val="2"/>
          <w:sz w:val="32"/>
          <w:szCs w:val="32"/>
        </w:rPr>
        <w:t>1所。普通初中招生8833人，在校生26085人，毕业生7680人；普通高中招生4899人，在校生14109人，毕业生4432人；小学招生6912人，在校生45576人，毕业生8892人；中等职业学校</w:t>
      </w:r>
      <w:r>
        <w:rPr>
          <w:rFonts w:ascii="方正仿宋_GBK" w:hAnsi="方正仿宋_GBK" w:eastAsia="方正仿宋_GBK" w:cs="方正仿宋_GBK"/>
          <w:kern w:val="2"/>
          <w:sz w:val="32"/>
          <w:szCs w:val="32"/>
        </w:rPr>
        <w:t>招生</w:t>
      </w:r>
      <w:r>
        <w:rPr>
          <w:rFonts w:hint="eastAsia" w:ascii="方正仿宋_GBK" w:hAnsi="方正仿宋_GBK" w:eastAsia="方正仿宋_GBK" w:cs="方正仿宋_GBK"/>
          <w:kern w:val="2"/>
          <w:sz w:val="32"/>
          <w:szCs w:val="32"/>
        </w:rPr>
        <w:t>1772人</w:t>
      </w:r>
      <w:r>
        <w:rPr>
          <w:rFonts w:ascii="方正仿宋_GBK" w:hAnsi="方正仿宋_GBK" w:eastAsia="方正仿宋_GBK" w:cs="方正仿宋_GBK"/>
          <w:kern w:val="2"/>
          <w:sz w:val="32"/>
          <w:szCs w:val="32"/>
        </w:rPr>
        <w:t>，在校生</w:t>
      </w:r>
      <w:r>
        <w:rPr>
          <w:rFonts w:hint="eastAsia" w:ascii="方正仿宋_GBK" w:hAnsi="方正仿宋_GBK" w:eastAsia="方正仿宋_GBK" w:cs="方正仿宋_GBK"/>
          <w:kern w:val="2"/>
          <w:sz w:val="32"/>
          <w:szCs w:val="32"/>
        </w:rPr>
        <w:t>5288人</w:t>
      </w:r>
      <w:r>
        <w:rPr>
          <w:rFonts w:ascii="方正仿宋_GBK" w:hAnsi="方正仿宋_GBK" w:eastAsia="方正仿宋_GBK" w:cs="方正仿宋_GBK"/>
          <w:kern w:val="2"/>
          <w:sz w:val="32"/>
          <w:szCs w:val="32"/>
        </w:rPr>
        <w:t>，毕业生</w:t>
      </w:r>
      <w:r>
        <w:rPr>
          <w:rFonts w:hint="eastAsia" w:ascii="方正仿宋_GBK" w:hAnsi="方正仿宋_GBK" w:eastAsia="方正仿宋_GBK" w:cs="方正仿宋_GBK"/>
          <w:kern w:val="2"/>
          <w:sz w:val="32"/>
          <w:szCs w:val="32"/>
        </w:rPr>
        <w:t>1469人</w:t>
      </w:r>
      <w:r>
        <w:rPr>
          <w:rFonts w:ascii="方正仿宋_GBK" w:hAnsi="方正仿宋_GBK" w:eastAsia="方正仿宋_GBK" w:cs="方正仿宋_GBK"/>
          <w:kern w:val="2"/>
          <w:sz w:val="32"/>
          <w:szCs w:val="32"/>
        </w:rPr>
        <w:t>；</w:t>
      </w:r>
      <w:r>
        <w:rPr>
          <w:rFonts w:hint="eastAsia" w:ascii="方正仿宋_GBK" w:hAnsi="方正仿宋_GBK" w:eastAsia="方正仿宋_GBK" w:cs="方正仿宋_GBK"/>
          <w:kern w:val="2"/>
          <w:sz w:val="32"/>
          <w:szCs w:val="32"/>
        </w:rPr>
        <w:t>学前教育招生6874人，在校生20120人，毕业生8578人；特殊学校招生16人，在校生177人，毕业生21人。2019年全年全区初中入学率为100%，小学的入学率为100%。</w:t>
      </w:r>
    </w:p>
    <w:p>
      <w:pPr>
        <w:pStyle w:val="5"/>
        <w:spacing w:before="0" w:beforeAutospacing="0" w:after="0" w:afterAutospacing="0"/>
        <w:ind w:right="44"/>
        <w:jc w:val="center"/>
        <w:rPr>
          <w:rFonts w:ascii="方正仿宋_GBK" w:hAnsi="方正仿宋_GBK" w:eastAsia="方正仿宋_GBK" w:cs="方正仿宋_GBK"/>
          <w:kern w:val="2"/>
          <w:sz w:val="32"/>
          <w:szCs w:val="32"/>
        </w:rPr>
      </w:pPr>
      <w:r>
        <w:drawing>
          <wp:inline distT="0" distB="0" distL="0" distR="0">
            <wp:extent cx="4572000" cy="2743200"/>
            <wp:effectExtent l="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5"/>
        <w:tabs>
          <w:tab w:val="left" w:pos="796"/>
        </w:tabs>
        <w:spacing w:before="0" w:beforeAutospacing="0" w:after="0" w:afterAutospacing="0"/>
        <w:ind w:left="45" w:right="45" w:firstLine="560" w:firstLineChars="200"/>
        <w:jc w:val="both"/>
        <w:rPr>
          <w:rFonts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ab/>
      </w:r>
      <w:r>
        <w:rPr>
          <w:rFonts w:hint="eastAsia" w:ascii="方正仿宋_GBK" w:hAnsi="方正仿宋_GBK" w:eastAsia="方正仿宋_GBK" w:cs="方正仿宋_GBK"/>
          <w:kern w:val="2"/>
          <w:sz w:val="28"/>
          <w:szCs w:val="28"/>
        </w:rPr>
        <w:tab/>
      </w:r>
    </w:p>
    <w:p>
      <w:pPr>
        <w:pStyle w:val="5"/>
        <w:spacing w:before="0" w:beforeAutospacing="0" w:after="0" w:afterAutospacing="0"/>
        <w:ind w:left="45" w:right="45" w:firstLine="640" w:firstLineChars="200"/>
        <w:jc w:val="both"/>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全年高新技术企业</w:t>
      </w:r>
      <w:r>
        <w:rPr>
          <w:rFonts w:ascii="方正仿宋_GBK" w:hAnsi="方正仿宋_GBK" w:eastAsia="方正仿宋_GBK" w:cs="方正仿宋_GBK"/>
          <w:kern w:val="2"/>
          <w:sz w:val="32"/>
          <w:szCs w:val="32"/>
        </w:rPr>
        <w:t>7</w:t>
      </w:r>
      <w:r>
        <w:rPr>
          <w:rFonts w:hint="eastAsia" w:ascii="方正仿宋_GBK" w:hAnsi="方正仿宋_GBK" w:eastAsia="方正仿宋_GBK" w:cs="方正仿宋_GBK"/>
          <w:kern w:val="2"/>
          <w:sz w:val="32"/>
          <w:szCs w:val="32"/>
        </w:rPr>
        <w:t>2家。全年获得专利授权</w:t>
      </w:r>
      <w:r>
        <w:rPr>
          <w:rFonts w:ascii="方正仿宋_GBK" w:hAnsi="方正仿宋_GBK" w:eastAsia="方正仿宋_GBK" w:cs="方正仿宋_GBK"/>
          <w:kern w:val="2"/>
          <w:sz w:val="32"/>
          <w:szCs w:val="32"/>
        </w:rPr>
        <w:t>396</w:t>
      </w:r>
      <w:r>
        <w:rPr>
          <w:rFonts w:hint="eastAsia" w:ascii="方正仿宋_GBK" w:hAnsi="方正仿宋_GBK" w:eastAsia="方正仿宋_GBK" w:cs="方正仿宋_GBK"/>
          <w:kern w:val="2"/>
          <w:sz w:val="32"/>
          <w:szCs w:val="32"/>
        </w:rPr>
        <w:t>件。</w:t>
      </w:r>
    </w:p>
    <w:p>
      <w:pPr>
        <w:pStyle w:val="5"/>
        <w:spacing w:before="0" w:beforeAutospacing="0" w:after="0" w:afterAutospacing="0"/>
        <w:ind w:left="45" w:right="45" w:firstLine="640" w:firstLineChars="200"/>
        <w:jc w:val="both"/>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全区共有中国驰名商标3件；地理标志量</w:t>
      </w:r>
      <w:r>
        <w:rPr>
          <w:rFonts w:ascii="方正仿宋_GBK" w:hAnsi="方正仿宋_GBK" w:eastAsia="方正仿宋_GBK" w:cs="方正仿宋_GBK"/>
          <w:kern w:val="2"/>
          <w:sz w:val="32"/>
          <w:szCs w:val="32"/>
        </w:rPr>
        <w:t>7</w:t>
      </w:r>
      <w:r>
        <w:rPr>
          <w:rFonts w:hint="eastAsia" w:ascii="方正仿宋_GBK" w:hAnsi="方正仿宋_GBK" w:eastAsia="方正仿宋_GBK" w:cs="方正仿宋_GBK"/>
          <w:kern w:val="2"/>
          <w:sz w:val="32"/>
          <w:szCs w:val="32"/>
        </w:rPr>
        <w:t>件。</w:t>
      </w:r>
    </w:p>
    <w:p>
      <w:pPr>
        <w:pStyle w:val="5"/>
        <w:spacing w:before="0" w:beforeAutospacing="0" w:after="0" w:afterAutospacing="0"/>
        <w:ind w:left="45" w:right="45" w:firstLine="640" w:firstLineChars="200"/>
        <w:jc w:val="both"/>
        <w:rPr>
          <w:rFonts w:ascii="方正仿宋_GBK" w:hAnsi="方正仿宋_GBK" w:eastAsia="方正仿宋_GBK" w:cs="方正仿宋_GBK"/>
          <w:color w:val="0000FF"/>
          <w:kern w:val="2"/>
          <w:sz w:val="32"/>
          <w:szCs w:val="32"/>
        </w:rPr>
      </w:pPr>
      <w:r>
        <w:rPr>
          <w:rFonts w:hint="eastAsia" w:ascii="方正仿宋_GBK" w:hAnsi="方正仿宋_GBK" w:eastAsia="方正仿宋_GBK" w:cs="方正仿宋_GBK"/>
          <w:kern w:val="2"/>
          <w:sz w:val="32"/>
          <w:szCs w:val="32"/>
        </w:rPr>
        <w:t>全区共有文化馆1个，图书馆1个。有线电视用户</w:t>
      </w:r>
      <w:r>
        <w:rPr>
          <w:rFonts w:ascii="方正仿宋_GBK" w:hAnsi="方正仿宋_GBK" w:eastAsia="方正仿宋_GBK" w:cs="方正仿宋_GBK"/>
          <w:kern w:val="2"/>
          <w:sz w:val="32"/>
          <w:szCs w:val="32"/>
        </w:rPr>
        <w:t>12.65</w:t>
      </w:r>
      <w:r>
        <w:rPr>
          <w:rFonts w:hint="eastAsia" w:ascii="方正仿宋_GBK" w:hAnsi="方正仿宋_GBK" w:eastAsia="方正仿宋_GBK" w:cs="方正仿宋_GBK"/>
          <w:kern w:val="2"/>
          <w:sz w:val="32"/>
          <w:szCs w:val="32"/>
        </w:rPr>
        <w:t>万户，其中数字电视用户</w:t>
      </w:r>
      <w:r>
        <w:rPr>
          <w:rFonts w:ascii="方正仿宋_GBK" w:hAnsi="方正仿宋_GBK" w:eastAsia="方正仿宋_GBK" w:cs="方正仿宋_GBK"/>
          <w:kern w:val="2"/>
          <w:sz w:val="32"/>
          <w:szCs w:val="32"/>
        </w:rPr>
        <w:t>9.84</w:t>
      </w:r>
      <w:r>
        <w:rPr>
          <w:rFonts w:hint="eastAsia" w:ascii="方正仿宋_GBK" w:hAnsi="方正仿宋_GBK" w:eastAsia="方正仿宋_GBK" w:cs="方正仿宋_GBK"/>
          <w:kern w:val="2"/>
          <w:sz w:val="32"/>
          <w:szCs w:val="32"/>
        </w:rPr>
        <w:t>万户。乡镇文化站21个。</w:t>
      </w:r>
    </w:p>
    <w:p>
      <w:pPr>
        <w:pStyle w:val="5"/>
        <w:spacing w:before="0" w:beforeAutospacing="0" w:after="0" w:afterAutospacing="0"/>
        <w:ind w:left="45" w:right="45" w:firstLine="643" w:firstLineChars="200"/>
        <w:jc w:val="both"/>
        <w:rPr>
          <w:rFonts w:ascii="方正黑体_GBK" w:hAnsi="方正黑体_GBK" w:eastAsia="方正黑体_GBK" w:cs="方正黑体_GBK"/>
          <w:b/>
          <w:kern w:val="2"/>
          <w:sz w:val="32"/>
          <w:szCs w:val="32"/>
        </w:rPr>
      </w:pPr>
      <w:r>
        <w:rPr>
          <w:rFonts w:hint="eastAsia" w:ascii="方正黑体_GBK" w:hAnsi="方正黑体_GBK" w:eastAsia="方正黑体_GBK" w:cs="方正黑体_GBK"/>
          <w:b/>
          <w:kern w:val="2"/>
          <w:sz w:val="32"/>
          <w:szCs w:val="32"/>
        </w:rPr>
        <w:t>十一、卫生和社会服务</w:t>
      </w:r>
    </w:p>
    <w:p>
      <w:pPr>
        <w:pStyle w:val="5"/>
        <w:spacing w:before="0" w:beforeAutospacing="0" w:after="0" w:afterAutospacing="0"/>
        <w:ind w:left="45" w:right="45" w:firstLine="640" w:firstLineChars="200"/>
        <w:jc w:val="both"/>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年末全区共有各级各类医疗卫生机构447个（含村卫生室），其中，医院13个，乡镇卫生院15个，社区卫生服务中心6个，诊所（门诊部、医务室）138个，村卫生室271个，疾病预防控制中心1个，卫生健康综合</w:t>
      </w:r>
      <w:r>
        <w:rPr>
          <w:rFonts w:ascii="方正仿宋_GBK" w:hAnsi="方正仿宋_GBK" w:eastAsia="方正仿宋_GBK" w:cs="方正仿宋_GBK"/>
          <w:kern w:val="2"/>
          <w:sz w:val="32"/>
          <w:szCs w:val="32"/>
        </w:rPr>
        <w:t>行政执法支队</w:t>
      </w:r>
      <w:r>
        <w:rPr>
          <w:rFonts w:hint="eastAsia" w:ascii="方正仿宋_GBK" w:hAnsi="方正仿宋_GBK" w:eastAsia="方正仿宋_GBK" w:cs="方正仿宋_GBK"/>
          <w:kern w:val="2"/>
          <w:sz w:val="32"/>
          <w:szCs w:val="32"/>
        </w:rPr>
        <w:t>1个，中心血库1个，卫生健康培训学校1所。共有医疗卫生机构实有床位数</w:t>
      </w:r>
      <w:r>
        <w:rPr>
          <w:rFonts w:ascii="方正仿宋_GBK" w:hAnsi="方正仿宋_GBK" w:eastAsia="方正仿宋_GBK" w:cs="方正仿宋_GBK"/>
          <w:kern w:val="2"/>
          <w:sz w:val="32"/>
          <w:szCs w:val="32"/>
        </w:rPr>
        <w:t>4590</w:t>
      </w:r>
      <w:r>
        <w:rPr>
          <w:rFonts w:hint="eastAsia" w:ascii="方正仿宋_GBK" w:hAnsi="方正仿宋_GBK" w:eastAsia="方正仿宋_GBK" w:cs="方正仿宋_GBK"/>
          <w:kern w:val="2"/>
          <w:sz w:val="32"/>
          <w:szCs w:val="32"/>
        </w:rPr>
        <w:t>张。全区共有卫生技术人员</w:t>
      </w:r>
      <w:r>
        <w:rPr>
          <w:rFonts w:ascii="方正仿宋_GBK" w:hAnsi="方正仿宋_GBK" w:eastAsia="方正仿宋_GBK" w:cs="方正仿宋_GBK"/>
          <w:kern w:val="2"/>
          <w:sz w:val="32"/>
          <w:szCs w:val="32"/>
        </w:rPr>
        <w:t>5337</w:t>
      </w:r>
      <w:r>
        <w:rPr>
          <w:rFonts w:hint="eastAsia" w:ascii="方正仿宋_GBK" w:hAnsi="方正仿宋_GBK" w:eastAsia="方正仿宋_GBK" w:cs="方正仿宋_GBK"/>
          <w:kern w:val="2"/>
          <w:sz w:val="32"/>
          <w:szCs w:val="32"/>
        </w:rPr>
        <w:t>人，其中执业医师和执业助理医师</w:t>
      </w:r>
      <w:r>
        <w:rPr>
          <w:rFonts w:ascii="方正仿宋_GBK" w:hAnsi="方正仿宋_GBK" w:eastAsia="方正仿宋_GBK" w:cs="方正仿宋_GBK"/>
          <w:kern w:val="2"/>
          <w:sz w:val="32"/>
          <w:szCs w:val="32"/>
        </w:rPr>
        <w:t>1985</w:t>
      </w:r>
      <w:r>
        <w:rPr>
          <w:rFonts w:hint="eastAsia" w:ascii="方正仿宋_GBK" w:hAnsi="方正仿宋_GBK" w:eastAsia="方正仿宋_GBK" w:cs="方正仿宋_GBK"/>
          <w:kern w:val="2"/>
          <w:sz w:val="32"/>
          <w:szCs w:val="32"/>
        </w:rPr>
        <w:t>人，注册护士</w:t>
      </w:r>
      <w:r>
        <w:rPr>
          <w:rFonts w:ascii="方正仿宋_GBK" w:hAnsi="方正仿宋_GBK" w:eastAsia="方正仿宋_GBK" w:cs="方正仿宋_GBK"/>
          <w:kern w:val="2"/>
          <w:sz w:val="32"/>
          <w:szCs w:val="32"/>
        </w:rPr>
        <w:t>2263</w:t>
      </w:r>
      <w:r>
        <w:rPr>
          <w:rFonts w:hint="eastAsia" w:ascii="方正仿宋_GBK" w:hAnsi="方正仿宋_GBK" w:eastAsia="方正仿宋_GBK" w:cs="方正仿宋_GBK"/>
          <w:kern w:val="2"/>
          <w:sz w:val="32"/>
          <w:szCs w:val="32"/>
        </w:rPr>
        <w:t>人。</w:t>
      </w:r>
    </w:p>
    <w:p>
      <w:pPr>
        <w:pStyle w:val="5"/>
        <w:spacing w:before="0" w:beforeAutospacing="0" w:after="0" w:afterAutospacing="0"/>
        <w:ind w:left="45" w:right="45" w:firstLine="640" w:firstLineChars="200"/>
        <w:jc w:val="both"/>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年末全区共有</w:t>
      </w:r>
      <w:r>
        <w:rPr>
          <w:rFonts w:ascii="方正仿宋_GBK" w:hAnsi="方正仿宋_GBK" w:eastAsia="方正仿宋_GBK" w:cs="方正仿宋_GBK"/>
          <w:kern w:val="2"/>
          <w:sz w:val="32"/>
          <w:szCs w:val="32"/>
        </w:rPr>
        <w:t>8607</w:t>
      </w:r>
      <w:r>
        <w:rPr>
          <w:rFonts w:hint="eastAsia" w:ascii="方正仿宋_GBK" w:hAnsi="方正仿宋_GBK" w:eastAsia="方正仿宋_GBK" w:cs="方正仿宋_GBK"/>
          <w:kern w:val="2"/>
          <w:sz w:val="32"/>
          <w:szCs w:val="32"/>
        </w:rPr>
        <w:t>户14445人享受城乡居民最低生活保障，比上年减少</w:t>
      </w:r>
      <w:r>
        <w:rPr>
          <w:rFonts w:ascii="方正仿宋_GBK" w:hAnsi="方正仿宋_GBK" w:eastAsia="方正仿宋_GBK" w:cs="方正仿宋_GBK"/>
          <w:kern w:val="2"/>
          <w:sz w:val="32"/>
          <w:szCs w:val="32"/>
        </w:rPr>
        <w:t>249</w:t>
      </w:r>
      <w:r>
        <w:rPr>
          <w:rFonts w:hint="eastAsia" w:ascii="方正仿宋_GBK" w:hAnsi="方正仿宋_GBK" w:eastAsia="方正仿宋_GBK" w:cs="方正仿宋_GBK"/>
          <w:kern w:val="2"/>
          <w:sz w:val="32"/>
          <w:szCs w:val="32"/>
        </w:rPr>
        <w:t>人，下降1.7%，其中城镇居民最低生活保障人数为</w:t>
      </w:r>
      <w:r>
        <w:rPr>
          <w:rFonts w:ascii="方正仿宋_GBK" w:hAnsi="方正仿宋_GBK" w:eastAsia="方正仿宋_GBK" w:cs="方正仿宋_GBK"/>
          <w:kern w:val="2"/>
          <w:sz w:val="32"/>
          <w:szCs w:val="32"/>
        </w:rPr>
        <w:t>5922</w:t>
      </w:r>
      <w:r>
        <w:rPr>
          <w:rFonts w:hint="eastAsia" w:ascii="方正仿宋_GBK" w:hAnsi="方正仿宋_GBK" w:eastAsia="方正仿宋_GBK" w:cs="方正仿宋_GBK"/>
          <w:kern w:val="2"/>
          <w:sz w:val="32"/>
          <w:szCs w:val="32"/>
        </w:rPr>
        <w:t>人，比上年减少240人，城镇居民最低生活保障</w:t>
      </w:r>
      <w:r>
        <w:rPr>
          <w:rFonts w:ascii="方正仿宋_GBK" w:hAnsi="方正仿宋_GBK" w:eastAsia="方正仿宋_GBK" w:cs="方正仿宋_GBK"/>
          <w:kern w:val="2"/>
          <w:sz w:val="32"/>
          <w:szCs w:val="32"/>
        </w:rPr>
        <w:t>3826</w:t>
      </w:r>
      <w:r>
        <w:rPr>
          <w:rFonts w:hint="eastAsia" w:ascii="方正仿宋_GBK" w:hAnsi="方正仿宋_GBK" w:eastAsia="方正仿宋_GBK" w:cs="方正仿宋_GBK"/>
          <w:kern w:val="2"/>
          <w:sz w:val="32"/>
          <w:szCs w:val="32"/>
        </w:rPr>
        <w:t>户，比上年减少67户；农村居民最低生活保障人数为</w:t>
      </w:r>
      <w:r>
        <w:rPr>
          <w:rFonts w:ascii="方正仿宋_GBK" w:hAnsi="方正仿宋_GBK" w:eastAsia="方正仿宋_GBK" w:cs="方正仿宋_GBK"/>
          <w:kern w:val="2"/>
          <w:sz w:val="32"/>
          <w:szCs w:val="32"/>
        </w:rPr>
        <w:t>8523</w:t>
      </w:r>
      <w:r>
        <w:rPr>
          <w:rFonts w:hint="eastAsia" w:ascii="方正仿宋_GBK" w:hAnsi="方正仿宋_GBK" w:eastAsia="方正仿宋_GBK" w:cs="方正仿宋_GBK"/>
          <w:kern w:val="2"/>
          <w:sz w:val="32"/>
          <w:szCs w:val="32"/>
        </w:rPr>
        <w:t>人，比上年减少9人，农村居民最低生活保障</w:t>
      </w:r>
      <w:r>
        <w:rPr>
          <w:rFonts w:ascii="方正仿宋_GBK" w:hAnsi="方正仿宋_GBK" w:eastAsia="方正仿宋_GBK" w:cs="方正仿宋_GBK"/>
          <w:kern w:val="2"/>
          <w:sz w:val="32"/>
          <w:szCs w:val="32"/>
        </w:rPr>
        <w:t>4781</w:t>
      </w:r>
      <w:r>
        <w:rPr>
          <w:rFonts w:hint="eastAsia" w:ascii="方正仿宋_GBK" w:hAnsi="方正仿宋_GBK" w:eastAsia="方正仿宋_GBK" w:cs="方正仿宋_GBK"/>
          <w:kern w:val="2"/>
          <w:sz w:val="32"/>
          <w:szCs w:val="32"/>
        </w:rPr>
        <w:t>户，比上年增加</w:t>
      </w:r>
      <w:r>
        <w:rPr>
          <w:rFonts w:ascii="方正仿宋_GBK" w:hAnsi="方正仿宋_GBK" w:eastAsia="方正仿宋_GBK" w:cs="方正仿宋_GBK"/>
          <w:kern w:val="2"/>
          <w:sz w:val="32"/>
          <w:szCs w:val="32"/>
        </w:rPr>
        <w:t>3</w:t>
      </w:r>
      <w:r>
        <w:rPr>
          <w:rFonts w:hint="eastAsia" w:ascii="方正仿宋_GBK" w:hAnsi="方正仿宋_GBK" w:eastAsia="方正仿宋_GBK" w:cs="方正仿宋_GBK"/>
          <w:kern w:val="2"/>
          <w:sz w:val="32"/>
          <w:szCs w:val="32"/>
        </w:rPr>
        <w:t>户。全年共救助城乡低保对象</w:t>
      </w:r>
      <w:r>
        <w:rPr>
          <w:rFonts w:ascii="方正仿宋_GBK" w:hAnsi="方正仿宋_GBK" w:eastAsia="方正仿宋_GBK" w:cs="方正仿宋_GBK"/>
          <w:kern w:val="2"/>
          <w:sz w:val="32"/>
          <w:szCs w:val="32"/>
        </w:rPr>
        <w:t>14445</w:t>
      </w:r>
      <w:r>
        <w:rPr>
          <w:rFonts w:hint="eastAsia" w:ascii="方正仿宋_GBK" w:hAnsi="方正仿宋_GBK" w:eastAsia="方正仿宋_GBK" w:cs="方正仿宋_GBK"/>
          <w:kern w:val="2"/>
          <w:sz w:val="32"/>
          <w:szCs w:val="32"/>
        </w:rPr>
        <w:t>人，发放低保金</w:t>
      </w:r>
      <w:r>
        <w:rPr>
          <w:rFonts w:ascii="方正仿宋_GBK" w:hAnsi="方正仿宋_GBK" w:eastAsia="方正仿宋_GBK" w:cs="方正仿宋_GBK"/>
          <w:kern w:val="2"/>
          <w:sz w:val="32"/>
          <w:szCs w:val="32"/>
        </w:rPr>
        <w:t>7382.3</w:t>
      </w:r>
      <w:r>
        <w:rPr>
          <w:rFonts w:hint="eastAsia" w:ascii="方正仿宋_GBK" w:hAnsi="方正仿宋_GBK" w:eastAsia="方正仿宋_GBK" w:cs="方正仿宋_GBK"/>
          <w:kern w:val="2"/>
          <w:sz w:val="32"/>
          <w:szCs w:val="32"/>
        </w:rPr>
        <w:t>万元，其中农村低保发放</w:t>
      </w:r>
      <w:r>
        <w:rPr>
          <w:rFonts w:ascii="方正仿宋_GBK" w:hAnsi="方正仿宋_GBK" w:eastAsia="方正仿宋_GBK" w:cs="方正仿宋_GBK"/>
          <w:kern w:val="2"/>
          <w:sz w:val="32"/>
          <w:szCs w:val="32"/>
        </w:rPr>
        <w:t>3901.5</w:t>
      </w:r>
      <w:r>
        <w:rPr>
          <w:rFonts w:hint="eastAsia" w:ascii="方正仿宋_GBK" w:hAnsi="方正仿宋_GBK" w:eastAsia="方正仿宋_GBK" w:cs="方正仿宋_GBK"/>
          <w:kern w:val="2"/>
          <w:sz w:val="32"/>
          <w:szCs w:val="32"/>
        </w:rPr>
        <w:t>万元，城镇低保发放</w:t>
      </w:r>
      <w:r>
        <w:rPr>
          <w:rFonts w:ascii="方正仿宋_GBK" w:hAnsi="方正仿宋_GBK" w:eastAsia="方正仿宋_GBK" w:cs="方正仿宋_GBK"/>
          <w:kern w:val="2"/>
          <w:sz w:val="32"/>
          <w:szCs w:val="32"/>
        </w:rPr>
        <w:t>3480.8</w:t>
      </w:r>
      <w:r>
        <w:rPr>
          <w:rFonts w:hint="eastAsia" w:ascii="方正仿宋_GBK" w:hAnsi="方正仿宋_GBK" w:eastAsia="方正仿宋_GBK" w:cs="方正仿宋_GBK"/>
          <w:kern w:val="2"/>
          <w:sz w:val="32"/>
          <w:szCs w:val="32"/>
        </w:rPr>
        <w:t>万元。农村特困人员救助供养人数</w:t>
      </w:r>
      <w:r>
        <w:rPr>
          <w:rFonts w:ascii="方正仿宋_GBK" w:hAnsi="方正仿宋_GBK" w:eastAsia="方正仿宋_GBK" w:cs="方正仿宋_GBK"/>
          <w:kern w:val="2"/>
          <w:sz w:val="32"/>
          <w:szCs w:val="32"/>
        </w:rPr>
        <w:t>5188</w:t>
      </w:r>
      <w:r>
        <w:rPr>
          <w:rFonts w:hint="eastAsia" w:ascii="方正仿宋_GBK" w:hAnsi="方正仿宋_GBK" w:eastAsia="方正仿宋_GBK" w:cs="方正仿宋_GBK"/>
          <w:kern w:val="2"/>
          <w:sz w:val="32"/>
          <w:szCs w:val="32"/>
        </w:rPr>
        <w:t>人。</w:t>
      </w:r>
    </w:p>
    <w:p>
      <w:pPr>
        <w:pStyle w:val="5"/>
        <w:spacing w:before="0" w:beforeAutospacing="0" w:after="0" w:afterAutospacing="0"/>
        <w:ind w:left="45" w:right="45" w:firstLine="640" w:firstLineChars="200"/>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城市居民最低生活保障标准为</w:t>
      </w:r>
      <w:r>
        <w:rPr>
          <w:rFonts w:ascii="方正仿宋_GBK" w:hAnsi="方正仿宋_GBK" w:eastAsia="方正仿宋_GBK" w:cs="方正仿宋_GBK"/>
          <w:kern w:val="2"/>
          <w:sz w:val="32"/>
          <w:szCs w:val="32"/>
        </w:rPr>
        <w:t>580</w:t>
      </w:r>
      <w:r>
        <w:rPr>
          <w:rFonts w:hint="eastAsia" w:ascii="方正仿宋_GBK" w:hAnsi="方正仿宋_GBK" w:eastAsia="方正仿宋_GBK" w:cs="方正仿宋_GBK"/>
          <w:kern w:val="2"/>
          <w:sz w:val="32"/>
          <w:szCs w:val="32"/>
        </w:rPr>
        <w:t>元/月，农村居民最低生活保障标准为</w:t>
      </w:r>
      <w:r>
        <w:rPr>
          <w:rFonts w:ascii="方正仿宋_GBK" w:hAnsi="方正仿宋_GBK" w:eastAsia="方正仿宋_GBK" w:cs="方正仿宋_GBK"/>
          <w:kern w:val="2"/>
          <w:sz w:val="32"/>
          <w:szCs w:val="32"/>
        </w:rPr>
        <w:t>440</w:t>
      </w:r>
      <w:r>
        <w:rPr>
          <w:rFonts w:hint="eastAsia" w:ascii="方正仿宋_GBK" w:hAnsi="方正仿宋_GBK" w:eastAsia="方正仿宋_GBK" w:cs="方正仿宋_GBK"/>
          <w:kern w:val="2"/>
          <w:sz w:val="32"/>
          <w:szCs w:val="32"/>
        </w:rPr>
        <w:t>元/月，分别比上年增长</w:t>
      </w:r>
      <w:r>
        <w:rPr>
          <w:rFonts w:ascii="方正仿宋_GBK" w:hAnsi="方正仿宋_GBK" w:eastAsia="方正仿宋_GBK" w:cs="方正仿宋_GBK"/>
          <w:kern w:val="2"/>
          <w:sz w:val="32"/>
          <w:szCs w:val="32"/>
        </w:rPr>
        <w:t>6.2</w:t>
      </w:r>
      <w:r>
        <w:rPr>
          <w:rFonts w:hint="eastAsia" w:ascii="方正仿宋_GBK" w:hAnsi="方正仿宋_GBK" w:eastAsia="方正仿宋_GBK" w:cs="方正仿宋_GBK"/>
          <w:kern w:val="2"/>
          <w:sz w:val="32"/>
          <w:szCs w:val="32"/>
        </w:rPr>
        <w:t>%和</w:t>
      </w:r>
      <w:r>
        <w:rPr>
          <w:rFonts w:ascii="方正仿宋_GBK" w:hAnsi="方正仿宋_GBK" w:eastAsia="方正仿宋_GBK" w:cs="方正仿宋_GBK"/>
          <w:kern w:val="2"/>
          <w:sz w:val="32"/>
          <w:szCs w:val="32"/>
        </w:rPr>
        <w:t>7.3</w:t>
      </w:r>
      <w:r>
        <w:rPr>
          <w:rFonts w:hint="eastAsia" w:ascii="方正仿宋_GBK" w:hAnsi="方正仿宋_GBK" w:eastAsia="方正仿宋_GBK" w:cs="方正仿宋_GBK"/>
          <w:kern w:val="2"/>
          <w:sz w:val="32"/>
          <w:szCs w:val="32"/>
        </w:rPr>
        <w:t>%。</w:t>
      </w:r>
    </w:p>
    <w:p>
      <w:pPr>
        <w:pStyle w:val="5"/>
        <w:spacing w:before="0" w:beforeAutospacing="0" w:after="0" w:afterAutospacing="0"/>
        <w:ind w:left="44" w:right="44" w:firstLine="643" w:firstLineChars="200"/>
        <w:jc w:val="both"/>
        <w:rPr>
          <w:rFonts w:ascii="方正黑体_GBK" w:hAnsi="方正黑体_GBK" w:eastAsia="方正黑体_GBK" w:cs="方正黑体_GBK"/>
          <w:b/>
          <w:kern w:val="2"/>
          <w:sz w:val="32"/>
          <w:szCs w:val="32"/>
        </w:rPr>
      </w:pPr>
    </w:p>
    <w:p>
      <w:pPr>
        <w:pStyle w:val="5"/>
        <w:spacing w:before="0" w:beforeAutospacing="0" w:after="0" w:afterAutospacing="0"/>
        <w:ind w:left="44" w:right="44" w:firstLine="643" w:firstLineChars="200"/>
        <w:jc w:val="both"/>
        <w:rPr>
          <w:rFonts w:ascii="方正黑体_GBK" w:hAnsi="方正黑体_GBK" w:eastAsia="方正黑体_GBK" w:cs="方正黑体_GBK"/>
          <w:b/>
          <w:kern w:val="2"/>
          <w:sz w:val="32"/>
          <w:szCs w:val="32"/>
        </w:rPr>
      </w:pPr>
      <w:r>
        <w:rPr>
          <w:rFonts w:hint="eastAsia" w:ascii="方正黑体_GBK" w:hAnsi="方正黑体_GBK" w:eastAsia="方正黑体_GBK" w:cs="方正黑体_GBK"/>
          <w:b/>
          <w:kern w:val="2"/>
          <w:sz w:val="32"/>
          <w:szCs w:val="32"/>
        </w:rPr>
        <w:t>十二、资源和安全生产</w:t>
      </w:r>
    </w:p>
    <w:p>
      <w:pPr>
        <w:pStyle w:val="5"/>
        <w:spacing w:before="0" w:beforeAutospacing="0" w:after="0" w:afterAutospacing="0"/>
        <w:ind w:left="44" w:right="44" w:firstLine="640" w:firstLineChars="200"/>
        <w:jc w:val="both"/>
        <w:rPr>
          <w:rFonts w:ascii="方正仿宋_GBK" w:hAnsi="方正黑体_GBK" w:eastAsia="方正仿宋_GBK" w:cs="方正黑体_GBK"/>
          <w:kern w:val="2"/>
          <w:sz w:val="32"/>
          <w:szCs w:val="32"/>
        </w:rPr>
      </w:pPr>
      <w:r>
        <w:rPr>
          <w:rFonts w:hint="eastAsia" w:ascii="方正仿宋_GBK" w:hAnsi="方正黑体_GBK" w:eastAsia="方正仿宋_GBK" w:cs="方正黑体_GBK"/>
          <w:kern w:val="2"/>
          <w:sz w:val="32"/>
          <w:szCs w:val="32"/>
        </w:rPr>
        <w:t>当年降水量982</w:t>
      </w:r>
      <w:r>
        <w:rPr>
          <w:rFonts w:ascii="方正仿宋_GBK" w:hAnsi="方正黑体_GBK" w:eastAsia="方正仿宋_GBK" w:cs="方正黑体_GBK"/>
          <w:kern w:val="2"/>
          <w:sz w:val="32"/>
          <w:szCs w:val="32"/>
        </w:rPr>
        <w:t>毫米，</w:t>
      </w:r>
      <w:r>
        <w:rPr>
          <w:rFonts w:hint="eastAsia" w:ascii="方正仿宋_GBK" w:hAnsi="方正黑体_GBK" w:eastAsia="方正仿宋_GBK" w:cs="方正黑体_GBK"/>
          <w:kern w:val="2"/>
          <w:sz w:val="32"/>
          <w:szCs w:val="32"/>
        </w:rPr>
        <w:t>比</w:t>
      </w:r>
      <w:r>
        <w:rPr>
          <w:rFonts w:ascii="方正仿宋_GBK" w:hAnsi="方正黑体_GBK" w:eastAsia="方正仿宋_GBK" w:cs="方正黑体_GBK"/>
          <w:kern w:val="2"/>
          <w:sz w:val="32"/>
          <w:szCs w:val="32"/>
        </w:rPr>
        <w:t>上年</w:t>
      </w:r>
      <w:r>
        <w:rPr>
          <w:rFonts w:hint="eastAsia" w:ascii="方正仿宋_GBK" w:hAnsi="方正黑体_GBK" w:eastAsia="方正仿宋_GBK" w:cs="方正黑体_GBK"/>
          <w:kern w:val="2"/>
          <w:sz w:val="32"/>
          <w:szCs w:val="32"/>
        </w:rPr>
        <w:t>下降3.0</w:t>
      </w:r>
      <w:r>
        <w:rPr>
          <w:rFonts w:ascii="方正仿宋_GBK" w:hAnsi="方正黑体_GBK" w:eastAsia="方正仿宋_GBK" w:cs="方正黑体_GBK"/>
          <w:kern w:val="2"/>
          <w:sz w:val="32"/>
          <w:szCs w:val="32"/>
        </w:rPr>
        <w:t>%。全年</w:t>
      </w:r>
      <w:r>
        <w:rPr>
          <w:rFonts w:hint="eastAsia" w:ascii="方正仿宋_GBK" w:hAnsi="方正黑体_GBK" w:eastAsia="方正仿宋_GBK" w:cs="方正黑体_GBK"/>
          <w:kern w:val="2"/>
          <w:sz w:val="32"/>
          <w:szCs w:val="32"/>
        </w:rPr>
        <w:t>用水</w:t>
      </w:r>
      <w:r>
        <w:rPr>
          <w:rFonts w:ascii="方正仿宋_GBK" w:hAnsi="方正黑体_GBK" w:eastAsia="方正仿宋_GBK" w:cs="方正黑体_GBK"/>
          <w:kern w:val="2"/>
          <w:sz w:val="32"/>
          <w:szCs w:val="32"/>
        </w:rPr>
        <w:t>总量</w:t>
      </w:r>
      <w:r>
        <w:rPr>
          <w:rFonts w:hint="eastAsia" w:ascii="方正仿宋_GBK" w:hAnsi="方正黑体_GBK" w:eastAsia="方正仿宋_GBK" w:cs="方正黑体_GBK"/>
          <w:kern w:val="2"/>
          <w:sz w:val="32"/>
          <w:szCs w:val="32"/>
        </w:rPr>
        <w:t>1.7561亿立方米</w:t>
      </w:r>
      <w:r>
        <w:rPr>
          <w:rFonts w:ascii="方正仿宋_GBK" w:hAnsi="方正黑体_GBK" w:eastAsia="方正仿宋_GBK" w:cs="方正黑体_GBK"/>
          <w:kern w:val="2"/>
          <w:sz w:val="32"/>
          <w:szCs w:val="32"/>
        </w:rPr>
        <w:t>，比上年</w:t>
      </w:r>
      <w:r>
        <w:rPr>
          <w:rFonts w:hint="eastAsia" w:ascii="方正仿宋_GBK" w:hAnsi="方正黑体_GBK" w:eastAsia="方正仿宋_GBK" w:cs="方正黑体_GBK"/>
          <w:kern w:val="2"/>
          <w:sz w:val="32"/>
          <w:szCs w:val="32"/>
        </w:rPr>
        <w:t>增长2.1</w:t>
      </w:r>
      <w:r>
        <w:rPr>
          <w:rFonts w:ascii="方正仿宋_GBK" w:hAnsi="方正黑体_GBK" w:eastAsia="方正仿宋_GBK" w:cs="方正黑体_GBK"/>
          <w:kern w:val="2"/>
          <w:sz w:val="32"/>
          <w:szCs w:val="32"/>
        </w:rPr>
        <w:t>%</w:t>
      </w:r>
      <w:r>
        <w:rPr>
          <w:rFonts w:hint="eastAsia" w:ascii="方正仿宋_GBK" w:hAnsi="方正黑体_GBK" w:eastAsia="方正仿宋_GBK" w:cs="方正黑体_GBK"/>
          <w:kern w:val="2"/>
          <w:sz w:val="32"/>
          <w:szCs w:val="32"/>
        </w:rPr>
        <w:t>。</w:t>
      </w:r>
    </w:p>
    <w:p>
      <w:pPr>
        <w:widowControl/>
        <w:ind w:firstLine="640" w:firstLineChars="200"/>
        <w:jc w:val="left"/>
        <w:rPr>
          <w:rStyle w:val="7"/>
          <w:rFonts w:ascii="方正仿宋_GBK" w:hAnsi="方正仿宋_GBK" w:eastAsia="方正仿宋_GBK" w:cs="方正仿宋_GBK"/>
          <w:b w:val="0"/>
          <w:bCs/>
          <w:sz w:val="32"/>
          <w:szCs w:val="32"/>
        </w:rPr>
      </w:pPr>
      <w:r>
        <w:rPr>
          <w:rStyle w:val="7"/>
          <w:rFonts w:hint="eastAsia" w:ascii="方正仿宋_GBK" w:hAnsi="方正仿宋_GBK" w:eastAsia="方正仿宋_GBK" w:cs="方正仿宋_GBK"/>
          <w:b w:val="0"/>
          <w:bCs/>
          <w:kern w:val="0"/>
          <w:sz w:val="32"/>
          <w:szCs w:val="32"/>
        </w:rPr>
        <w:t>全区森林面积</w:t>
      </w:r>
      <w:r>
        <w:rPr>
          <w:rStyle w:val="7"/>
          <w:rFonts w:ascii="方正仿宋_GBK" w:hAnsi="方正仿宋_GBK" w:eastAsia="方正仿宋_GBK" w:cs="方正仿宋_GBK"/>
          <w:b w:val="0"/>
          <w:bCs/>
          <w:kern w:val="0"/>
          <w:sz w:val="32"/>
          <w:szCs w:val="32"/>
        </w:rPr>
        <w:t>59.06</w:t>
      </w:r>
      <w:r>
        <w:rPr>
          <w:rStyle w:val="7"/>
          <w:rFonts w:hint="eastAsia" w:ascii="方正仿宋_GBK" w:hAnsi="方正仿宋_GBK" w:eastAsia="方正仿宋_GBK" w:cs="方正仿宋_GBK"/>
          <w:b w:val="0"/>
          <w:bCs/>
          <w:kern w:val="0"/>
          <w:sz w:val="32"/>
          <w:szCs w:val="32"/>
        </w:rPr>
        <w:t>万亩，森林覆盖率36.6%。</w:t>
      </w:r>
      <w:r>
        <w:rPr>
          <w:rStyle w:val="7"/>
          <w:rFonts w:hint="eastAsia" w:ascii="方正仿宋_GBK" w:hAnsi="方正仿宋_GBK" w:eastAsia="方正仿宋_GBK" w:cs="方正仿宋_GBK"/>
          <w:b w:val="0"/>
          <w:bCs/>
          <w:sz w:val="32"/>
          <w:szCs w:val="32"/>
        </w:rPr>
        <w:t>建成区园林绿化覆盖面积1459.92公顷。</w:t>
      </w:r>
    </w:p>
    <w:p>
      <w:pPr>
        <w:pStyle w:val="5"/>
        <w:spacing w:before="0" w:beforeAutospacing="0" w:after="0" w:afterAutospacing="0"/>
        <w:ind w:left="44" w:right="44" w:firstLine="640" w:firstLineChars="200"/>
        <w:jc w:val="both"/>
        <w:rPr>
          <w:rStyle w:val="7"/>
          <w:rFonts w:ascii="方正仿宋_GBK" w:hAnsi="方正仿宋_GBK" w:eastAsia="方正仿宋_GBK" w:cs="方正仿宋_GBK"/>
          <w:b w:val="0"/>
          <w:sz w:val="32"/>
          <w:szCs w:val="32"/>
        </w:rPr>
      </w:pPr>
      <w:r>
        <w:rPr>
          <w:rStyle w:val="7"/>
          <w:rFonts w:hint="eastAsia" w:ascii="方正仿宋_GBK" w:hAnsi="方正仿宋_GBK" w:eastAsia="方正仿宋_GBK" w:cs="方正仿宋_GBK"/>
          <w:b w:val="0"/>
          <w:sz w:val="32"/>
          <w:szCs w:val="32"/>
        </w:rPr>
        <w:t>全年全区全社会用电量</w:t>
      </w:r>
      <w:r>
        <w:rPr>
          <w:rStyle w:val="7"/>
          <w:rFonts w:ascii="方正仿宋_GBK" w:hAnsi="方正仿宋_GBK" w:eastAsia="方正仿宋_GBK" w:cs="方正仿宋_GBK"/>
          <w:b w:val="0"/>
          <w:sz w:val="32"/>
          <w:szCs w:val="32"/>
        </w:rPr>
        <w:t>12.63</w:t>
      </w:r>
      <w:r>
        <w:rPr>
          <w:rStyle w:val="7"/>
          <w:rFonts w:hint="eastAsia" w:ascii="方正仿宋_GBK" w:hAnsi="方正仿宋_GBK" w:eastAsia="方正仿宋_GBK" w:cs="方正仿宋_GBK"/>
          <w:b w:val="0"/>
          <w:sz w:val="32"/>
          <w:szCs w:val="32"/>
        </w:rPr>
        <w:t>亿千瓦时，增长</w:t>
      </w:r>
      <w:r>
        <w:rPr>
          <w:rStyle w:val="7"/>
          <w:rFonts w:ascii="方正仿宋_GBK" w:hAnsi="方正仿宋_GBK" w:eastAsia="方正仿宋_GBK" w:cs="方正仿宋_GBK"/>
          <w:b w:val="0"/>
          <w:sz w:val="32"/>
          <w:szCs w:val="32"/>
        </w:rPr>
        <w:t>6.8</w:t>
      </w:r>
      <w:r>
        <w:rPr>
          <w:rStyle w:val="7"/>
          <w:rFonts w:hint="eastAsia" w:ascii="方正仿宋_GBK" w:hAnsi="方正仿宋_GBK" w:eastAsia="方正仿宋_GBK" w:cs="方正仿宋_GBK"/>
          <w:b w:val="0"/>
          <w:sz w:val="32"/>
          <w:szCs w:val="32"/>
        </w:rPr>
        <w:t>%；其中城乡居民生活用电</w:t>
      </w:r>
      <w:r>
        <w:rPr>
          <w:rStyle w:val="7"/>
          <w:rFonts w:ascii="方正仿宋_GBK" w:hAnsi="方正仿宋_GBK" w:eastAsia="方正仿宋_GBK" w:cs="方正仿宋_GBK"/>
          <w:b w:val="0"/>
          <w:sz w:val="32"/>
          <w:szCs w:val="32"/>
        </w:rPr>
        <w:t>4.14</w:t>
      </w:r>
      <w:r>
        <w:rPr>
          <w:rStyle w:val="7"/>
          <w:rFonts w:hint="eastAsia" w:ascii="方正仿宋_GBK" w:hAnsi="方正仿宋_GBK" w:eastAsia="方正仿宋_GBK" w:cs="方正仿宋_GBK"/>
          <w:b w:val="0"/>
          <w:sz w:val="32"/>
          <w:szCs w:val="32"/>
        </w:rPr>
        <w:t>亿千瓦时，增长</w:t>
      </w:r>
      <w:r>
        <w:rPr>
          <w:rStyle w:val="7"/>
          <w:rFonts w:ascii="方正仿宋_GBK" w:hAnsi="方正仿宋_GBK" w:eastAsia="方正仿宋_GBK" w:cs="方正仿宋_GBK"/>
          <w:b w:val="0"/>
          <w:sz w:val="32"/>
          <w:szCs w:val="32"/>
        </w:rPr>
        <w:t>2.0</w:t>
      </w:r>
      <w:r>
        <w:rPr>
          <w:rStyle w:val="7"/>
          <w:rFonts w:hint="eastAsia" w:ascii="方正仿宋_GBK" w:hAnsi="方正仿宋_GBK" w:eastAsia="方正仿宋_GBK" w:cs="方正仿宋_GBK"/>
          <w:b w:val="0"/>
          <w:sz w:val="32"/>
          <w:szCs w:val="32"/>
        </w:rPr>
        <w:t>%。</w:t>
      </w:r>
    </w:p>
    <w:p>
      <w:pPr>
        <w:pStyle w:val="5"/>
        <w:spacing w:before="0" w:beforeAutospacing="0" w:after="0" w:afterAutospacing="0"/>
        <w:ind w:left="44" w:right="44" w:firstLine="640" w:firstLineChars="200"/>
        <w:jc w:val="both"/>
        <w:rPr>
          <w:rStyle w:val="7"/>
          <w:b w:val="0"/>
          <w:sz w:val="32"/>
          <w:szCs w:val="32"/>
        </w:rPr>
      </w:pPr>
      <w:r>
        <w:rPr>
          <w:rStyle w:val="7"/>
          <w:rFonts w:hint="eastAsia" w:ascii="方正仿宋_GBK" w:hAnsi="方正仿宋_GBK" w:eastAsia="方正仿宋_GBK" w:cs="方正仿宋_GBK"/>
          <w:b w:val="0"/>
          <w:sz w:val="32"/>
          <w:szCs w:val="32"/>
        </w:rPr>
        <w:t>全年生产安全事故死亡人数</w:t>
      </w:r>
      <w:r>
        <w:rPr>
          <w:rStyle w:val="7"/>
          <w:rFonts w:ascii="方正仿宋_GBK" w:hAnsi="方正仿宋_GBK" w:eastAsia="方正仿宋_GBK" w:cs="方正仿宋_GBK"/>
          <w:b w:val="0"/>
          <w:sz w:val="32"/>
          <w:szCs w:val="32"/>
        </w:rPr>
        <w:t>15</w:t>
      </w:r>
      <w:r>
        <w:rPr>
          <w:rStyle w:val="7"/>
          <w:rFonts w:hint="eastAsia" w:ascii="方正仿宋_GBK" w:hAnsi="方正仿宋_GBK" w:eastAsia="方正仿宋_GBK" w:cs="方正仿宋_GBK"/>
          <w:b w:val="0"/>
          <w:sz w:val="32"/>
          <w:szCs w:val="32"/>
        </w:rPr>
        <w:t>人，比上年增长60.0%。其中，工矿商贸企业事故死亡人数</w:t>
      </w:r>
      <w:r>
        <w:rPr>
          <w:rStyle w:val="7"/>
          <w:rFonts w:ascii="方正仿宋_GBK" w:hAnsi="方正仿宋_GBK" w:eastAsia="方正仿宋_GBK" w:cs="方正仿宋_GBK"/>
          <w:b w:val="0"/>
          <w:sz w:val="32"/>
          <w:szCs w:val="32"/>
        </w:rPr>
        <w:t>6</w:t>
      </w:r>
      <w:r>
        <w:rPr>
          <w:rStyle w:val="7"/>
          <w:rFonts w:hint="eastAsia" w:ascii="方正仿宋_GBK" w:hAnsi="方正仿宋_GBK" w:eastAsia="方正仿宋_GBK" w:cs="方正仿宋_GBK"/>
          <w:b w:val="0"/>
          <w:sz w:val="32"/>
          <w:szCs w:val="32"/>
        </w:rPr>
        <w:t>人，营运车辆交通事故7日内</w:t>
      </w:r>
      <w:r>
        <w:rPr>
          <w:rStyle w:val="7"/>
          <w:rFonts w:ascii="方正仿宋_GBK" w:hAnsi="方正仿宋_GBK" w:eastAsia="方正仿宋_GBK" w:cs="方正仿宋_GBK"/>
          <w:b w:val="0"/>
          <w:sz w:val="32"/>
          <w:szCs w:val="32"/>
        </w:rPr>
        <w:t>死亡人数</w:t>
      </w:r>
      <w:r>
        <w:rPr>
          <w:rStyle w:val="7"/>
          <w:rFonts w:hint="eastAsia" w:ascii="方正仿宋_GBK" w:hAnsi="方正仿宋_GBK" w:eastAsia="方正仿宋_GBK" w:cs="方正仿宋_GBK"/>
          <w:b w:val="0"/>
          <w:sz w:val="32"/>
          <w:szCs w:val="32"/>
        </w:rPr>
        <w:t>死亡</w:t>
      </w:r>
      <w:r>
        <w:rPr>
          <w:rStyle w:val="7"/>
          <w:rFonts w:ascii="方正仿宋_GBK" w:hAnsi="方正仿宋_GBK" w:eastAsia="方正仿宋_GBK" w:cs="方正仿宋_GBK"/>
          <w:b w:val="0"/>
          <w:sz w:val="32"/>
          <w:szCs w:val="32"/>
        </w:rPr>
        <w:t>7</w:t>
      </w:r>
      <w:r>
        <w:rPr>
          <w:rStyle w:val="7"/>
          <w:rFonts w:hint="eastAsia" w:ascii="方正仿宋_GBK" w:hAnsi="方正仿宋_GBK" w:eastAsia="方正仿宋_GBK" w:cs="方正仿宋_GBK"/>
          <w:b w:val="0"/>
          <w:sz w:val="32"/>
          <w:szCs w:val="32"/>
        </w:rPr>
        <w:t>人。</w:t>
      </w:r>
    </w:p>
    <w:p>
      <w:pPr>
        <w:pStyle w:val="5"/>
        <w:spacing w:before="0" w:beforeAutospacing="0" w:after="0" w:afterAutospacing="0"/>
        <w:ind w:left="130" w:leftChars="62" w:right="45" w:firstLine="640" w:firstLineChars="200"/>
        <w:rPr>
          <w:rFonts w:ascii="仿宋_GB2312" w:eastAsia="仿宋_GB2312"/>
          <w:color w:val="FF0000"/>
          <w:sz w:val="32"/>
          <w:szCs w:val="32"/>
        </w:rPr>
      </w:pPr>
    </w:p>
    <w:p>
      <w:pPr>
        <w:pStyle w:val="5"/>
        <w:spacing w:before="0" w:beforeAutospacing="0" w:after="0" w:afterAutospacing="0"/>
        <w:ind w:left="130" w:leftChars="62" w:right="45" w:firstLine="640" w:firstLineChars="200"/>
        <w:rPr>
          <w:rFonts w:ascii="仿宋_GB2312" w:eastAsia="仿宋_GB2312"/>
          <w:color w:val="000000"/>
          <w:sz w:val="32"/>
          <w:szCs w:val="32"/>
        </w:rPr>
      </w:pPr>
    </w:p>
    <w:p>
      <w:pPr>
        <w:pStyle w:val="5"/>
        <w:spacing w:before="0" w:beforeAutospacing="0" w:after="0" w:afterAutospacing="0"/>
        <w:ind w:left="130" w:leftChars="62" w:right="45" w:firstLine="420" w:firstLineChars="200"/>
        <w:rPr>
          <w:rFonts w:ascii="仿宋_GB2312" w:eastAsia="仿宋_GB2312"/>
          <w:color w:val="000000"/>
          <w:sz w:val="21"/>
          <w:szCs w:val="21"/>
        </w:rPr>
      </w:pPr>
    </w:p>
    <w:p>
      <w:pPr>
        <w:pStyle w:val="5"/>
        <w:spacing w:before="0" w:beforeAutospacing="0" w:after="0" w:afterAutospacing="0"/>
        <w:ind w:left="130" w:leftChars="62" w:right="45" w:firstLine="420" w:firstLineChars="200"/>
        <w:rPr>
          <w:rFonts w:ascii="仿宋_GB2312" w:eastAsia="仿宋_GB2312"/>
          <w:color w:val="000000"/>
          <w:sz w:val="21"/>
          <w:szCs w:val="21"/>
        </w:rPr>
      </w:pPr>
    </w:p>
    <w:p>
      <w:pPr>
        <w:pStyle w:val="5"/>
        <w:spacing w:before="0" w:beforeAutospacing="0" w:after="0" w:afterAutospacing="0"/>
        <w:ind w:left="130" w:leftChars="62" w:right="45" w:firstLine="420" w:firstLineChars="200"/>
        <w:rPr>
          <w:rFonts w:ascii="仿宋_GB2312" w:eastAsia="仿宋_GB2312"/>
          <w:color w:val="000000"/>
          <w:sz w:val="21"/>
          <w:szCs w:val="21"/>
        </w:rPr>
      </w:pPr>
    </w:p>
    <w:p>
      <w:pPr>
        <w:pStyle w:val="5"/>
        <w:spacing w:before="0" w:beforeAutospacing="0" w:after="0" w:afterAutospacing="0"/>
        <w:ind w:left="130" w:leftChars="62" w:right="45" w:firstLine="420" w:firstLineChars="200"/>
        <w:rPr>
          <w:rFonts w:ascii="仿宋_GB2312" w:eastAsia="仿宋_GB2312"/>
          <w:color w:val="000000"/>
          <w:sz w:val="21"/>
          <w:szCs w:val="21"/>
        </w:rPr>
      </w:pPr>
    </w:p>
    <w:p>
      <w:pPr>
        <w:pStyle w:val="5"/>
        <w:spacing w:before="0" w:beforeAutospacing="0" w:after="0" w:afterAutospacing="0"/>
        <w:ind w:left="130" w:leftChars="62" w:right="45" w:firstLine="420" w:firstLineChars="200"/>
        <w:rPr>
          <w:rFonts w:ascii="仿宋_GB2312" w:eastAsia="仿宋_GB2312"/>
          <w:color w:val="000000"/>
          <w:sz w:val="21"/>
          <w:szCs w:val="21"/>
        </w:rPr>
      </w:pPr>
    </w:p>
    <w:p>
      <w:pPr>
        <w:pStyle w:val="5"/>
        <w:spacing w:before="0" w:beforeAutospacing="0" w:after="0" w:afterAutospacing="0"/>
        <w:ind w:left="130" w:leftChars="62" w:right="45" w:firstLine="420" w:firstLineChars="200"/>
        <w:rPr>
          <w:rFonts w:ascii="仿宋_GB2312" w:eastAsia="仿宋_GB2312"/>
          <w:color w:val="000000"/>
          <w:sz w:val="21"/>
          <w:szCs w:val="21"/>
        </w:rPr>
      </w:pPr>
    </w:p>
    <w:p>
      <w:pPr>
        <w:pStyle w:val="5"/>
        <w:spacing w:before="0" w:beforeAutospacing="0" w:after="0" w:afterAutospacing="0"/>
        <w:ind w:left="130" w:leftChars="62" w:right="45" w:firstLine="420" w:firstLineChars="200"/>
        <w:rPr>
          <w:rFonts w:ascii="仿宋_GB2312" w:eastAsia="仿宋_GB2312"/>
          <w:color w:val="000000"/>
          <w:sz w:val="21"/>
          <w:szCs w:val="21"/>
        </w:rPr>
      </w:pPr>
    </w:p>
    <w:p>
      <w:pPr>
        <w:pStyle w:val="5"/>
        <w:spacing w:before="0" w:beforeAutospacing="0" w:after="0" w:afterAutospacing="0"/>
        <w:ind w:left="130" w:leftChars="62" w:right="45" w:firstLine="420" w:firstLineChars="200"/>
        <w:rPr>
          <w:rFonts w:ascii="仿宋_GB2312" w:eastAsia="仿宋_GB2312"/>
          <w:color w:val="000000"/>
          <w:sz w:val="21"/>
          <w:szCs w:val="21"/>
        </w:rPr>
      </w:pPr>
    </w:p>
    <w:p>
      <w:pPr>
        <w:pStyle w:val="5"/>
        <w:spacing w:before="0" w:beforeAutospacing="0" w:after="0" w:afterAutospacing="0"/>
        <w:ind w:left="130" w:leftChars="62" w:right="45" w:firstLine="420" w:firstLineChars="200"/>
        <w:rPr>
          <w:rFonts w:ascii="仿宋_GB2312" w:eastAsia="仿宋_GB2312"/>
          <w:color w:val="000000"/>
          <w:sz w:val="21"/>
          <w:szCs w:val="21"/>
        </w:rPr>
      </w:pPr>
    </w:p>
    <w:p>
      <w:pPr>
        <w:pStyle w:val="5"/>
        <w:spacing w:before="0" w:beforeAutospacing="0" w:after="0" w:afterAutospacing="0"/>
        <w:ind w:left="130" w:leftChars="62" w:right="45" w:firstLine="420" w:firstLineChars="200"/>
        <w:rPr>
          <w:rFonts w:ascii="仿宋_GB2312" w:eastAsia="仿宋_GB2312"/>
          <w:color w:val="000000"/>
          <w:sz w:val="21"/>
          <w:szCs w:val="21"/>
        </w:rPr>
      </w:pPr>
      <w:r>
        <w:rPr>
          <w:rFonts w:ascii="仿宋_GB2312" w:eastAsia="仿宋_GB2312"/>
          <w:color w:val="000000"/>
          <w:sz w:val="21"/>
          <w:szCs w:val="21"/>
        </w:rPr>
        <w:t>注：</w:t>
      </w:r>
    </w:p>
    <w:p>
      <w:pPr>
        <w:pStyle w:val="5"/>
        <w:spacing w:before="0" w:beforeAutospacing="0" w:after="0" w:afterAutospacing="0"/>
        <w:ind w:left="130" w:leftChars="62" w:right="45" w:firstLine="420" w:firstLineChars="200"/>
        <w:rPr>
          <w:rFonts w:ascii="仿宋" w:hAnsi="仿宋" w:eastAsia="仿宋" w:cs="仿宋"/>
          <w:sz w:val="21"/>
          <w:szCs w:val="21"/>
        </w:rPr>
      </w:pPr>
      <w:r>
        <w:rPr>
          <w:rFonts w:hint="eastAsia" w:ascii="仿宋" w:hAnsi="仿宋" w:eastAsia="仿宋" w:cs="仿宋"/>
          <w:sz w:val="21"/>
          <w:szCs w:val="21"/>
        </w:rPr>
        <w:t>1、本公报中2019年的数据均为初步统计数，最终数据以《2020荣昌统计年鉴》为准。油料和肉类产量为上报数。部分数据因四舍五入的原因，存在着与分项不等的情况。</w:t>
      </w:r>
    </w:p>
    <w:p>
      <w:pPr>
        <w:pStyle w:val="5"/>
        <w:spacing w:before="0" w:beforeAutospacing="0" w:after="0" w:afterAutospacing="0"/>
        <w:ind w:left="130" w:leftChars="62" w:right="45" w:firstLine="420" w:firstLineChars="200"/>
        <w:rPr>
          <w:rFonts w:ascii="仿宋" w:hAnsi="仿宋" w:eastAsia="仿宋" w:cs="仿宋"/>
          <w:sz w:val="21"/>
          <w:szCs w:val="21"/>
        </w:rPr>
      </w:pPr>
      <w:r>
        <w:rPr>
          <w:rFonts w:hint="eastAsia" w:ascii="仿宋" w:hAnsi="仿宋" w:eastAsia="仿宋" w:cs="仿宋"/>
          <w:sz w:val="21"/>
          <w:szCs w:val="21"/>
        </w:rPr>
        <w:t>2、地区生产总值、人均生产总值、各产业增加值绝对数按现价计算，增长速度按可比价计算。</w:t>
      </w:r>
    </w:p>
    <w:p>
      <w:pPr>
        <w:pStyle w:val="5"/>
        <w:spacing w:before="0" w:beforeAutospacing="0" w:after="0" w:afterAutospacing="0"/>
        <w:ind w:left="130" w:leftChars="62" w:right="45" w:firstLine="420" w:firstLineChars="200"/>
        <w:rPr>
          <w:rFonts w:ascii="仿宋" w:hAnsi="仿宋" w:eastAsia="仿宋" w:cs="仿宋"/>
          <w:sz w:val="21"/>
          <w:szCs w:val="21"/>
        </w:rPr>
      </w:pPr>
      <w:r>
        <w:rPr>
          <w:rFonts w:hint="eastAsia" w:ascii="仿宋" w:hAnsi="仿宋" w:eastAsia="仿宋" w:cs="仿宋"/>
          <w:sz w:val="21"/>
          <w:szCs w:val="21"/>
        </w:rPr>
        <w:t>3、规模以上工业、有资质的建筑业、限额以上批发零售业、限额以上住宿和餐饮业、全部房地产开发经营业、规模以上服务业等行业统计标准：</w:t>
      </w:r>
    </w:p>
    <w:p>
      <w:pPr>
        <w:pStyle w:val="5"/>
        <w:spacing w:before="0" w:beforeAutospacing="0" w:after="0" w:afterAutospacing="0"/>
        <w:ind w:left="130" w:leftChars="62" w:right="45" w:firstLine="422" w:firstLineChars="200"/>
        <w:rPr>
          <w:rFonts w:ascii="仿宋" w:hAnsi="仿宋" w:eastAsia="仿宋" w:cs="仿宋"/>
          <w:sz w:val="21"/>
          <w:szCs w:val="21"/>
        </w:rPr>
      </w:pPr>
      <w:r>
        <w:rPr>
          <w:rFonts w:hint="eastAsia" w:ascii="仿宋" w:hAnsi="仿宋" w:eastAsia="仿宋" w:cs="仿宋"/>
          <w:b/>
          <w:sz w:val="21"/>
          <w:szCs w:val="21"/>
        </w:rPr>
        <w:t>规模以上工业：</w:t>
      </w:r>
      <w:r>
        <w:rPr>
          <w:rFonts w:hint="eastAsia" w:ascii="仿宋" w:hAnsi="仿宋" w:eastAsia="仿宋" w:cs="仿宋"/>
          <w:sz w:val="21"/>
          <w:szCs w:val="21"/>
        </w:rPr>
        <w:t>年主营业务收入2000万元及以上的工业法人企业。</w:t>
      </w:r>
    </w:p>
    <w:p>
      <w:pPr>
        <w:pStyle w:val="5"/>
        <w:spacing w:before="0" w:beforeAutospacing="0" w:after="0" w:afterAutospacing="0"/>
        <w:ind w:left="130" w:leftChars="62" w:right="45" w:firstLine="422" w:firstLineChars="200"/>
        <w:rPr>
          <w:rFonts w:ascii="仿宋" w:hAnsi="仿宋" w:eastAsia="仿宋" w:cs="仿宋"/>
          <w:sz w:val="21"/>
          <w:szCs w:val="21"/>
        </w:rPr>
      </w:pPr>
      <w:r>
        <w:rPr>
          <w:rFonts w:hint="eastAsia" w:ascii="仿宋" w:hAnsi="仿宋" w:eastAsia="仿宋" w:cs="仿宋"/>
          <w:b/>
          <w:sz w:val="21"/>
          <w:szCs w:val="21"/>
        </w:rPr>
        <w:t>有资质的建筑业：</w:t>
      </w:r>
      <w:r>
        <w:rPr>
          <w:rFonts w:hint="eastAsia" w:ascii="仿宋" w:hAnsi="仿宋" w:eastAsia="仿宋" w:cs="仿宋"/>
          <w:sz w:val="21"/>
          <w:szCs w:val="21"/>
        </w:rPr>
        <w:t>有总承包、专业承包和劳务分包资质的建筑业法人单位。</w:t>
      </w:r>
    </w:p>
    <w:p>
      <w:pPr>
        <w:pStyle w:val="5"/>
        <w:spacing w:before="0" w:beforeAutospacing="0" w:after="0" w:afterAutospacing="0"/>
        <w:ind w:left="130" w:leftChars="62" w:right="45" w:firstLine="422" w:firstLineChars="200"/>
        <w:rPr>
          <w:rFonts w:ascii="仿宋" w:hAnsi="仿宋" w:eastAsia="仿宋" w:cs="仿宋"/>
          <w:sz w:val="21"/>
          <w:szCs w:val="21"/>
        </w:rPr>
      </w:pPr>
      <w:r>
        <w:rPr>
          <w:rFonts w:hint="eastAsia" w:ascii="仿宋" w:hAnsi="仿宋" w:eastAsia="仿宋" w:cs="仿宋"/>
          <w:b/>
          <w:sz w:val="21"/>
          <w:szCs w:val="21"/>
        </w:rPr>
        <w:t>限额以上批发和零售业：</w:t>
      </w:r>
      <w:r>
        <w:rPr>
          <w:rFonts w:hint="eastAsia" w:ascii="仿宋" w:hAnsi="仿宋" w:eastAsia="仿宋" w:cs="仿宋"/>
          <w:sz w:val="21"/>
          <w:szCs w:val="21"/>
        </w:rPr>
        <w:t>年主营业务收入2000万元及以上的批发业、年主营业务收入500万元及以上的零售业法人单位。</w:t>
      </w:r>
    </w:p>
    <w:p>
      <w:pPr>
        <w:pStyle w:val="5"/>
        <w:spacing w:before="0" w:beforeAutospacing="0" w:after="0" w:afterAutospacing="0"/>
        <w:ind w:left="130" w:leftChars="62" w:right="45" w:firstLine="422" w:firstLineChars="200"/>
        <w:rPr>
          <w:rFonts w:ascii="仿宋" w:hAnsi="仿宋" w:eastAsia="仿宋" w:cs="仿宋"/>
          <w:sz w:val="21"/>
          <w:szCs w:val="21"/>
        </w:rPr>
      </w:pPr>
      <w:r>
        <w:rPr>
          <w:rFonts w:hint="eastAsia" w:ascii="仿宋" w:hAnsi="仿宋" w:eastAsia="仿宋" w:cs="仿宋"/>
          <w:b/>
          <w:sz w:val="21"/>
          <w:szCs w:val="21"/>
        </w:rPr>
        <w:t>限额以上住宿和餐饮业：</w:t>
      </w:r>
      <w:r>
        <w:rPr>
          <w:rFonts w:hint="eastAsia" w:ascii="仿宋" w:hAnsi="仿宋" w:eastAsia="仿宋" w:cs="仿宋"/>
          <w:sz w:val="21"/>
          <w:szCs w:val="21"/>
        </w:rPr>
        <w:t>年主营业务收入200万元及以上的住宿和餐饮业法人单位。</w:t>
      </w:r>
    </w:p>
    <w:p>
      <w:pPr>
        <w:pStyle w:val="5"/>
        <w:spacing w:before="0" w:beforeAutospacing="0" w:after="0" w:afterAutospacing="0"/>
        <w:ind w:left="130" w:leftChars="62" w:right="45" w:firstLine="422" w:firstLineChars="200"/>
        <w:rPr>
          <w:rFonts w:ascii="仿宋" w:hAnsi="仿宋" w:eastAsia="仿宋" w:cs="仿宋"/>
          <w:sz w:val="21"/>
          <w:szCs w:val="21"/>
        </w:rPr>
      </w:pPr>
      <w:r>
        <w:rPr>
          <w:rFonts w:hint="eastAsia" w:ascii="仿宋" w:hAnsi="仿宋" w:eastAsia="仿宋" w:cs="仿宋"/>
          <w:b/>
          <w:sz w:val="21"/>
          <w:szCs w:val="21"/>
        </w:rPr>
        <w:t>房地产开发经营业：</w:t>
      </w:r>
      <w:r>
        <w:rPr>
          <w:rFonts w:hint="eastAsia" w:ascii="仿宋" w:hAnsi="仿宋" w:eastAsia="仿宋" w:cs="仿宋"/>
          <w:sz w:val="21"/>
          <w:szCs w:val="21"/>
        </w:rPr>
        <w:t>全部房地产开发经营业法人单位。</w:t>
      </w:r>
    </w:p>
    <w:p>
      <w:pPr>
        <w:pStyle w:val="5"/>
        <w:spacing w:before="0" w:beforeAutospacing="0" w:after="0" w:afterAutospacing="0"/>
        <w:ind w:left="130" w:leftChars="62" w:right="45" w:firstLine="422" w:firstLineChars="200"/>
        <w:rPr>
          <w:rFonts w:ascii="仿宋" w:hAnsi="仿宋" w:eastAsia="仿宋" w:cs="仿宋"/>
          <w:sz w:val="21"/>
          <w:szCs w:val="21"/>
        </w:rPr>
      </w:pPr>
      <w:r>
        <w:rPr>
          <w:rFonts w:hint="eastAsia" w:ascii="仿宋" w:hAnsi="仿宋" w:eastAsia="仿宋" w:cs="仿宋"/>
          <w:b/>
          <w:sz w:val="21"/>
          <w:szCs w:val="21"/>
        </w:rPr>
        <w:t>规模以上服务业：</w:t>
      </w:r>
      <w:r>
        <w:rPr>
          <w:rFonts w:hint="eastAsia" w:ascii="仿宋" w:hAnsi="仿宋" w:eastAsia="仿宋" w:cs="仿宋"/>
          <w:sz w:val="21"/>
          <w:szCs w:val="21"/>
        </w:rPr>
        <w:t>一定规模以上的服务业法人单位。包括：交通运输、仓储和邮政业，信息传输、软件和信息技术服务服务业，租赁和商务服务业，科学研究和技术服务业，水利、环境和公共设施管理业，居民服务、修理和其他服务业，教育，卫生和社会工作，文化、体育和娱乐业，物业管理、房地产中介服务等行业。</w:t>
      </w:r>
    </w:p>
    <w:p>
      <w:pPr>
        <w:pStyle w:val="5"/>
        <w:spacing w:before="0" w:beforeAutospacing="0" w:after="0" w:afterAutospacing="0"/>
        <w:ind w:left="130" w:leftChars="62" w:right="45" w:firstLine="420" w:firstLineChars="200"/>
        <w:rPr>
          <w:rFonts w:ascii="仿宋" w:hAnsi="仿宋" w:eastAsia="仿宋" w:cs="仿宋"/>
          <w:sz w:val="21"/>
          <w:szCs w:val="21"/>
        </w:rPr>
      </w:pPr>
      <w:r>
        <w:rPr>
          <w:rFonts w:hint="eastAsia" w:ascii="仿宋" w:hAnsi="仿宋" w:eastAsia="仿宋" w:cs="仿宋"/>
          <w:sz w:val="21"/>
          <w:szCs w:val="21"/>
        </w:rPr>
        <w:t>4、基础设施投资指用于电力、燃气及水的生产和供应业，交通运输和邮政业，电信和其他信息传输服务业，水利、环境和公共设施管理业等的投资。</w:t>
      </w:r>
    </w:p>
    <w:p>
      <w:pPr>
        <w:pStyle w:val="5"/>
        <w:spacing w:before="0" w:beforeAutospacing="0" w:after="0" w:afterAutospacing="0"/>
        <w:ind w:left="130" w:leftChars="62" w:right="45" w:firstLine="420" w:firstLineChars="200"/>
        <w:rPr>
          <w:rFonts w:ascii="仿宋" w:hAnsi="仿宋" w:eastAsia="仿宋" w:cs="仿宋"/>
          <w:sz w:val="21"/>
          <w:szCs w:val="21"/>
        </w:rPr>
      </w:pPr>
      <w:r>
        <w:rPr>
          <w:rFonts w:hint="eastAsia" w:ascii="仿宋" w:hAnsi="仿宋" w:eastAsia="仿宋" w:cs="仿宋"/>
          <w:sz w:val="21"/>
          <w:szCs w:val="21"/>
        </w:rPr>
        <w:t>5、</w:t>
      </w:r>
      <w:r>
        <w:rPr>
          <w:rFonts w:hint="eastAsia" w:ascii="仿宋" w:hAnsi="仿宋" w:eastAsia="仿宋" w:cs="仿宋"/>
          <w:b/>
          <w:sz w:val="21"/>
          <w:szCs w:val="21"/>
        </w:rPr>
        <w:t>常住人口</w:t>
      </w:r>
      <w:r>
        <w:rPr>
          <w:rFonts w:hint="eastAsia" w:ascii="仿宋" w:hAnsi="仿宋" w:eastAsia="仿宋" w:cs="仿宋"/>
          <w:sz w:val="21"/>
          <w:szCs w:val="21"/>
        </w:rPr>
        <w:t xml:space="preserve"> 是指在本乡镇（街道）居住半年以上的人口，或虽居住不满半年但离开户口登记地半年以上人口以及户口待定人口。</w:t>
      </w:r>
    </w:p>
    <w:p>
      <w:pPr>
        <w:pStyle w:val="5"/>
        <w:spacing w:before="0" w:beforeAutospacing="0" w:after="0" w:afterAutospacing="0"/>
        <w:ind w:left="130" w:leftChars="62" w:right="45" w:firstLine="420" w:firstLineChars="200"/>
        <w:rPr>
          <w:rFonts w:ascii="仿宋" w:hAnsi="仿宋" w:eastAsia="仿宋" w:cs="仿宋"/>
          <w:sz w:val="21"/>
          <w:szCs w:val="21"/>
        </w:rPr>
      </w:pPr>
      <w:r>
        <w:rPr>
          <w:rFonts w:hint="eastAsia" w:ascii="仿宋" w:hAnsi="仿宋" w:eastAsia="仿宋" w:cs="仿宋"/>
          <w:sz w:val="21"/>
          <w:szCs w:val="21"/>
        </w:rPr>
        <w:t>6、</w:t>
      </w:r>
      <w:r>
        <w:rPr>
          <w:rFonts w:hint="eastAsia" w:ascii="仿宋" w:hAnsi="仿宋" w:eastAsia="仿宋" w:cs="仿宋"/>
          <w:b/>
          <w:sz w:val="21"/>
          <w:szCs w:val="21"/>
        </w:rPr>
        <w:t>户籍人口</w:t>
      </w:r>
      <w:r>
        <w:rPr>
          <w:rFonts w:hint="eastAsia" w:ascii="仿宋" w:hAnsi="仿宋" w:eastAsia="仿宋" w:cs="仿宋"/>
          <w:sz w:val="21"/>
          <w:szCs w:val="21"/>
        </w:rPr>
        <w:t xml:space="preserve"> 是指公民依照《中华人民共和国户口登记条例》，已在其经常居住地的公安户籍管理机关登记了常住户口的人。这类人口不管其是否外出，也不管外出时间长短，只要在某地注册有常住户口，则为该地区的户籍人口。户籍人口数一般是通过公安部门的经常性统计月报或年报取得的。</w:t>
      </w:r>
    </w:p>
    <w:p>
      <w:pPr>
        <w:pStyle w:val="5"/>
        <w:spacing w:before="0" w:beforeAutospacing="0" w:after="0" w:afterAutospacing="0"/>
        <w:ind w:left="130" w:leftChars="62" w:right="45" w:firstLine="420" w:firstLineChars="200"/>
        <w:rPr>
          <w:rFonts w:ascii="仿宋" w:hAnsi="仿宋" w:eastAsia="仿宋" w:cs="仿宋"/>
          <w:sz w:val="21"/>
          <w:szCs w:val="21"/>
        </w:rPr>
      </w:pPr>
      <w:r>
        <w:rPr>
          <w:rFonts w:hint="eastAsia" w:ascii="仿宋" w:hAnsi="仿宋" w:eastAsia="仿宋" w:cs="仿宋"/>
          <w:sz w:val="21"/>
          <w:szCs w:val="21"/>
        </w:rPr>
        <w:t>7、</w:t>
      </w:r>
      <w:r>
        <w:rPr>
          <w:rFonts w:hint="eastAsia" w:ascii="仿宋" w:hAnsi="仿宋" w:eastAsia="仿宋" w:cs="仿宋"/>
          <w:b/>
          <w:sz w:val="21"/>
          <w:szCs w:val="21"/>
        </w:rPr>
        <w:t>可支配收入</w:t>
      </w:r>
      <w:r>
        <w:rPr>
          <w:rFonts w:hint="eastAsia" w:ascii="仿宋" w:hAnsi="仿宋" w:eastAsia="仿宋" w:cs="仿宋"/>
          <w:sz w:val="21"/>
          <w:szCs w:val="21"/>
        </w:rPr>
        <w:t xml:space="preserve"> 是指调查户在调查期内获得的、可用于最终消费支出和储蓄的总和，即调查户可以用来自由支配的收入。可支配收入既包括现金，也包括实物收入。按照收入的来源，可支配收入包含四项，分别为：工资性收入、经营净收入、财产净收入和转移净收入。计算公式为：</w:t>
      </w:r>
    </w:p>
    <w:p>
      <w:pPr>
        <w:pStyle w:val="5"/>
        <w:spacing w:before="0" w:beforeAutospacing="0" w:after="0" w:afterAutospacing="0"/>
        <w:ind w:left="130" w:leftChars="62" w:right="45" w:firstLine="420" w:firstLineChars="200"/>
        <w:rPr>
          <w:rFonts w:ascii="仿宋" w:hAnsi="仿宋" w:eastAsia="仿宋" w:cs="仿宋"/>
          <w:sz w:val="21"/>
          <w:szCs w:val="21"/>
        </w:rPr>
      </w:pPr>
      <w:r>
        <w:rPr>
          <w:rFonts w:hint="eastAsia" w:ascii="仿宋" w:hAnsi="仿宋" w:eastAsia="仿宋" w:cs="仿宋"/>
          <w:sz w:val="21"/>
          <w:szCs w:val="21"/>
        </w:rPr>
        <w:t>可支配收入=工资性收入+经营净收入+财产净收入+转移净收入</w:t>
      </w:r>
    </w:p>
    <w:p>
      <w:pPr>
        <w:pStyle w:val="5"/>
        <w:spacing w:before="0" w:beforeAutospacing="0" w:after="0" w:afterAutospacing="0"/>
        <w:ind w:left="130" w:leftChars="62" w:right="45" w:firstLine="420" w:firstLineChars="200"/>
        <w:rPr>
          <w:rFonts w:ascii="仿宋" w:hAnsi="仿宋" w:eastAsia="仿宋" w:cs="仿宋"/>
          <w:sz w:val="21"/>
          <w:szCs w:val="21"/>
        </w:rPr>
      </w:pPr>
      <w:r>
        <w:rPr>
          <w:rFonts w:hint="eastAsia" w:ascii="仿宋" w:hAnsi="仿宋" w:eastAsia="仿宋" w:cs="仿宋"/>
          <w:sz w:val="21"/>
          <w:szCs w:val="21"/>
        </w:rPr>
        <w:t>其中：经营净收入=经营收入-经营费用-生产性固定资产折旧-生产税净额（生产税-生产补贴）</w:t>
      </w:r>
    </w:p>
    <w:p>
      <w:pPr>
        <w:pStyle w:val="5"/>
        <w:spacing w:before="0" w:beforeAutospacing="0" w:after="0" w:afterAutospacing="0"/>
        <w:ind w:left="130" w:leftChars="62" w:right="45" w:firstLine="420" w:firstLineChars="200"/>
        <w:rPr>
          <w:rFonts w:ascii="仿宋" w:hAnsi="仿宋" w:eastAsia="仿宋" w:cs="仿宋"/>
          <w:sz w:val="21"/>
          <w:szCs w:val="21"/>
        </w:rPr>
      </w:pPr>
      <w:r>
        <w:rPr>
          <w:rFonts w:hint="eastAsia" w:ascii="仿宋" w:hAnsi="仿宋" w:eastAsia="仿宋" w:cs="仿宋"/>
          <w:sz w:val="21"/>
          <w:szCs w:val="21"/>
        </w:rPr>
        <w:t>财产净收入=财产性收入-财产性支出</w:t>
      </w:r>
    </w:p>
    <w:p>
      <w:pPr>
        <w:pStyle w:val="5"/>
        <w:spacing w:before="0" w:beforeAutospacing="0" w:after="0" w:afterAutospacing="0"/>
        <w:ind w:left="130" w:leftChars="62" w:right="45" w:firstLine="420" w:firstLineChars="200"/>
        <w:rPr>
          <w:rFonts w:ascii="仿宋" w:hAnsi="仿宋" w:eastAsia="仿宋" w:cs="仿宋"/>
          <w:sz w:val="21"/>
          <w:szCs w:val="21"/>
        </w:rPr>
      </w:pPr>
      <w:r>
        <w:rPr>
          <w:rFonts w:hint="eastAsia" w:ascii="仿宋" w:hAnsi="仿宋" w:eastAsia="仿宋" w:cs="仿宋"/>
          <w:sz w:val="21"/>
          <w:szCs w:val="21"/>
        </w:rPr>
        <w:t>转移净收入=转移性收入-转移性支出</w:t>
      </w:r>
    </w:p>
    <w:p>
      <w:pPr>
        <w:pStyle w:val="5"/>
        <w:spacing w:before="0" w:beforeAutospacing="0" w:after="0" w:afterAutospacing="0"/>
        <w:ind w:left="130" w:leftChars="62" w:right="45" w:firstLine="420" w:firstLineChars="200"/>
        <w:rPr>
          <w:rFonts w:ascii="仿宋" w:hAnsi="仿宋" w:eastAsia="仿宋" w:cs="仿宋"/>
          <w:sz w:val="21"/>
          <w:szCs w:val="21"/>
        </w:rPr>
      </w:pPr>
      <w:r>
        <w:rPr>
          <w:rFonts w:hint="eastAsia" w:ascii="仿宋" w:hAnsi="仿宋" w:eastAsia="仿宋" w:cs="仿宋"/>
          <w:sz w:val="21"/>
          <w:szCs w:val="21"/>
        </w:rPr>
        <w:t>8、经国务院批准,我国对城乡住户调查实施了一体化改革,在现行统计制度下的城乡居民收支指标,在口径和内涵上与原有制度相比均有一定差别,其增减变动幅度亦是根据现行统计制度按同口径计算所得, 对此,使用时须加以斟酌和区别。重庆市居民可支配收入数据于2014年按照新口径正式发布。荣昌区发布可支配收入数据执行新口径时间延后1年，于2015年正式执行。</w:t>
      </w:r>
    </w:p>
    <w:p>
      <w:pPr>
        <w:pStyle w:val="5"/>
        <w:spacing w:before="0" w:beforeAutospacing="0" w:after="0" w:afterAutospacing="0"/>
        <w:ind w:right="45"/>
        <w:rPr>
          <w:rFonts w:ascii="仿宋" w:hAnsi="仿宋" w:eastAsia="仿宋" w:cs="仿宋"/>
          <w:sz w:val="21"/>
          <w:szCs w:val="21"/>
        </w:rPr>
      </w:pPr>
      <w:r>
        <w:rPr>
          <w:rFonts w:hint="eastAsia" w:ascii="仿宋" w:hAnsi="仿宋" w:eastAsia="仿宋" w:cs="仿宋"/>
          <w:b/>
          <w:sz w:val="21"/>
          <w:szCs w:val="21"/>
        </w:rPr>
        <w:t xml:space="preserve">    9、恩格尔系数</w:t>
      </w:r>
      <w:r>
        <w:rPr>
          <w:rFonts w:hint="eastAsia" w:ascii="仿宋" w:hAnsi="仿宋" w:eastAsia="仿宋" w:cs="仿宋"/>
          <w:sz w:val="21"/>
          <w:szCs w:val="21"/>
        </w:rPr>
        <w:t xml:space="preserve"> 是指居民食品消费支出占全部消费支出的比重。</w:t>
      </w:r>
    </w:p>
    <w:p>
      <w:pPr>
        <w:pStyle w:val="5"/>
        <w:spacing w:before="0" w:beforeAutospacing="0" w:after="0" w:afterAutospacing="0"/>
        <w:ind w:right="45"/>
        <w:rPr>
          <w:rFonts w:ascii="仿宋" w:hAnsi="仿宋" w:eastAsia="仿宋" w:cs="仿宋"/>
          <w:sz w:val="21"/>
          <w:szCs w:val="21"/>
        </w:rPr>
      </w:pPr>
      <w:r>
        <w:rPr>
          <w:rFonts w:hint="eastAsia" w:ascii="仿宋" w:hAnsi="仿宋" w:eastAsia="仿宋" w:cs="仿宋"/>
          <w:sz w:val="21"/>
          <w:szCs w:val="21"/>
        </w:rPr>
        <w:t xml:space="preserve">    10、公报中水资源</w:t>
      </w:r>
      <w:bookmarkStart w:id="0" w:name="_GoBack"/>
      <w:bookmarkEnd w:id="0"/>
      <w:r>
        <w:rPr>
          <w:rFonts w:hint="eastAsia" w:ascii="仿宋" w:hAnsi="仿宋" w:eastAsia="仿宋" w:cs="仿宋"/>
          <w:sz w:val="21"/>
          <w:szCs w:val="21"/>
        </w:rPr>
        <w:t>数据为初步数据。</w:t>
      </w:r>
    </w:p>
    <w:p>
      <w:pPr>
        <w:pStyle w:val="5"/>
        <w:spacing w:before="0" w:beforeAutospacing="0" w:after="0" w:afterAutospacing="0"/>
        <w:ind w:right="45"/>
        <w:rPr>
          <w:rFonts w:ascii="仿宋" w:hAnsi="仿宋" w:eastAsia="仿宋" w:cs="仿宋"/>
          <w:sz w:val="21"/>
          <w:szCs w:val="21"/>
        </w:rPr>
      </w:pPr>
      <w:r>
        <w:rPr>
          <w:rFonts w:hint="eastAsia" w:ascii="仿宋" w:hAnsi="仿宋" w:eastAsia="仿宋" w:cs="仿宋"/>
          <w:sz w:val="21"/>
          <w:szCs w:val="21"/>
        </w:rPr>
        <w:t xml:space="preserve">    11、教育数据中没有包括西南大学荣昌校区、益民技校、永荣技校。</w:t>
      </w:r>
    </w:p>
    <w:p>
      <w:pPr>
        <w:pStyle w:val="5"/>
        <w:spacing w:before="0" w:beforeAutospacing="0" w:after="0" w:afterAutospacing="0"/>
        <w:ind w:right="45"/>
        <w:rPr>
          <w:rFonts w:ascii="仿宋" w:hAnsi="仿宋" w:eastAsia="仿宋" w:cs="仿宋"/>
          <w:sz w:val="21"/>
          <w:szCs w:val="21"/>
        </w:rPr>
      </w:pPr>
      <w:r>
        <w:rPr>
          <w:rFonts w:hint="eastAsia" w:ascii="仿宋" w:hAnsi="仿宋" w:eastAsia="仿宋" w:cs="仿宋"/>
          <w:sz w:val="21"/>
          <w:szCs w:val="21"/>
        </w:rPr>
        <w:t xml:space="preserve">    12、部</w:t>
      </w:r>
      <w:r>
        <w:rPr>
          <w:rFonts w:hint="eastAsia" w:ascii="仿宋" w:hAnsi="仿宋" w:eastAsia="仿宋" w:cs="仿宋"/>
          <w:sz w:val="21"/>
          <w:szCs w:val="21"/>
          <w:lang w:eastAsia="zh-CN"/>
        </w:rPr>
        <w:t>分</w:t>
      </w:r>
      <w:r>
        <w:rPr>
          <w:rFonts w:hint="eastAsia" w:ascii="仿宋" w:hAnsi="仿宋" w:eastAsia="仿宋" w:cs="仿宋"/>
          <w:sz w:val="21"/>
          <w:szCs w:val="21"/>
        </w:rPr>
        <w:t>数据由于计量单位取舍不同而产生的计算误差未作机械调整。</w:t>
      </w:r>
    </w:p>
    <w:p>
      <w:pPr>
        <w:pStyle w:val="5"/>
        <w:tabs>
          <w:tab w:val="left" w:pos="316"/>
        </w:tabs>
        <w:spacing w:before="0" w:beforeAutospacing="0" w:after="0" w:afterAutospacing="0"/>
        <w:ind w:right="45"/>
        <w:rPr>
          <w:rFonts w:ascii="仿宋" w:hAnsi="仿宋" w:eastAsia="仿宋" w:cs="仿宋"/>
          <w:sz w:val="21"/>
          <w:szCs w:val="21"/>
        </w:rPr>
      </w:pPr>
      <w:r>
        <w:rPr>
          <w:rFonts w:hint="eastAsia" w:ascii="仿宋" w:hAnsi="仿宋" w:eastAsia="仿宋" w:cs="仿宋"/>
          <w:sz w:val="21"/>
          <w:szCs w:val="21"/>
        </w:rPr>
        <w:t>13、资料来源：</w:t>
      </w:r>
    </w:p>
    <w:p>
      <w:pPr>
        <w:pStyle w:val="5"/>
        <w:spacing w:before="0" w:beforeAutospacing="0" w:after="0" w:afterAutospacing="0"/>
        <w:ind w:right="45" w:firstLine="420" w:firstLineChars="200"/>
        <w:rPr>
          <w:rFonts w:ascii="仿宋" w:hAnsi="仿宋" w:eastAsia="仿宋" w:cs="仿宋"/>
          <w:sz w:val="21"/>
          <w:szCs w:val="21"/>
        </w:rPr>
      </w:pPr>
      <w:r>
        <w:rPr>
          <w:rFonts w:hint="eastAsia" w:ascii="仿宋" w:hAnsi="仿宋" w:eastAsia="仿宋" w:cs="仿宋"/>
          <w:sz w:val="21"/>
          <w:szCs w:val="21"/>
        </w:rPr>
        <w:t>本公报中户籍人口、交通运输事故死亡数据来自区公安局；就业、失业、社会保障数据来自区人力社保局和区医疗保障局；各类市场主体、商标数据来自区市场监管局；财政、金融、保险数据来自区财政局；教育数据来自区教委；农村危旧房改造、城市棚户区数据来自区住房</w:t>
      </w:r>
      <w:r>
        <w:rPr>
          <w:rFonts w:ascii="仿宋" w:hAnsi="仿宋" w:eastAsia="仿宋" w:cs="仿宋"/>
          <w:sz w:val="21"/>
          <w:szCs w:val="21"/>
        </w:rPr>
        <w:t>和</w:t>
      </w:r>
      <w:r>
        <w:rPr>
          <w:rFonts w:hint="eastAsia" w:ascii="仿宋" w:hAnsi="仿宋" w:eastAsia="仿宋" w:cs="仿宋"/>
          <w:sz w:val="21"/>
          <w:szCs w:val="21"/>
        </w:rPr>
        <w:t>城乡建委；进出口、利用外资数据来自区商委；交通运输数据来自区交通局；邮政数据来自区邮政管理局；用电量来自区经信委；通信数据</w:t>
      </w:r>
      <w:r>
        <w:rPr>
          <w:rFonts w:ascii="仿宋" w:hAnsi="仿宋" w:eastAsia="仿宋" w:cs="仿宋"/>
          <w:sz w:val="21"/>
          <w:szCs w:val="21"/>
        </w:rPr>
        <w:t>来自</w:t>
      </w:r>
      <w:r>
        <w:rPr>
          <w:rFonts w:hint="eastAsia" w:ascii="仿宋" w:hAnsi="仿宋" w:eastAsia="仿宋" w:cs="仿宋"/>
          <w:sz w:val="21"/>
          <w:szCs w:val="21"/>
        </w:rPr>
        <w:t>区</w:t>
      </w:r>
      <w:r>
        <w:rPr>
          <w:rFonts w:ascii="仿宋" w:hAnsi="仿宋" w:eastAsia="仿宋" w:cs="仿宋"/>
          <w:sz w:val="21"/>
          <w:szCs w:val="21"/>
        </w:rPr>
        <w:t>大数据局；</w:t>
      </w:r>
      <w:r>
        <w:rPr>
          <w:rFonts w:hint="eastAsia" w:ascii="仿宋" w:hAnsi="仿宋" w:eastAsia="仿宋" w:cs="仿宋"/>
          <w:sz w:val="21"/>
          <w:szCs w:val="21"/>
        </w:rPr>
        <w:t>旅游数据来自区旅游景区管委会；科技、专利数据来自区科学技术局；文化数据来自区文化和</w:t>
      </w:r>
      <w:r>
        <w:rPr>
          <w:rFonts w:ascii="仿宋" w:hAnsi="仿宋" w:eastAsia="仿宋" w:cs="仿宋"/>
          <w:sz w:val="21"/>
          <w:szCs w:val="21"/>
        </w:rPr>
        <w:t>旅游发展</w:t>
      </w:r>
      <w:r>
        <w:rPr>
          <w:rFonts w:hint="eastAsia" w:ascii="仿宋" w:hAnsi="仿宋" w:eastAsia="仿宋" w:cs="仿宋"/>
          <w:sz w:val="21"/>
          <w:szCs w:val="21"/>
        </w:rPr>
        <w:t>委员</w:t>
      </w:r>
      <w:r>
        <w:rPr>
          <w:rFonts w:ascii="仿宋" w:hAnsi="仿宋" w:eastAsia="仿宋" w:cs="仿宋"/>
          <w:sz w:val="21"/>
          <w:szCs w:val="21"/>
        </w:rPr>
        <w:t>会</w:t>
      </w:r>
      <w:r>
        <w:rPr>
          <w:rFonts w:hint="eastAsia" w:ascii="仿宋" w:hAnsi="仿宋" w:eastAsia="仿宋" w:cs="仿宋"/>
          <w:sz w:val="21"/>
          <w:szCs w:val="21"/>
        </w:rPr>
        <w:t>；卫生数据来自区卫生</w:t>
      </w:r>
      <w:r>
        <w:rPr>
          <w:rFonts w:ascii="仿宋" w:hAnsi="仿宋" w:eastAsia="仿宋" w:cs="仿宋"/>
          <w:sz w:val="21"/>
          <w:szCs w:val="21"/>
        </w:rPr>
        <w:t>健康</w:t>
      </w:r>
      <w:r>
        <w:rPr>
          <w:rFonts w:hint="eastAsia" w:ascii="仿宋" w:hAnsi="仿宋" w:eastAsia="仿宋" w:cs="仿宋"/>
          <w:sz w:val="21"/>
          <w:szCs w:val="21"/>
        </w:rPr>
        <w:t>委员</w:t>
      </w:r>
      <w:r>
        <w:rPr>
          <w:rFonts w:ascii="仿宋" w:hAnsi="仿宋" w:eastAsia="仿宋" w:cs="仿宋"/>
          <w:sz w:val="21"/>
          <w:szCs w:val="21"/>
        </w:rPr>
        <w:t>会</w:t>
      </w:r>
      <w:r>
        <w:rPr>
          <w:rFonts w:hint="eastAsia" w:ascii="仿宋" w:hAnsi="仿宋" w:eastAsia="仿宋" w:cs="仿宋"/>
          <w:sz w:val="21"/>
          <w:szCs w:val="21"/>
        </w:rPr>
        <w:t>；最低生活保障标准数据来自区民政局；水资源数据来自区水利局；林业数据来自区林业局；部分</w:t>
      </w:r>
      <w:r>
        <w:rPr>
          <w:rFonts w:ascii="仿宋" w:hAnsi="仿宋" w:eastAsia="仿宋" w:cs="仿宋"/>
          <w:sz w:val="21"/>
          <w:szCs w:val="21"/>
        </w:rPr>
        <w:t>资源</w:t>
      </w:r>
      <w:r>
        <w:rPr>
          <w:rFonts w:hint="eastAsia" w:ascii="仿宋" w:hAnsi="仿宋" w:eastAsia="仿宋" w:cs="仿宋"/>
          <w:sz w:val="21"/>
          <w:szCs w:val="21"/>
        </w:rPr>
        <w:t>数据来自区城市管理局；安全生产事故数据来自区应急管理局；其他数据来自区统计局。</w:t>
      </w:r>
    </w:p>
    <w:p>
      <w:pPr>
        <w:pStyle w:val="5"/>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20</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228"/>
    <w:rsid w:val="00004A20"/>
    <w:rsid w:val="00016705"/>
    <w:rsid w:val="0002056F"/>
    <w:rsid w:val="00020DA6"/>
    <w:rsid w:val="00020EFD"/>
    <w:rsid w:val="0002159F"/>
    <w:rsid w:val="000261AD"/>
    <w:rsid w:val="00030B05"/>
    <w:rsid w:val="0004040D"/>
    <w:rsid w:val="00071E7C"/>
    <w:rsid w:val="00074FB4"/>
    <w:rsid w:val="000757BB"/>
    <w:rsid w:val="0008299D"/>
    <w:rsid w:val="00086926"/>
    <w:rsid w:val="00092800"/>
    <w:rsid w:val="000941F2"/>
    <w:rsid w:val="000A1F33"/>
    <w:rsid w:val="000A24DB"/>
    <w:rsid w:val="000A36BD"/>
    <w:rsid w:val="000A612B"/>
    <w:rsid w:val="000B3CB0"/>
    <w:rsid w:val="000C420B"/>
    <w:rsid w:val="000D60E4"/>
    <w:rsid w:val="000E2CD8"/>
    <w:rsid w:val="000F549A"/>
    <w:rsid w:val="0010048F"/>
    <w:rsid w:val="0010119F"/>
    <w:rsid w:val="001031FB"/>
    <w:rsid w:val="0010753A"/>
    <w:rsid w:val="001170CC"/>
    <w:rsid w:val="00117764"/>
    <w:rsid w:val="001214DE"/>
    <w:rsid w:val="001248B7"/>
    <w:rsid w:val="001449AB"/>
    <w:rsid w:val="00145C36"/>
    <w:rsid w:val="00165F6C"/>
    <w:rsid w:val="001767F4"/>
    <w:rsid w:val="00176A74"/>
    <w:rsid w:val="0018486D"/>
    <w:rsid w:val="00187100"/>
    <w:rsid w:val="001A09EE"/>
    <w:rsid w:val="001A4758"/>
    <w:rsid w:val="001B1460"/>
    <w:rsid w:val="001B1B7C"/>
    <w:rsid w:val="001B7716"/>
    <w:rsid w:val="001C5D40"/>
    <w:rsid w:val="001D0C5A"/>
    <w:rsid w:val="001D3762"/>
    <w:rsid w:val="001D7941"/>
    <w:rsid w:val="001F6A7D"/>
    <w:rsid w:val="001F776B"/>
    <w:rsid w:val="00200B70"/>
    <w:rsid w:val="00205E4B"/>
    <w:rsid w:val="00230A83"/>
    <w:rsid w:val="00232855"/>
    <w:rsid w:val="002341C1"/>
    <w:rsid w:val="00234F7E"/>
    <w:rsid w:val="0023727C"/>
    <w:rsid w:val="00240BB9"/>
    <w:rsid w:val="00242260"/>
    <w:rsid w:val="00243241"/>
    <w:rsid w:val="00243CA8"/>
    <w:rsid w:val="002461DA"/>
    <w:rsid w:val="0025024F"/>
    <w:rsid w:val="002553C1"/>
    <w:rsid w:val="002567B9"/>
    <w:rsid w:val="00257CCF"/>
    <w:rsid w:val="00263991"/>
    <w:rsid w:val="002741AD"/>
    <w:rsid w:val="002761FB"/>
    <w:rsid w:val="00276304"/>
    <w:rsid w:val="002918A8"/>
    <w:rsid w:val="002943D8"/>
    <w:rsid w:val="00295526"/>
    <w:rsid w:val="002B360A"/>
    <w:rsid w:val="002B62F5"/>
    <w:rsid w:val="002C1117"/>
    <w:rsid w:val="002C6F36"/>
    <w:rsid w:val="002C76FA"/>
    <w:rsid w:val="002C79CC"/>
    <w:rsid w:val="002D2AE4"/>
    <w:rsid w:val="002D590F"/>
    <w:rsid w:val="002E097E"/>
    <w:rsid w:val="002E5A45"/>
    <w:rsid w:val="002F4460"/>
    <w:rsid w:val="00304EDE"/>
    <w:rsid w:val="003069FE"/>
    <w:rsid w:val="0031231B"/>
    <w:rsid w:val="00312CE1"/>
    <w:rsid w:val="00312EE1"/>
    <w:rsid w:val="00315DBC"/>
    <w:rsid w:val="00316FA6"/>
    <w:rsid w:val="00320871"/>
    <w:rsid w:val="003319FD"/>
    <w:rsid w:val="00334542"/>
    <w:rsid w:val="00346C01"/>
    <w:rsid w:val="00347084"/>
    <w:rsid w:val="00347929"/>
    <w:rsid w:val="00347D92"/>
    <w:rsid w:val="00352BF0"/>
    <w:rsid w:val="003578F2"/>
    <w:rsid w:val="00366E6A"/>
    <w:rsid w:val="003742BF"/>
    <w:rsid w:val="00377065"/>
    <w:rsid w:val="0038365F"/>
    <w:rsid w:val="00383BE7"/>
    <w:rsid w:val="00385EA4"/>
    <w:rsid w:val="0039041A"/>
    <w:rsid w:val="003A210E"/>
    <w:rsid w:val="003D3394"/>
    <w:rsid w:val="003D701D"/>
    <w:rsid w:val="003E5984"/>
    <w:rsid w:val="003F01EB"/>
    <w:rsid w:val="003F1305"/>
    <w:rsid w:val="003F3552"/>
    <w:rsid w:val="00400E97"/>
    <w:rsid w:val="0040197A"/>
    <w:rsid w:val="00402243"/>
    <w:rsid w:val="0040673A"/>
    <w:rsid w:val="00411604"/>
    <w:rsid w:val="0041240D"/>
    <w:rsid w:val="004138EA"/>
    <w:rsid w:val="00425129"/>
    <w:rsid w:val="00425527"/>
    <w:rsid w:val="00433C84"/>
    <w:rsid w:val="00433F50"/>
    <w:rsid w:val="00441337"/>
    <w:rsid w:val="004555D9"/>
    <w:rsid w:val="00455F73"/>
    <w:rsid w:val="0045672D"/>
    <w:rsid w:val="004625ED"/>
    <w:rsid w:val="0048756E"/>
    <w:rsid w:val="00496407"/>
    <w:rsid w:val="004A4D5D"/>
    <w:rsid w:val="004A4EB1"/>
    <w:rsid w:val="004A58CD"/>
    <w:rsid w:val="004B3DEB"/>
    <w:rsid w:val="004B5519"/>
    <w:rsid w:val="004B686D"/>
    <w:rsid w:val="004C710F"/>
    <w:rsid w:val="004C7470"/>
    <w:rsid w:val="004D79EA"/>
    <w:rsid w:val="004E238C"/>
    <w:rsid w:val="00501229"/>
    <w:rsid w:val="00505118"/>
    <w:rsid w:val="00550066"/>
    <w:rsid w:val="0055059F"/>
    <w:rsid w:val="00551733"/>
    <w:rsid w:val="00555170"/>
    <w:rsid w:val="00562EFB"/>
    <w:rsid w:val="0057192A"/>
    <w:rsid w:val="00575EF0"/>
    <w:rsid w:val="00582DF8"/>
    <w:rsid w:val="005A282E"/>
    <w:rsid w:val="005A7228"/>
    <w:rsid w:val="005C5CBC"/>
    <w:rsid w:val="005D253B"/>
    <w:rsid w:val="005E015F"/>
    <w:rsid w:val="005E539D"/>
    <w:rsid w:val="005F0CA4"/>
    <w:rsid w:val="005F2B27"/>
    <w:rsid w:val="00611992"/>
    <w:rsid w:val="0061240F"/>
    <w:rsid w:val="0062236D"/>
    <w:rsid w:val="00631529"/>
    <w:rsid w:val="00634B2D"/>
    <w:rsid w:val="0064118A"/>
    <w:rsid w:val="00656B48"/>
    <w:rsid w:val="00662D7D"/>
    <w:rsid w:val="00662EB0"/>
    <w:rsid w:val="006634CF"/>
    <w:rsid w:val="00664E0E"/>
    <w:rsid w:val="00666122"/>
    <w:rsid w:val="006714D2"/>
    <w:rsid w:val="00672368"/>
    <w:rsid w:val="0068676F"/>
    <w:rsid w:val="006941A5"/>
    <w:rsid w:val="006948F0"/>
    <w:rsid w:val="00694AEB"/>
    <w:rsid w:val="006A3C14"/>
    <w:rsid w:val="006A4C8E"/>
    <w:rsid w:val="006A51CD"/>
    <w:rsid w:val="006A64F7"/>
    <w:rsid w:val="006B1335"/>
    <w:rsid w:val="006B2439"/>
    <w:rsid w:val="006C1D93"/>
    <w:rsid w:val="006C248E"/>
    <w:rsid w:val="006C3AD5"/>
    <w:rsid w:val="006D080D"/>
    <w:rsid w:val="006D4B81"/>
    <w:rsid w:val="006D76CF"/>
    <w:rsid w:val="006F74F5"/>
    <w:rsid w:val="00706C4C"/>
    <w:rsid w:val="0072214F"/>
    <w:rsid w:val="007276BA"/>
    <w:rsid w:val="00730D1B"/>
    <w:rsid w:val="00736690"/>
    <w:rsid w:val="007429E3"/>
    <w:rsid w:val="007512D2"/>
    <w:rsid w:val="00763D50"/>
    <w:rsid w:val="00766AC1"/>
    <w:rsid w:val="00774337"/>
    <w:rsid w:val="00774531"/>
    <w:rsid w:val="00774629"/>
    <w:rsid w:val="007757E3"/>
    <w:rsid w:val="007763C0"/>
    <w:rsid w:val="0078016C"/>
    <w:rsid w:val="007A2760"/>
    <w:rsid w:val="007C1E1D"/>
    <w:rsid w:val="007C719C"/>
    <w:rsid w:val="007D470E"/>
    <w:rsid w:val="007E21B7"/>
    <w:rsid w:val="007E3239"/>
    <w:rsid w:val="007E39FC"/>
    <w:rsid w:val="007F3161"/>
    <w:rsid w:val="007F5144"/>
    <w:rsid w:val="007F6A3A"/>
    <w:rsid w:val="007F7834"/>
    <w:rsid w:val="0080307B"/>
    <w:rsid w:val="0080373C"/>
    <w:rsid w:val="00804B12"/>
    <w:rsid w:val="0080759E"/>
    <w:rsid w:val="00810047"/>
    <w:rsid w:val="00810424"/>
    <w:rsid w:val="008108DF"/>
    <w:rsid w:val="008151C3"/>
    <w:rsid w:val="00815C2D"/>
    <w:rsid w:val="00816157"/>
    <w:rsid w:val="00816D2A"/>
    <w:rsid w:val="008269B4"/>
    <w:rsid w:val="00833A6A"/>
    <w:rsid w:val="00837726"/>
    <w:rsid w:val="008435FF"/>
    <w:rsid w:val="00845628"/>
    <w:rsid w:val="00845F08"/>
    <w:rsid w:val="00847F4B"/>
    <w:rsid w:val="0086038F"/>
    <w:rsid w:val="008613E4"/>
    <w:rsid w:val="00862BDA"/>
    <w:rsid w:val="008642EA"/>
    <w:rsid w:val="00871593"/>
    <w:rsid w:val="008716A8"/>
    <w:rsid w:val="00893CAF"/>
    <w:rsid w:val="008A0EBF"/>
    <w:rsid w:val="008A2BB2"/>
    <w:rsid w:val="008A2C2F"/>
    <w:rsid w:val="008A550D"/>
    <w:rsid w:val="008D25B6"/>
    <w:rsid w:val="008D3227"/>
    <w:rsid w:val="008D4132"/>
    <w:rsid w:val="008D4613"/>
    <w:rsid w:val="008E01E7"/>
    <w:rsid w:val="00900DD7"/>
    <w:rsid w:val="009036E2"/>
    <w:rsid w:val="00917360"/>
    <w:rsid w:val="0092693C"/>
    <w:rsid w:val="00930145"/>
    <w:rsid w:val="00931CFB"/>
    <w:rsid w:val="00931DFC"/>
    <w:rsid w:val="009320ED"/>
    <w:rsid w:val="00941206"/>
    <w:rsid w:val="00941E31"/>
    <w:rsid w:val="0095034B"/>
    <w:rsid w:val="00951EB9"/>
    <w:rsid w:val="00955274"/>
    <w:rsid w:val="00956823"/>
    <w:rsid w:val="00961AEF"/>
    <w:rsid w:val="00964416"/>
    <w:rsid w:val="0097095F"/>
    <w:rsid w:val="00971FB6"/>
    <w:rsid w:val="00982424"/>
    <w:rsid w:val="00984E97"/>
    <w:rsid w:val="009A34DD"/>
    <w:rsid w:val="009A5ADD"/>
    <w:rsid w:val="009A7644"/>
    <w:rsid w:val="009C0A0D"/>
    <w:rsid w:val="009C3CB0"/>
    <w:rsid w:val="009C5848"/>
    <w:rsid w:val="009C5C6A"/>
    <w:rsid w:val="009D3B74"/>
    <w:rsid w:val="009D6452"/>
    <w:rsid w:val="009E07E8"/>
    <w:rsid w:val="009F7246"/>
    <w:rsid w:val="00A01FF1"/>
    <w:rsid w:val="00A072C4"/>
    <w:rsid w:val="00A07786"/>
    <w:rsid w:val="00A110DA"/>
    <w:rsid w:val="00A15F7A"/>
    <w:rsid w:val="00A24110"/>
    <w:rsid w:val="00A26C13"/>
    <w:rsid w:val="00A33527"/>
    <w:rsid w:val="00A36C0A"/>
    <w:rsid w:val="00A3738D"/>
    <w:rsid w:val="00A413C5"/>
    <w:rsid w:val="00A55226"/>
    <w:rsid w:val="00A5737E"/>
    <w:rsid w:val="00A60178"/>
    <w:rsid w:val="00A76F69"/>
    <w:rsid w:val="00A87D96"/>
    <w:rsid w:val="00A91CC0"/>
    <w:rsid w:val="00A97F59"/>
    <w:rsid w:val="00AA1F1C"/>
    <w:rsid w:val="00AA51A2"/>
    <w:rsid w:val="00AA67D2"/>
    <w:rsid w:val="00AC05C8"/>
    <w:rsid w:val="00AC08EC"/>
    <w:rsid w:val="00AC3794"/>
    <w:rsid w:val="00AC7415"/>
    <w:rsid w:val="00AD00A6"/>
    <w:rsid w:val="00AD0197"/>
    <w:rsid w:val="00AD49C0"/>
    <w:rsid w:val="00AD6037"/>
    <w:rsid w:val="00AF5418"/>
    <w:rsid w:val="00AF7D85"/>
    <w:rsid w:val="00B02BB5"/>
    <w:rsid w:val="00B12E68"/>
    <w:rsid w:val="00B12EC0"/>
    <w:rsid w:val="00B16C3F"/>
    <w:rsid w:val="00B17BEE"/>
    <w:rsid w:val="00B251DC"/>
    <w:rsid w:val="00B25F2D"/>
    <w:rsid w:val="00B32E71"/>
    <w:rsid w:val="00B33C67"/>
    <w:rsid w:val="00B36D5A"/>
    <w:rsid w:val="00B4383A"/>
    <w:rsid w:val="00B6365E"/>
    <w:rsid w:val="00B72CC7"/>
    <w:rsid w:val="00B72D36"/>
    <w:rsid w:val="00B73EB5"/>
    <w:rsid w:val="00B84449"/>
    <w:rsid w:val="00B86A1C"/>
    <w:rsid w:val="00B9514E"/>
    <w:rsid w:val="00BC11F2"/>
    <w:rsid w:val="00BC17DC"/>
    <w:rsid w:val="00BC2BBC"/>
    <w:rsid w:val="00BC4357"/>
    <w:rsid w:val="00BD0082"/>
    <w:rsid w:val="00BD1169"/>
    <w:rsid w:val="00BD2FEF"/>
    <w:rsid w:val="00BD5E2E"/>
    <w:rsid w:val="00BE054A"/>
    <w:rsid w:val="00BE41F0"/>
    <w:rsid w:val="00BE5EAD"/>
    <w:rsid w:val="00BF130E"/>
    <w:rsid w:val="00BF205B"/>
    <w:rsid w:val="00BF681C"/>
    <w:rsid w:val="00C00668"/>
    <w:rsid w:val="00C03F9E"/>
    <w:rsid w:val="00C060FD"/>
    <w:rsid w:val="00C12689"/>
    <w:rsid w:val="00C168EA"/>
    <w:rsid w:val="00C2218B"/>
    <w:rsid w:val="00C463DE"/>
    <w:rsid w:val="00C66C26"/>
    <w:rsid w:val="00C70379"/>
    <w:rsid w:val="00C70619"/>
    <w:rsid w:val="00C70A62"/>
    <w:rsid w:val="00C85696"/>
    <w:rsid w:val="00C86F9A"/>
    <w:rsid w:val="00C92042"/>
    <w:rsid w:val="00C94E31"/>
    <w:rsid w:val="00CB5C4C"/>
    <w:rsid w:val="00CC4D11"/>
    <w:rsid w:val="00CC68D6"/>
    <w:rsid w:val="00CD7A99"/>
    <w:rsid w:val="00CE5D1A"/>
    <w:rsid w:val="00CF0997"/>
    <w:rsid w:val="00CF6DDE"/>
    <w:rsid w:val="00D044AE"/>
    <w:rsid w:val="00D06A42"/>
    <w:rsid w:val="00D07D12"/>
    <w:rsid w:val="00D07F92"/>
    <w:rsid w:val="00D10983"/>
    <w:rsid w:val="00D117B3"/>
    <w:rsid w:val="00D14773"/>
    <w:rsid w:val="00D148B4"/>
    <w:rsid w:val="00D251E8"/>
    <w:rsid w:val="00D319D5"/>
    <w:rsid w:val="00D33DE7"/>
    <w:rsid w:val="00D36135"/>
    <w:rsid w:val="00D36DA5"/>
    <w:rsid w:val="00D40361"/>
    <w:rsid w:val="00D44271"/>
    <w:rsid w:val="00D4527E"/>
    <w:rsid w:val="00D476AC"/>
    <w:rsid w:val="00D63A09"/>
    <w:rsid w:val="00D721C8"/>
    <w:rsid w:val="00D83325"/>
    <w:rsid w:val="00D873F7"/>
    <w:rsid w:val="00D94814"/>
    <w:rsid w:val="00DB4070"/>
    <w:rsid w:val="00DD2BD8"/>
    <w:rsid w:val="00DD4242"/>
    <w:rsid w:val="00DE0883"/>
    <w:rsid w:val="00DE263F"/>
    <w:rsid w:val="00DE2A86"/>
    <w:rsid w:val="00DE40C2"/>
    <w:rsid w:val="00DF11CB"/>
    <w:rsid w:val="00DF5067"/>
    <w:rsid w:val="00E046BD"/>
    <w:rsid w:val="00E17596"/>
    <w:rsid w:val="00E200E0"/>
    <w:rsid w:val="00E264E8"/>
    <w:rsid w:val="00E44BB3"/>
    <w:rsid w:val="00E478CB"/>
    <w:rsid w:val="00E563B8"/>
    <w:rsid w:val="00E63F9A"/>
    <w:rsid w:val="00E65C04"/>
    <w:rsid w:val="00E6713D"/>
    <w:rsid w:val="00E754FD"/>
    <w:rsid w:val="00E8160A"/>
    <w:rsid w:val="00E8797D"/>
    <w:rsid w:val="00E93EFA"/>
    <w:rsid w:val="00E95EE1"/>
    <w:rsid w:val="00EA1D51"/>
    <w:rsid w:val="00EB6E9D"/>
    <w:rsid w:val="00EB7904"/>
    <w:rsid w:val="00ED0F61"/>
    <w:rsid w:val="00ED2762"/>
    <w:rsid w:val="00EE2C7D"/>
    <w:rsid w:val="00EF11FD"/>
    <w:rsid w:val="00F05587"/>
    <w:rsid w:val="00F1400C"/>
    <w:rsid w:val="00F333E7"/>
    <w:rsid w:val="00F37265"/>
    <w:rsid w:val="00F45A3F"/>
    <w:rsid w:val="00F6117F"/>
    <w:rsid w:val="00F612D2"/>
    <w:rsid w:val="00F65F2D"/>
    <w:rsid w:val="00F67C14"/>
    <w:rsid w:val="00F67C19"/>
    <w:rsid w:val="00F73FB0"/>
    <w:rsid w:val="00F75D86"/>
    <w:rsid w:val="00F76DE1"/>
    <w:rsid w:val="00F843B6"/>
    <w:rsid w:val="00F94AC1"/>
    <w:rsid w:val="00FA3F14"/>
    <w:rsid w:val="00FB042B"/>
    <w:rsid w:val="00FB7180"/>
    <w:rsid w:val="00FC7A00"/>
    <w:rsid w:val="00FD7028"/>
    <w:rsid w:val="00FD773B"/>
    <w:rsid w:val="00FD7CF9"/>
    <w:rsid w:val="00FE04E3"/>
    <w:rsid w:val="00FF62DF"/>
    <w:rsid w:val="01C9417B"/>
    <w:rsid w:val="033433CD"/>
    <w:rsid w:val="04C50528"/>
    <w:rsid w:val="06E728E4"/>
    <w:rsid w:val="0A2552B4"/>
    <w:rsid w:val="0BE61692"/>
    <w:rsid w:val="0C0444C5"/>
    <w:rsid w:val="0E5258B9"/>
    <w:rsid w:val="0F5848BD"/>
    <w:rsid w:val="0FB278A4"/>
    <w:rsid w:val="10FC16EA"/>
    <w:rsid w:val="13021E3F"/>
    <w:rsid w:val="13465DAC"/>
    <w:rsid w:val="139513AE"/>
    <w:rsid w:val="14962256"/>
    <w:rsid w:val="14C804A6"/>
    <w:rsid w:val="162E3271"/>
    <w:rsid w:val="16F83DC9"/>
    <w:rsid w:val="198C19F9"/>
    <w:rsid w:val="1B0F4F57"/>
    <w:rsid w:val="1F1220B1"/>
    <w:rsid w:val="1F375EA0"/>
    <w:rsid w:val="1FD707C9"/>
    <w:rsid w:val="200545EF"/>
    <w:rsid w:val="20664BB5"/>
    <w:rsid w:val="208A18F1"/>
    <w:rsid w:val="2222290C"/>
    <w:rsid w:val="228F3198"/>
    <w:rsid w:val="23700030"/>
    <w:rsid w:val="259E0645"/>
    <w:rsid w:val="25F200CF"/>
    <w:rsid w:val="26537D14"/>
    <w:rsid w:val="285F54CF"/>
    <w:rsid w:val="2BA94BE7"/>
    <w:rsid w:val="2CE618B6"/>
    <w:rsid w:val="2DC76CFD"/>
    <w:rsid w:val="2E2F2B52"/>
    <w:rsid w:val="308F4C3A"/>
    <w:rsid w:val="31F61B87"/>
    <w:rsid w:val="323E2ACC"/>
    <w:rsid w:val="33251AE9"/>
    <w:rsid w:val="363C4E06"/>
    <w:rsid w:val="36C21BE7"/>
    <w:rsid w:val="37820D4F"/>
    <w:rsid w:val="389B1F46"/>
    <w:rsid w:val="38E70267"/>
    <w:rsid w:val="39CE7FA1"/>
    <w:rsid w:val="3B732625"/>
    <w:rsid w:val="3BC14218"/>
    <w:rsid w:val="3CD134FA"/>
    <w:rsid w:val="41A6493B"/>
    <w:rsid w:val="450042C0"/>
    <w:rsid w:val="460E2D77"/>
    <w:rsid w:val="47CF49F6"/>
    <w:rsid w:val="48A40ED8"/>
    <w:rsid w:val="496F6108"/>
    <w:rsid w:val="4A5C030F"/>
    <w:rsid w:val="4A8F03B7"/>
    <w:rsid w:val="4AAA260D"/>
    <w:rsid w:val="4AF22A01"/>
    <w:rsid w:val="4D1374C9"/>
    <w:rsid w:val="4D41354B"/>
    <w:rsid w:val="50795316"/>
    <w:rsid w:val="50887BD7"/>
    <w:rsid w:val="52935D52"/>
    <w:rsid w:val="52CA5AE0"/>
    <w:rsid w:val="5329368F"/>
    <w:rsid w:val="5340173E"/>
    <w:rsid w:val="53932FAA"/>
    <w:rsid w:val="53C16078"/>
    <w:rsid w:val="54680BE2"/>
    <w:rsid w:val="54CC782F"/>
    <w:rsid w:val="55B77B04"/>
    <w:rsid w:val="58A911FA"/>
    <w:rsid w:val="59243E89"/>
    <w:rsid w:val="59CB7C73"/>
    <w:rsid w:val="5B9B465A"/>
    <w:rsid w:val="5E2A018B"/>
    <w:rsid w:val="5F172392"/>
    <w:rsid w:val="62444AC8"/>
    <w:rsid w:val="641254F8"/>
    <w:rsid w:val="65790D87"/>
    <w:rsid w:val="68A60B90"/>
    <w:rsid w:val="705F10F1"/>
    <w:rsid w:val="72A662C9"/>
    <w:rsid w:val="73730B78"/>
    <w:rsid w:val="7490224A"/>
    <w:rsid w:val="77904DB5"/>
    <w:rsid w:val="77C2468B"/>
    <w:rsid w:val="7CF02C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1"/>
    <w:unhideWhenUsed/>
    <w:qFormat/>
    <w:uiPriority w:val="0"/>
    <w:pPr>
      <w:tabs>
        <w:tab w:val="center" w:pos="4153"/>
        <w:tab w:val="right" w:pos="8306"/>
      </w:tabs>
      <w:snapToGrid w:val="0"/>
      <w:jc w:val="left"/>
    </w:pPr>
    <w:rPr>
      <w:rFonts w:ascii="Calibri" w:hAnsi="Calibri" w:cs="黑体"/>
      <w:sz w:val="18"/>
      <w:szCs w:val="18"/>
    </w:rPr>
  </w:style>
  <w:style w:type="paragraph" w:styleId="4">
    <w:name w:val="header"/>
    <w:basedOn w:val="1"/>
    <w:link w:val="10"/>
    <w:unhideWhenUsed/>
    <w:uiPriority w:val="0"/>
    <w:pPr>
      <w:pBdr>
        <w:bottom w:val="single" w:color="auto" w:sz="6" w:space="1"/>
      </w:pBdr>
      <w:tabs>
        <w:tab w:val="center" w:pos="4153"/>
        <w:tab w:val="right" w:pos="8306"/>
      </w:tabs>
      <w:snapToGrid w:val="0"/>
      <w:jc w:val="center"/>
    </w:pPr>
    <w:rPr>
      <w:rFonts w:ascii="Calibri" w:hAnsi="Calibri" w:cs="黑体"/>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7">
    <w:name w:val="Strong"/>
    <w:qFormat/>
    <w:uiPriority w:val="0"/>
    <w:rPr>
      <w:b/>
    </w:rPr>
  </w:style>
  <w:style w:type="character" w:styleId="8">
    <w:name w:val="page number"/>
    <w:basedOn w:val="6"/>
    <w:uiPriority w:val="0"/>
  </w:style>
  <w:style w:type="character" w:customStyle="1" w:styleId="10">
    <w:name w:val="页眉 Char"/>
    <w:link w:val="4"/>
    <w:qFormat/>
    <w:uiPriority w:val="0"/>
    <w:rPr>
      <w:sz w:val="18"/>
      <w:szCs w:val="18"/>
    </w:rPr>
  </w:style>
  <w:style w:type="character" w:customStyle="1" w:styleId="11">
    <w:name w:val="页脚 Char"/>
    <w:link w:val="3"/>
    <w:qFormat/>
    <w:uiPriority w:val="0"/>
    <w:rPr>
      <w:sz w:val="18"/>
      <w:szCs w:val="18"/>
    </w:rPr>
  </w:style>
  <w:style w:type="character" w:customStyle="1" w:styleId="12">
    <w:name w:val="批注框文本 Char"/>
    <w:link w:val="2"/>
    <w:semiHidden/>
    <w:qFormat/>
    <w:uiPriority w:val="99"/>
    <w:rPr>
      <w:rFonts w:ascii="Times New Roman" w:hAnsi="Times New Roman" w:eastAsia="宋体" w:cs="Times New Roman"/>
      <w:sz w:val="18"/>
      <w:szCs w:val="18"/>
    </w:rPr>
  </w:style>
  <w:style w:type="character" w:customStyle="1" w:styleId="13">
    <w:name w:val="font01"/>
    <w:qFormat/>
    <w:uiPriority w:val="0"/>
    <w:rPr>
      <w:rFonts w:hint="default" w:ascii="Times New Roman" w:hAnsi="Times New Roman" w:cs="Times New Roman"/>
      <w:b/>
      <w:color w:val="000000"/>
      <w:sz w:val="18"/>
      <w:szCs w:val="18"/>
      <w:u w:val="none"/>
    </w:rPr>
  </w:style>
  <w:style w:type="character" w:customStyle="1" w:styleId="14">
    <w:name w:val="font11"/>
    <w:qFormat/>
    <w:uiPriority w:val="0"/>
    <w:rPr>
      <w:rFonts w:hint="eastAsia" w:ascii="宋体" w:hAnsi="宋体" w:eastAsia="宋体" w:cs="宋体"/>
      <w:color w:val="000000"/>
      <w:sz w:val="24"/>
      <w:szCs w:val="24"/>
      <w:u w:val="none"/>
    </w:rPr>
  </w:style>
  <w:style w:type="character" w:customStyle="1" w:styleId="15">
    <w:name w:val="Intense Reference"/>
    <w:basedOn w:val="6"/>
    <w:qFormat/>
    <w:uiPriority w:val="32"/>
    <w:rPr>
      <w:b/>
      <w:bCs/>
      <w:smallCaps/>
      <w:color w:val="4F81BD" w:themeColor="accent1"/>
      <w:spacing w:val="5"/>
      <w14:textFill>
        <w14:solidFill>
          <w14:schemeClr w14:val="accent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H:\&#32508;&#21512;\&#20844;&#25253;\&#20844;&#25253;&#22270;&#34920;\2019&#24180;&#20844;&#25253;%20&#22270;&#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32508;&#21512;\&#20844;&#25253;\&#20844;&#25253;&#22270;&#34920;\2019&#24180;&#20844;&#25253;%20&#22270;&#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32508;&#21512;\&#20844;&#25253;\&#20844;&#25253;&#22270;&#34920;\2019&#24180;&#20844;&#25253;%20&#22270;&#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32508;&#21512;\&#20844;&#25253;\&#20844;&#25253;&#22270;&#34920;\2019&#24180;&#20844;&#25253;%20&#22270;&#3492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H:\&#32508;&#21512;\&#20844;&#25253;\&#20844;&#25253;&#22270;&#34920;\2019&#24180;&#20844;&#25253;%20&#22270;&#3492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H:\&#32508;&#21512;\&#20844;&#25253;\&#20844;&#25253;&#22270;&#34920;\2019&#24180;&#20844;&#25253;%20&#22270;&#3492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H:\&#32508;&#21512;\&#20844;&#25253;\&#20844;&#25253;&#22270;&#34920;\2019&#24180;&#20844;&#25253;%20&#22270;&#34920;.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H:\&#32508;&#21512;\&#20844;&#25253;\&#20844;&#25253;&#22270;&#34920;\2019&#24180;&#20844;&#25253;%20&#22270;&#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图</a:t>
            </a:r>
            <a:r>
              <a:rPr lang="en-US" altLang="zh-CN"/>
              <a:t>1  </a:t>
            </a:r>
            <a:r>
              <a:rPr lang="en-US" altLang="zh-CN" baseline="0"/>
              <a:t> 2015-2019</a:t>
            </a:r>
            <a:r>
              <a:rPr lang="zh-CN" altLang="en-US" baseline="0"/>
              <a:t>地区生产总值及其增长速度</a:t>
            </a:r>
            <a:endParaRPr lang="zh-CN" altLang="en-US"/>
          </a:p>
        </c:rich>
      </c:tx>
      <c:layout/>
      <c:overlay val="0"/>
      <c:spPr>
        <a:noFill/>
        <a:ln>
          <a:noFill/>
        </a:ln>
        <a:effectLst/>
      </c:spPr>
    </c:title>
    <c:autoTitleDeleted val="0"/>
    <c:plotArea>
      <c:layout/>
      <c:barChart>
        <c:barDir val="col"/>
        <c:grouping val="clustered"/>
        <c:varyColors val="0"/>
        <c:ser>
          <c:idx val="0"/>
          <c:order val="0"/>
          <c:tx>
            <c:strRef>
              <c:f>'2019年总值'!$B$1</c:f>
              <c:strCache>
                <c:ptCount val="1"/>
                <c:pt idx="0">
                  <c:v>地区生产总值（万元）</c:v>
                </c:pt>
              </c:strCache>
            </c:strRef>
          </c:tx>
          <c:spPr>
            <a:solidFill>
              <a:schemeClr val="accent1"/>
            </a:solidFill>
            <a:ln>
              <a:noFill/>
            </a:ln>
            <a:effectLst/>
          </c:spPr>
          <c:invertIfNegative val="0"/>
          <c:dLbls>
            <c:delete val="1"/>
          </c:dLbls>
          <c:cat>
            <c:numRef>
              <c:f>'2019年总值'!$A$12:$A$16</c:f>
              <c:numCache>
                <c:formatCode>General</c:formatCode>
                <c:ptCount val="5"/>
                <c:pt idx="0">
                  <c:v>2015</c:v>
                </c:pt>
                <c:pt idx="1">
                  <c:v>2016</c:v>
                </c:pt>
                <c:pt idx="2">
                  <c:v>2017</c:v>
                </c:pt>
                <c:pt idx="3">
                  <c:v>2018</c:v>
                </c:pt>
                <c:pt idx="4">
                  <c:v>2019</c:v>
                </c:pt>
              </c:numCache>
            </c:numRef>
          </c:cat>
          <c:val>
            <c:numRef>
              <c:f>'2019年总值'!$B$12:$B$16</c:f>
              <c:numCache>
                <c:formatCode>General</c:formatCode>
                <c:ptCount val="5"/>
                <c:pt idx="0">
                  <c:v>3298733</c:v>
                </c:pt>
                <c:pt idx="1">
                  <c:v>3681237</c:v>
                </c:pt>
                <c:pt idx="2">
                  <c:v>4147947</c:v>
                </c:pt>
                <c:pt idx="3">
                  <c:v>5048801</c:v>
                </c:pt>
                <c:pt idx="4">
                  <c:v>6525398</c:v>
                </c:pt>
              </c:numCache>
            </c:numRef>
          </c:val>
        </c:ser>
        <c:dLbls>
          <c:showLegendKey val="0"/>
          <c:showVal val="0"/>
          <c:showCatName val="0"/>
          <c:showSerName val="0"/>
          <c:showPercent val="0"/>
          <c:showBubbleSize val="0"/>
        </c:dLbls>
        <c:gapWidth val="219"/>
        <c:overlap val="-27"/>
        <c:axId val="411406584"/>
        <c:axId val="413359568"/>
      </c:barChart>
      <c:lineChart>
        <c:grouping val="standard"/>
        <c:varyColors val="0"/>
        <c:ser>
          <c:idx val="1"/>
          <c:order val="1"/>
          <c:tx>
            <c:strRef>
              <c:f>'2019年总值'!$C$1</c:f>
              <c:strCache>
                <c:ptCount val="1"/>
                <c:pt idx="0">
                  <c:v>比上增长（％）</c:v>
                </c:pt>
              </c:strCache>
            </c:strRef>
          </c:tx>
          <c:spPr>
            <a:ln w="28575" cap="rnd" cmpd="sng" algn="ctr">
              <a:solidFill>
                <a:schemeClr val="accent2"/>
              </a:solidFill>
              <a:prstDash val="solid"/>
              <a:round/>
            </a:ln>
            <a:effectLst/>
          </c:spPr>
          <c:marker>
            <c:symbol val="none"/>
          </c:marker>
          <c:dLbls>
            <c:delete val="1"/>
          </c:dLbls>
          <c:val>
            <c:numRef>
              <c:f>'2019年总值'!$C$12:$C$16</c:f>
              <c:numCache>
                <c:formatCode>General</c:formatCode>
                <c:ptCount val="5"/>
                <c:pt idx="0">
                  <c:v>11.7</c:v>
                </c:pt>
                <c:pt idx="1">
                  <c:v>10.8</c:v>
                </c:pt>
                <c:pt idx="2">
                  <c:v>9.2</c:v>
                </c:pt>
                <c:pt idx="3">
                  <c:v>9.5</c:v>
                </c:pt>
                <c:pt idx="4">
                  <c:v>9.1</c:v>
                </c:pt>
              </c:numCache>
            </c:numRef>
          </c:val>
          <c:smooth val="0"/>
        </c:ser>
        <c:dLbls>
          <c:showLegendKey val="0"/>
          <c:showVal val="0"/>
          <c:showCatName val="0"/>
          <c:showSerName val="0"/>
          <c:showPercent val="0"/>
          <c:showBubbleSize val="0"/>
        </c:dLbls>
        <c:marker val="0"/>
        <c:smooth val="0"/>
        <c:axId val="413360352"/>
        <c:axId val="413359960"/>
      </c:lineChart>
      <c:catAx>
        <c:axId val="411406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ln>
                  <a:solidFill>
                    <a:schemeClr val="accent1"/>
                  </a:solidFill>
                </a:ln>
                <a:solidFill>
                  <a:schemeClr val="tx1">
                    <a:lumMod val="65000"/>
                    <a:lumOff val="35000"/>
                  </a:schemeClr>
                </a:solidFill>
                <a:latin typeface="+mn-lt"/>
                <a:ea typeface="+mn-ea"/>
                <a:cs typeface="+mn-cs"/>
              </a:defRPr>
            </a:pPr>
          </a:p>
        </c:txPr>
        <c:crossAx val="413359568"/>
        <c:crosses val="autoZero"/>
        <c:auto val="1"/>
        <c:lblAlgn val="ctr"/>
        <c:lblOffset val="100"/>
        <c:noMultiLvlLbl val="0"/>
      </c:catAx>
      <c:valAx>
        <c:axId val="41335956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1406584"/>
        <c:crosses val="autoZero"/>
        <c:crossBetween val="between"/>
      </c:valAx>
      <c:catAx>
        <c:axId val="413360352"/>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3359960"/>
        <c:crosses val="autoZero"/>
        <c:auto val="1"/>
        <c:lblAlgn val="ctr"/>
        <c:lblOffset val="100"/>
        <c:noMultiLvlLbl val="0"/>
      </c:catAx>
      <c:valAx>
        <c:axId val="413359960"/>
        <c:scaling>
          <c:orientation val="minMax"/>
        </c:scaling>
        <c:delete val="0"/>
        <c:axPos val="r"/>
        <c:numFmt formatCode="General" sourceLinked="1"/>
        <c:majorTickMark val="out"/>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3360352"/>
        <c:crosses val="max"/>
        <c:crossBetween val="between"/>
      </c:valAx>
      <c:dTable>
        <c:showHorzBorder val="1"/>
        <c:showVertBorder val="1"/>
        <c:showOutline val="1"/>
        <c:showKeys val="1"/>
        <c:spPr>
          <a:noFill/>
          <a:ln w="9525" cap="flat" cmpd="sng" algn="ctr">
            <a:solidFill>
              <a:schemeClr val="tx1"/>
            </a:solidFill>
            <a:prstDash val="solid"/>
            <a:round/>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solidFill>
            <a:schemeClr val="bg1"/>
          </a:solid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bg1">
          <a:lumMod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图</a:t>
            </a:r>
            <a:r>
              <a:rPr lang="en-US" altLang="zh-CN"/>
              <a:t>2</a:t>
            </a:r>
            <a:r>
              <a:rPr lang="en-US" altLang="zh-CN" baseline="0"/>
              <a:t>    2015-2019</a:t>
            </a:r>
            <a:r>
              <a:rPr lang="zh-CN" altLang="en-US" baseline="0"/>
              <a:t>年工业增加值及其增长速度</a:t>
            </a:r>
            <a:endParaRPr lang="zh-CN" altLang="en-US"/>
          </a:p>
        </c:rich>
      </c:tx>
      <c:layout/>
      <c:overlay val="0"/>
      <c:spPr>
        <a:noFill/>
        <a:ln>
          <a:noFill/>
        </a:ln>
        <a:effectLst/>
      </c:spPr>
    </c:title>
    <c:autoTitleDeleted val="0"/>
    <c:plotArea>
      <c:layout/>
      <c:barChart>
        <c:barDir val="col"/>
        <c:grouping val="clustered"/>
        <c:varyColors val="0"/>
        <c:ser>
          <c:idx val="0"/>
          <c:order val="0"/>
          <c:tx>
            <c:strRef>
              <c:f>工业!$B$1</c:f>
              <c:strCache>
                <c:ptCount val="1"/>
                <c:pt idx="0">
                  <c:v>工业增加值（万元）</c:v>
                </c:pt>
              </c:strCache>
            </c:strRef>
          </c:tx>
          <c:spPr>
            <a:solidFill>
              <a:schemeClr val="accent1"/>
            </a:solidFill>
            <a:ln>
              <a:noFill/>
            </a:ln>
            <a:effectLst/>
          </c:spPr>
          <c:invertIfNegative val="0"/>
          <c:dLbls>
            <c:delete val="1"/>
          </c:dLbls>
          <c:cat>
            <c:numRef>
              <c:f>工业!$A$12:$A$16</c:f>
              <c:numCache>
                <c:formatCode>General</c:formatCode>
                <c:ptCount val="5"/>
                <c:pt idx="0">
                  <c:v>2015</c:v>
                </c:pt>
                <c:pt idx="1">
                  <c:v>2016</c:v>
                </c:pt>
                <c:pt idx="2">
                  <c:v>2017</c:v>
                </c:pt>
                <c:pt idx="3">
                  <c:v>2018</c:v>
                </c:pt>
                <c:pt idx="4">
                  <c:v>2019</c:v>
                </c:pt>
              </c:numCache>
            </c:numRef>
          </c:cat>
          <c:val>
            <c:numRef>
              <c:f>工业!$B$12:$B$16</c:f>
              <c:numCache>
                <c:formatCode>General</c:formatCode>
                <c:ptCount val="5"/>
                <c:pt idx="0">
                  <c:v>1670351</c:v>
                </c:pt>
                <c:pt idx="1">
                  <c:v>1823533</c:v>
                </c:pt>
                <c:pt idx="2">
                  <c:v>2087645</c:v>
                </c:pt>
                <c:pt idx="3">
                  <c:v>2320914</c:v>
                </c:pt>
                <c:pt idx="4">
                  <c:v>590801</c:v>
                </c:pt>
              </c:numCache>
            </c:numRef>
          </c:val>
        </c:ser>
        <c:dLbls>
          <c:showLegendKey val="0"/>
          <c:showVal val="0"/>
          <c:showCatName val="0"/>
          <c:showSerName val="0"/>
          <c:showPercent val="0"/>
          <c:showBubbleSize val="0"/>
        </c:dLbls>
        <c:gapWidth val="219"/>
        <c:overlap val="-27"/>
        <c:axId val="413361528"/>
        <c:axId val="413361920"/>
      </c:barChart>
      <c:lineChart>
        <c:grouping val="standard"/>
        <c:varyColors val="0"/>
        <c:ser>
          <c:idx val="1"/>
          <c:order val="1"/>
          <c:tx>
            <c:strRef>
              <c:f>工业!$C$1</c:f>
              <c:strCache>
                <c:ptCount val="1"/>
                <c:pt idx="0">
                  <c:v>比上年增长（%）</c:v>
                </c:pt>
              </c:strCache>
            </c:strRef>
          </c:tx>
          <c:spPr>
            <a:ln w="28575" cap="rnd" cmpd="sng" algn="ctr">
              <a:solidFill>
                <a:schemeClr val="accent2"/>
              </a:solidFill>
              <a:prstDash val="solid"/>
              <a:round/>
            </a:ln>
            <a:effectLst/>
          </c:spPr>
          <c:marker>
            <c:symbol val="none"/>
          </c:marker>
          <c:dLbls>
            <c:delete val="1"/>
          </c:dLbls>
          <c:val>
            <c:numRef>
              <c:f>工业!$C$12:$C$16</c:f>
              <c:numCache>
                <c:formatCode>General</c:formatCode>
                <c:ptCount val="5"/>
                <c:pt idx="0">
                  <c:v>11.6</c:v>
                </c:pt>
                <c:pt idx="1">
                  <c:v>10.8</c:v>
                </c:pt>
                <c:pt idx="2">
                  <c:v>10.5</c:v>
                </c:pt>
                <c:pt idx="3">
                  <c:v>9.1</c:v>
                </c:pt>
                <c:pt idx="4">
                  <c:v>10.3</c:v>
                </c:pt>
              </c:numCache>
            </c:numRef>
          </c:val>
          <c:smooth val="0"/>
        </c:ser>
        <c:dLbls>
          <c:showLegendKey val="0"/>
          <c:showVal val="0"/>
          <c:showCatName val="0"/>
          <c:showSerName val="0"/>
          <c:showPercent val="0"/>
          <c:showBubbleSize val="0"/>
        </c:dLbls>
        <c:marker val="0"/>
        <c:smooth val="0"/>
        <c:axId val="413362704"/>
        <c:axId val="413362312"/>
      </c:lineChart>
      <c:catAx>
        <c:axId val="413361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3361920"/>
        <c:crosses val="autoZero"/>
        <c:auto val="1"/>
        <c:lblAlgn val="ctr"/>
        <c:lblOffset val="100"/>
        <c:noMultiLvlLbl val="0"/>
      </c:catAx>
      <c:valAx>
        <c:axId val="41336192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3361528"/>
        <c:crosses val="autoZero"/>
        <c:crossBetween val="between"/>
      </c:valAx>
      <c:catAx>
        <c:axId val="413362704"/>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3362312"/>
        <c:crosses val="autoZero"/>
        <c:auto val="1"/>
        <c:lblAlgn val="ctr"/>
        <c:lblOffset val="100"/>
        <c:noMultiLvlLbl val="0"/>
      </c:catAx>
      <c:valAx>
        <c:axId val="413362312"/>
        <c:scaling>
          <c:orientation val="minMax"/>
        </c:scaling>
        <c:delete val="0"/>
        <c:axPos val="r"/>
        <c:numFmt formatCode="General" sourceLinked="1"/>
        <c:majorTickMark val="out"/>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3362704"/>
        <c:crosses val="max"/>
        <c:crossBetween val="between"/>
      </c:valAx>
      <c:dTable>
        <c:showHorzBorder val="1"/>
        <c:showVertBorder val="1"/>
        <c:showOutline val="1"/>
        <c:showKeys val="1"/>
        <c:spPr>
          <a:noFill/>
          <a:ln w="9525" cap="flat" cmpd="sng" algn="ctr">
            <a:solidFill>
              <a:sysClr val="windowText" lastClr="000000"/>
            </a:solidFill>
            <a:prstDash val="solid"/>
            <a:round/>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bg1">
          <a:lumMod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图</a:t>
            </a:r>
            <a:r>
              <a:rPr lang="en-US" altLang="zh-CN"/>
              <a:t>3</a:t>
            </a:r>
            <a:r>
              <a:rPr lang="en-US" altLang="zh-CN" baseline="0"/>
              <a:t>   2015-2019</a:t>
            </a:r>
            <a:r>
              <a:rPr lang="zh-CN" altLang="en-US" baseline="0"/>
              <a:t>年建筑业增加值及其增长速度</a:t>
            </a:r>
            <a:endParaRPr lang="zh-CN" altLang="en-US"/>
          </a:p>
        </c:rich>
      </c:tx>
      <c:layout/>
      <c:overlay val="0"/>
      <c:spPr>
        <a:noFill/>
        <a:ln>
          <a:noFill/>
        </a:ln>
        <a:effectLst/>
      </c:spPr>
    </c:title>
    <c:autoTitleDeleted val="0"/>
    <c:plotArea>
      <c:layout/>
      <c:barChart>
        <c:barDir val="col"/>
        <c:grouping val="clustered"/>
        <c:varyColors val="0"/>
        <c:ser>
          <c:idx val="0"/>
          <c:order val="0"/>
          <c:tx>
            <c:strRef>
              <c:f>建筑业!$B$1</c:f>
              <c:strCache>
                <c:ptCount val="1"/>
                <c:pt idx="0">
                  <c:v>建筑增加值（万元）</c:v>
                </c:pt>
              </c:strCache>
            </c:strRef>
          </c:tx>
          <c:spPr>
            <a:solidFill>
              <a:schemeClr val="accent1"/>
            </a:solidFill>
            <a:ln>
              <a:noFill/>
            </a:ln>
            <a:effectLst/>
          </c:spPr>
          <c:invertIfNegative val="0"/>
          <c:dLbls>
            <c:delete val="1"/>
          </c:dLbls>
          <c:cat>
            <c:numRef>
              <c:f>建筑业!$A$12:$A$16</c:f>
              <c:numCache>
                <c:formatCode>General</c:formatCode>
                <c:ptCount val="5"/>
                <c:pt idx="0">
                  <c:v>2015</c:v>
                </c:pt>
                <c:pt idx="1">
                  <c:v>2016</c:v>
                </c:pt>
                <c:pt idx="2">
                  <c:v>2017</c:v>
                </c:pt>
                <c:pt idx="3">
                  <c:v>2018</c:v>
                </c:pt>
                <c:pt idx="4">
                  <c:v>2019</c:v>
                </c:pt>
              </c:numCache>
            </c:numRef>
          </c:cat>
          <c:val>
            <c:numRef>
              <c:f>建筑业!$B$12:$B$16</c:f>
              <c:numCache>
                <c:formatCode>General</c:formatCode>
                <c:ptCount val="5"/>
                <c:pt idx="0">
                  <c:v>407383</c:v>
                </c:pt>
                <c:pt idx="1">
                  <c:v>468612</c:v>
                </c:pt>
                <c:pt idx="2">
                  <c:v>550701</c:v>
                </c:pt>
                <c:pt idx="3">
                  <c:v>620012</c:v>
                </c:pt>
                <c:pt idx="4">
                  <c:v>837895</c:v>
                </c:pt>
              </c:numCache>
            </c:numRef>
          </c:val>
        </c:ser>
        <c:dLbls>
          <c:showLegendKey val="0"/>
          <c:showVal val="0"/>
          <c:showCatName val="0"/>
          <c:showSerName val="0"/>
          <c:showPercent val="0"/>
          <c:showBubbleSize val="0"/>
        </c:dLbls>
        <c:gapWidth val="219"/>
        <c:overlap val="-27"/>
        <c:axId val="412102856"/>
        <c:axId val="412103248"/>
      </c:barChart>
      <c:lineChart>
        <c:grouping val="standard"/>
        <c:varyColors val="0"/>
        <c:ser>
          <c:idx val="1"/>
          <c:order val="1"/>
          <c:tx>
            <c:strRef>
              <c:f>建筑业!$C$1</c:f>
              <c:strCache>
                <c:ptCount val="1"/>
                <c:pt idx="0">
                  <c:v>比上年增长（%）</c:v>
                </c:pt>
              </c:strCache>
            </c:strRef>
          </c:tx>
          <c:spPr>
            <a:ln w="28575" cap="rnd" cmpd="sng" algn="ctr">
              <a:solidFill>
                <a:schemeClr val="accent2"/>
              </a:solidFill>
              <a:prstDash val="solid"/>
              <a:round/>
            </a:ln>
            <a:effectLst/>
          </c:spPr>
          <c:marker>
            <c:symbol val="none"/>
          </c:marker>
          <c:dLbls>
            <c:delete val="1"/>
          </c:dLbls>
          <c:val>
            <c:numRef>
              <c:f>建筑业!$C$12:$C$16</c:f>
              <c:numCache>
                <c:formatCode>General</c:formatCode>
                <c:ptCount val="5"/>
                <c:pt idx="0">
                  <c:v>19.2</c:v>
                </c:pt>
                <c:pt idx="1">
                  <c:v>17</c:v>
                </c:pt>
                <c:pt idx="2">
                  <c:v>9.90000000000001</c:v>
                </c:pt>
                <c:pt idx="3">
                  <c:v>6.6</c:v>
                </c:pt>
                <c:pt idx="4">
                  <c:v>11.1</c:v>
                </c:pt>
              </c:numCache>
            </c:numRef>
          </c:val>
          <c:smooth val="0"/>
        </c:ser>
        <c:dLbls>
          <c:showLegendKey val="0"/>
          <c:showVal val="0"/>
          <c:showCatName val="0"/>
          <c:showSerName val="0"/>
          <c:showPercent val="0"/>
          <c:showBubbleSize val="0"/>
        </c:dLbls>
        <c:marker val="0"/>
        <c:smooth val="0"/>
        <c:axId val="412104032"/>
        <c:axId val="412103640"/>
      </c:lineChart>
      <c:catAx>
        <c:axId val="412102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2103248"/>
        <c:crosses val="autoZero"/>
        <c:auto val="1"/>
        <c:lblAlgn val="ctr"/>
        <c:lblOffset val="100"/>
        <c:noMultiLvlLbl val="0"/>
      </c:catAx>
      <c:valAx>
        <c:axId val="4121032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2102856"/>
        <c:crosses val="autoZero"/>
        <c:crossBetween val="between"/>
      </c:valAx>
      <c:catAx>
        <c:axId val="412104032"/>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2103640"/>
        <c:crosses val="autoZero"/>
        <c:auto val="1"/>
        <c:lblAlgn val="ctr"/>
        <c:lblOffset val="100"/>
        <c:noMultiLvlLbl val="0"/>
      </c:catAx>
      <c:valAx>
        <c:axId val="412103640"/>
        <c:scaling>
          <c:orientation val="minMax"/>
        </c:scaling>
        <c:delete val="0"/>
        <c:axPos val="r"/>
        <c:numFmt formatCode="General" sourceLinked="1"/>
        <c:majorTickMark val="out"/>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2104032"/>
        <c:crosses val="max"/>
        <c:crossBetween val="between"/>
      </c:valAx>
      <c:dTable>
        <c:showHorzBorder val="1"/>
        <c:showVertBorder val="1"/>
        <c:showOutline val="1"/>
        <c:showKeys val="1"/>
        <c:spPr>
          <a:noFill/>
          <a:ln w="9525" cap="flat" cmpd="sng" algn="ctr">
            <a:solidFill>
              <a:sysClr val="windowText" lastClr="000000"/>
            </a:solidFill>
            <a:prstDash val="solid"/>
            <a:round/>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bg1">
          <a:lumMod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图</a:t>
            </a:r>
            <a:r>
              <a:rPr lang="en-US" altLang="zh-CN"/>
              <a:t>4</a:t>
            </a:r>
            <a:r>
              <a:rPr lang="en-US" altLang="zh-CN" baseline="0"/>
              <a:t>   2015-2019</a:t>
            </a:r>
            <a:r>
              <a:rPr lang="zh-CN" altLang="en-US" baseline="0"/>
              <a:t>年固定资产投资增长速度</a:t>
            </a:r>
            <a:endParaRPr lang="en-US" altLang="zh-CN"/>
          </a:p>
        </c:rich>
      </c:tx>
      <c:layout/>
      <c:overlay val="0"/>
      <c:spPr>
        <a:noFill/>
        <a:ln>
          <a:noFill/>
        </a:ln>
        <a:effectLst/>
      </c:spPr>
    </c:title>
    <c:autoTitleDeleted val="0"/>
    <c:plotArea>
      <c:layout/>
      <c:lineChart>
        <c:grouping val="standard"/>
        <c:varyColors val="0"/>
        <c:ser>
          <c:idx val="0"/>
          <c:order val="0"/>
          <c:tx>
            <c:strRef>
              <c:f>固投人均总值表!$H$1</c:f>
              <c:strCache>
                <c:ptCount val="1"/>
                <c:pt idx="0">
                  <c:v>比上年增长%</c:v>
                </c:pt>
              </c:strCache>
            </c:strRef>
          </c:tx>
          <c:spPr>
            <a:ln w="28575" cap="rnd" cmpd="sng" algn="ctr">
              <a:solidFill>
                <a:schemeClr val="accent1"/>
              </a:solidFill>
              <a:prstDash val="solid"/>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固投人均总值表!$F$12:$F$16</c:f>
              <c:numCache>
                <c:formatCode>General</c:formatCode>
                <c:ptCount val="5"/>
                <c:pt idx="0">
                  <c:v>2015</c:v>
                </c:pt>
                <c:pt idx="1">
                  <c:v>2016</c:v>
                </c:pt>
                <c:pt idx="2">
                  <c:v>2017</c:v>
                </c:pt>
                <c:pt idx="3">
                  <c:v>2018</c:v>
                </c:pt>
                <c:pt idx="4">
                  <c:v>2019</c:v>
                </c:pt>
              </c:numCache>
            </c:numRef>
          </c:cat>
          <c:val>
            <c:numRef>
              <c:f>固投人均总值表!$H$12:$H$16</c:f>
              <c:numCache>
                <c:formatCode>General</c:formatCode>
                <c:ptCount val="5"/>
                <c:pt idx="0">
                  <c:v>20.2</c:v>
                </c:pt>
                <c:pt idx="1">
                  <c:v>16</c:v>
                </c:pt>
                <c:pt idx="2">
                  <c:v>13.5</c:v>
                </c:pt>
                <c:pt idx="3">
                  <c:v>10.7</c:v>
                </c:pt>
                <c:pt idx="4">
                  <c:v>14.6</c:v>
                </c:pt>
              </c:numCache>
            </c:numRef>
          </c:val>
          <c:smooth val="0"/>
        </c:ser>
        <c:dLbls>
          <c:showLegendKey val="0"/>
          <c:showVal val="0"/>
          <c:showCatName val="0"/>
          <c:showSerName val="0"/>
          <c:showPercent val="0"/>
          <c:showBubbleSize val="0"/>
        </c:dLbls>
        <c:marker val="0"/>
        <c:smooth val="0"/>
        <c:axId val="412105208"/>
        <c:axId val="412105600"/>
      </c:lineChart>
      <c:catAx>
        <c:axId val="412105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2105600"/>
        <c:crosses val="autoZero"/>
        <c:auto val="1"/>
        <c:lblAlgn val="ctr"/>
        <c:lblOffset val="100"/>
        <c:noMultiLvlLbl val="0"/>
      </c:catAx>
      <c:valAx>
        <c:axId val="41210560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2105208"/>
        <c:crosses val="autoZero"/>
        <c:crossBetween val="between"/>
      </c:valAx>
      <c:dTable>
        <c:showHorzBorder val="1"/>
        <c:showVertBorder val="1"/>
        <c:showOutline val="1"/>
        <c:showKeys val="1"/>
        <c:spPr>
          <a:noFill/>
          <a:ln w="9525" cap="flat" cmpd="sng" algn="ctr">
            <a:solidFill>
              <a:schemeClr val="tx1"/>
            </a:solidFill>
            <a:prstDash val="solid"/>
            <a:round/>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图</a:t>
            </a:r>
            <a:r>
              <a:rPr lang="en-US" altLang="zh-CN"/>
              <a:t>5</a:t>
            </a:r>
            <a:r>
              <a:rPr lang="en-US" altLang="zh-CN" baseline="0"/>
              <a:t>   2015-2019</a:t>
            </a:r>
            <a:r>
              <a:rPr lang="zh-CN" altLang="en-US" baseline="0"/>
              <a:t>年社会消费品零售总额增长速度</a:t>
            </a:r>
            <a:endParaRPr lang="zh-CN" altLang="en-US"/>
          </a:p>
        </c:rich>
      </c:tx>
      <c:layout/>
      <c:overlay val="0"/>
      <c:spPr>
        <a:noFill/>
        <a:ln>
          <a:noFill/>
        </a:ln>
        <a:effectLst/>
      </c:spPr>
    </c:title>
    <c:autoTitleDeleted val="0"/>
    <c:plotArea>
      <c:layout/>
      <c:lineChart>
        <c:grouping val="standard"/>
        <c:varyColors val="0"/>
        <c:ser>
          <c:idx val="0"/>
          <c:order val="0"/>
          <c:tx>
            <c:strRef>
              <c:f>社零!$C$1</c:f>
              <c:strCache>
                <c:ptCount val="1"/>
                <c:pt idx="0">
                  <c:v>比上年增长%</c:v>
                </c:pt>
              </c:strCache>
            </c:strRef>
          </c:tx>
          <c:spPr>
            <a:ln w="28575" cap="rnd" cmpd="sng" algn="ctr">
              <a:solidFill>
                <a:schemeClr val="accent1"/>
              </a:solidFill>
              <a:prstDash val="solid"/>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社零!$A$12:$A$16</c:f>
              <c:numCache>
                <c:formatCode>General</c:formatCode>
                <c:ptCount val="5"/>
                <c:pt idx="0">
                  <c:v>2015</c:v>
                </c:pt>
                <c:pt idx="1">
                  <c:v>2016</c:v>
                </c:pt>
                <c:pt idx="2">
                  <c:v>2017</c:v>
                </c:pt>
                <c:pt idx="3">
                  <c:v>2018</c:v>
                </c:pt>
                <c:pt idx="4">
                  <c:v>2019</c:v>
                </c:pt>
              </c:numCache>
            </c:numRef>
          </c:cat>
          <c:val>
            <c:numRef>
              <c:f>社零!$C$12:$C$16</c:f>
              <c:numCache>
                <c:formatCode>General</c:formatCode>
                <c:ptCount val="5"/>
                <c:pt idx="0">
                  <c:v>13.9</c:v>
                </c:pt>
                <c:pt idx="1">
                  <c:v>13.6</c:v>
                </c:pt>
                <c:pt idx="2">
                  <c:v>13.3</c:v>
                </c:pt>
                <c:pt idx="3">
                  <c:v>13.1</c:v>
                </c:pt>
                <c:pt idx="4">
                  <c:v>13.1</c:v>
                </c:pt>
              </c:numCache>
            </c:numRef>
          </c:val>
          <c:smooth val="0"/>
        </c:ser>
        <c:dLbls>
          <c:showLegendKey val="0"/>
          <c:showVal val="1"/>
          <c:showCatName val="0"/>
          <c:showSerName val="0"/>
          <c:showPercent val="0"/>
          <c:showBubbleSize val="0"/>
        </c:dLbls>
        <c:marker val="0"/>
        <c:smooth val="0"/>
        <c:axId val="419622824"/>
        <c:axId val="419623216"/>
      </c:lineChart>
      <c:catAx>
        <c:axId val="419622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9623216"/>
        <c:crosses val="autoZero"/>
        <c:auto val="1"/>
        <c:lblAlgn val="ctr"/>
        <c:lblOffset val="100"/>
        <c:noMultiLvlLbl val="0"/>
      </c:catAx>
      <c:valAx>
        <c:axId val="41962321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9622824"/>
        <c:crosses val="autoZero"/>
        <c:crossBetween val="between"/>
      </c:valAx>
      <c:dTable>
        <c:showHorzBorder val="1"/>
        <c:showVertBorder val="1"/>
        <c:showOutline val="1"/>
        <c:showKeys val="1"/>
        <c:spPr>
          <a:noFill/>
          <a:ln w="9525" cap="flat" cmpd="sng" algn="ctr">
            <a:solidFill>
              <a:sysClr val="windowText" lastClr="000000"/>
            </a:solidFill>
            <a:prstDash val="solid"/>
            <a:round/>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bg1">
          <a:lumMod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图</a:t>
            </a:r>
            <a:r>
              <a:rPr lang="en-US" altLang="zh-CN"/>
              <a:t>6</a:t>
            </a:r>
            <a:r>
              <a:rPr lang="en-US" altLang="zh-CN" baseline="0"/>
              <a:t>   2015-2019</a:t>
            </a:r>
            <a:r>
              <a:rPr lang="zh-CN" altLang="en-US" baseline="0"/>
              <a:t>年金融机构存款余额</a:t>
            </a:r>
            <a:endParaRPr lang="zh-CN" altLang="en-US"/>
          </a:p>
        </c:rich>
      </c:tx>
      <c:layout/>
      <c:overlay val="0"/>
      <c:spPr>
        <a:noFill/>
        <a:ln>
          <a:noFill/>
        </a:ln>
        <a:effectLst/>
      </c:spPr>
    </c:title>
    <c:autoTitleDeleted val="0"/>
    <c:plotArea>
      <c:layout/>
      <c:barChart>
        <c:barDir val="col"/>
        <c:grouping val="clustered"/>
        <c:varyColors val="0"/>
        <c:ser>
          <c:idx val="0"/>
          <c:order val="0"/>
          <c:tx>
            <c:strRef>
              <c:f>金融!$B$1</c:f>
              <c:strCache>
                <c:ptCount val="1"/>
                <c:pt idx="0">
                  <c:v>金融机构存款余额（万元）</c:v>
                </c:pt>
              </c:strCache>
            </c:strRef>
          </c:tx>
          <c:spPr>
            <a:solidFill>
              <a:schemeClr val="accent1"/>
            </a:solidFill>
            <a:ln>
              <a:noFill/>
            </a:ln>
            <a:effectLst/>
          </c:spPr>
          <c:invertIfNegative val="0"/>
          <c:dLbls>
            <c:delete val="1"/>
          </c:dLbls>
          <c:cat>
            <c:numRef>
              <c:f>金融!$A$12:$A$16</c:f>
              <c:numCache>
                <c:formatCode>General</c:formatCode>
                <c:ptCount val="5"/>
                <c:pt idx="0">
                  <c:v>2015</c:v>
                </c:pt>
                <c:pt idx="1">
                  <c:v>2016</c:v>
                </c:pt>
                <c:pt idx="2">
                  <c:v>2017</c:v>
                </c:pt>
                <c:pt idx="3">
                  <c:v>2018</c:v>
                </c:pt>
                <c:pt idx="4">
                  <c:v>2019</c:v>
                </c:pt>
              </c:numCache>
            </c:numRef>
          </c:cat>
          <c:val>
            <c:numRef>
              <c:f>金融!$B$12:$B$16</c:f>
              <c:numCache>
                <c:formatCode>General</c:formatCode>
                <c:ptCount val="5"/>
                <c:pt idx="0">
                  <c:v>2717047</c:v>
                </c:pt>
                <c:pt idx="1">
                  <c:v>2948059</c:v>
                </c:pt>
                <c:pt idx="2">
                  <c:v>3361010</c:v>
                </c:pt>
                <c:pt idx="3">
                  <c:v>3499354</c:v>
                </c:pt>
                <c:pt idx="4">
                  <c:v>4022413</c:v>
                </c:pt>
              </c:numCache>
            </c:numRef>
          </c:val>
        </c:ser>
        <c:ser>
          <c:idx val="1"/>
          <c:order val="1"/>
          <c:tx>
            <c:strRef>
              <c:f>金融!$C$1</c:f>
              <c:strCache>
                <c:ptCount val="1"/>
                <c:pt idx="0">
                  <c:v>金融机构贷款余额（万元）</c:v>
                </c:pt>
              </c:strCache>
            </c:strRef>
          </c:tx>
          <c:spPr>
            <a:solidFill>
              <a:schemeClr val="accent2"/>
            </a:solidFill>
            <a:ln>
              <a:noFill/>
            </a:ln>
            <a:effectLst/>
          </c:spPr>
          <c:invertIfNegative val="0"/>
          <c:dLbls>
            <c:delete val="1"/>
          </c:dLbls>
          <c:cat>
            <c:numRef>
              <c:f>金融!$A$12:$A$16</c:f>
              <c:numCache>
                <c:formatCode>General</c:formatCode>
                <c:ptCount val="5"/>
                <c:pt idx="0">
                  <c:v>2015</c:v>
                </c:pt>
                <c:pt idx="1">
                  <c:v>2016</c:v>
                </c:pt>
                <c:pt idx="2">
                  <c:v>2017</c:v>
                </c:pt>
                <c:pt idx="3">
                  <c:v>2018</c:v>
                </c:pt>
                <c:pt idx="4">
                  <c:v>2019</c:v>
                </c:pt>
              </c:numCache>
            </c:numRef>
          </c:cat>
          <c:val>
            <c:numRef>
              <c:f>金融!$C$12:$C$16</c:f>
              <c:numCache>
                <c:formatCode>General</c:formatCode>
                <c:ptCount val="5"/>
                <c:pt idx="0">
                  <c:v>1723638</c:v>
                </c:pt>
                <c:pt idx="1">
                  <c:v>1874298</c:v>
                </c:pt>
                <c:pt idx="2">
                  <c:v>2268840</c:v>
                </c:pt>
                <c:pt idx="3">
                  <c:v>2715329</c:v>
                </c:pt>
                <c:pt idx="4">
                  <c:v>3325834</c:v>
                </c:pt>
              </c:numCache>
            </c:numRef>
          </c:val>
        </c:ser>
        <c:dLbls>
          <c:showLegendKey val="0"/>
          <c:showVal val="0"/>
          <c:showCatName val="0"/>
          <c:showSerName val="0"/>
          <c:showPercent val="0"/>
          <c:showBubbleSize val="0"/>
        </c:dLbls>
        <c:gapWidth val="219"/>
        <c:axId val="419624392"/>
        <c:axId val="419624784"/>
      </c:barChart>
      <c:catAx>
        <c:axId val="419624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9624784"/>
        <c:crosses val="autoZero"/>
        <c:auto val="1"/>
        <c:lblAlgn val="ctr"/>
        <c:lblOffset val="100"/>
        <c:noMultiLvlLbl val="0"/>
      </c:catAx>
      <c:valAx>
        <c:axId val="41962478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9624392"/>
        <c:crosses val="autoZero"/>
        <c:crossBetween val="between"/>
      </c:valAx>
      <c:dTable>
        <c:showHorzBorder val="1"/>
        <c:showVertBorder val="1"/>
        <c:showOutline val="1"/>
        <c:showKeys val="1"/>
        <c:spPr>
          <a:noFill/>
          <a:ln w="9525" cap="flat" cmpd="sng" algn="ctr">
            <a:solidFill>
              <a:sysClr val="windowText" lastClr="000000"/>
            </a:solidFill>
            <a:prstDash val="solid"/>
            <a:round/>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bg1">
          <a:lumMod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sz="1200"/>
              <a:t>图</a:t>
            </a:r>
            <a:r>
              <a:rPr lang="en-US" altLang="zh-CN" sz="1200"/>
              <a:t>7</a:t>
            </a:r>
            <a:r>
              <a:rPr lang="en-US" altLang="zh-CN" sz="1200" baseline="0"/>
              <a:t> </a:t>
            </a:r>
            <a:r>
              <a:rPr lang="zh-CN" altLang="en-US" sz="1200" baseline="0"/>
              <a:t>按收入来源分的全区常住居民人均可支配收入及占比</a:t>
            </a:r>
            <a:endParaRPr lang="zh-CN" altLang="en-US" sz="1200"/>
          </a:p>
        </c:rich>
      </c:tx>
      <c:layout/>
      <c:overlay val="0"/>
      <c:spPr>
        <a:noFill/>
        <a:ln>
          <a:noFill/>
        </a:ln>
        <a:effectLst/>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multiLvlStrRef>
              <c:f>居民收入!$L$6:$M$9</c:f>
              <c:multiLvlStrCache>
                <c:ptCount val="4"/>
                <c:lvl>
                  <c:pt idx="0">
                    <c:v>12651元占比52.5%</c:v>
                  </c:pt>
                  <c:pt idx="1">
                    <c:v>4417元占比17.5%</c:v>
                  </c:pt>
                  <c:pt idx="2">
                    <c:v>1325元占比5.3%</c:v>
                  </c:pt>
                  <c:pt idx="3">
                    <c:v>6050元占比24.7%</c:v>
                  </c:pt>
                </c:lvl>
                <c:lvl>
                  <c:pt idx="0">
                    <c:v>  人均工资性收入</c:v>
                  </c:pt>
                  <c:pt idx="1">
                    <c:v>   人均经营净收入</c:v>
                  </c:pt>
                  <c:pt idx="2">
                    <c:v>  人均财产净收入</c:v>
                  </c:pt>
                  <c:pt idx="3">
                    <c:v>   人均转移净收入</c:v>
                  </c:pt>
                </c:lvl>
              </c:multiLvlStrCache>
            </c:multiLvlStrRef>
          </c:cat>
          <c:val>
            <c:numRef>
              <c:f>居民收入!$N$6:$N$9</c:f>
              <c:numCache>
                <c:formatCode>0.0%</c:formatCode>
                <c:ptCount val="4"/>
                <c:pt idx="0">
                  <c:v>0.524804615436219</c:v>
                </c:pt>
                <c:pt idx="1">
                  <c:v>0.174722436520981</c:v>
                </c:pt>
                <c:pt idx="2">
                  <c:v>0.0533324388689498</c:v>
                </c:pt>
                <c:pt idx="3">
                  <c:v>0.247106966759467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图</a:t>
            </a:r>
            <a:r>
              <a:rPr lang="en-US" altLang="zh-CN"/>
              <a:t>8</a:t>
            </a:r>
            <a:r>
              <a:rPr lang="en-US" altLang="zh-CN" baseline="0"/>
              <a:t>   2015-2019</a:t>
            </a:r>
            <a:r>
              <a:rPr lang="zh-CN" altLang="en-US" baseline="0"/>
              <a:t>年中小学教育招生人数</a:t>
            </a:r>
            <a:endParaRPr lang="zh-CN" altLang="en-US"/>
          </a:p>
        </c:rich>
      </c:tx>
      <c:layout/>
      <c:overlay val="0"/>
      <c:spPr>
        <a:noFill/>
        <a:ln>
          <a:noFill/>
        </a:ln>
        <a:effectLst/>
      </c:spPr>
    </c:title>
    <c:autoTitleDeleted val="0"/>
    <c:plotArea>
      <c:layout/>
      <c:barChart>
        <c:barDir val="col"/>
        <c:grouping val="clustered"/>
        <c:varyColors val="0"/>
        <c:ser>
          <c:idx val="0"/>
          <c:order val="0"/>
          <c:tx>
            <c:strRef>
              <c:f>教育!$G$1</c:f>
              <c:strCache>
                <c:ptCount val="1"/>
                <c:pt idx="0">
                  <c:v>小学招生人数（人）</c:v>
                </c:pt>
              </c:strCache>
            </c:strRef>
          </c:tx>
          <c:spPr>
            <a:solidFill>
              <a:schemeClr val="accent1"/>
            </a:solidFill>
            <a:ln>
              <a:noFill/>
            </a:ln>
            <a:effectLst/>
          </c:spPr>
          <c:invertIfNegative val="0"/>
          <c:dLbls>
            <c:delete val="1"/>
          </c:dLbls>
          <c:cat>
            <c:numRef>
              <c:f>教育!$F$9:$F$13</c:f>
              <c:numCache>
                <c:formatCode>General</c:formatCode>
                <c:ptCount val="5"/>
                <c:pt idx="0">
                  <c:v>2015</c:v>
                </c:pt>
                <c:pt idx="1">
                  <c:v>2016</c:v>
                </c:pt>
                <c:pt idx="2">
                  <c:v>2017</c:v>
                </c:pt>
                <c:pt idx="3">
                  <c:v>2018</c:v>
                </c:pt>
                <c:pt idx="4">
                  <c:v>2019</c:v>
                </c:pt>
              </c:numCache>
            </c:numRef>
          </c:cat>
          <c:val>
            <c:numRef>
              <c:f>教育!$G$9:$G$13</c:f>
              <c:numCache>
                <c:formatCode>General</c:formatCode>
                <c:ptCount val="5"/>
                <c:pt idx="0">
                  <c:v>8084</c:v>
                </c:pt>
                <c:pt idx="1">
                  <c:v>7531</c:v>
                </c:pt>
                <c:pt idx="2">
                  <c:v>6934</c:v>
                </c:pt>
                <c:pt idx="3">
                  <c:v>6862</c:v>
                </c:pt>
                <c:pt idx="4">
                  <c:v>6912</c:v>
                </c:pt>
              </c:numCache>
            </c:numRef>
          </c:val>
        </c:ser>
        <c:ser>
          <c:idx val="1"/>
          <c:order val="1"/>
          <c:tx>
            <c:strRef>
              <c:f>教育!$H$1</c:f>
              <c:strCache>
                <c:ptCount val="1"/>
                <c:pt idx="0">
                  <c:v>普通中学招生人数（人）</c:v>
                </c:pt>
              </c:strCache>
            </c:strRef>
          </c:tx>
          <c:spPr>
            <a:solidFill>
              <a:schemeClr val="accent2"/>
            </a:solidFill>
            <a:ln>
              <a:noFill/>
            </a:ln>
            <a:effectLst/>
          </c:spPr>
          <c:invertIfNegative val="0"/>
          <c:dLbls>
            <c:delete val="1"/>
          </c:dLbls>
          <c:cat>
            <c:numRef>
              <c:f>教育!$F$9:$F$13</c:f>
              <c:numCache>
                <c:formatCode>General</c:formatCode>
                <c:ptCount val="5"/>
                <c:pt idx="0">
                  <c:v>2015</c:v>
                </c:pt>
                <c:pt idx="1">
                  <c:v>2016</c:v>
                </c:pt>
                <c:pt idx="2">
                  <c:v>2017</c:v>
                </c:pt>
                <c:pt idx="3">
                  <c:v>2018</c:v>
                </c:pt>
                <c:pt idx="4">
                  <c:v>2019</c:v>
                </c:pt>
              </c:numCache>
            </c:numRef>
          </c:cat>
          <c:val>
            <c:numRef>
              <c:f>教育!$H$9:$H$13</c:f>
              <c:numCache>
                <c:formatCode>General</c:formatCode>
                <c:ptCount val="5"/>
                <c:pt idx="0">
                  <c:v>11615</c:v>
                </c:pt>
                <c:pt idx="1">
                  <c:v>12445</c:v>
                </c:pt>
                <c:pt idx="2">
                  <c:v>13492</c:v>
                </c:pt>
                <c:pt idx="3">
                  <c:v>13069</c:v>
                </c:pt>
                <c:pt idx="4">
                  <c:v>13732</c:v>
                </c:pt>
              </c:numCache>
            </c:numRef>
          </c:val>
        </c:ser>
        <c:dLbls>
          <c:showLegendKey val="0"/>
          <c:showVal val="0"/>
          <c:showCatName val="0"/>
          <c:showSerName val="0"/>
          <c:showPercent val="0"/>
          <c:showBubbleSize val="0"/>
        </c:dLbls>
        <c:gapWidth val="219"/>
        <c:overlap val="-27"/>
        <c:axId val="336053304"/>
        <c:axId val="336053696"/>
      </c:barChart>
      <c:catAx>
        <c:axId val="336053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6053696"/>
        <c:crosses val="autoZero"/>
        <c:auto val="1"/>
        <c:lblAlgn val="ctr"/>
        <c:lblOffset val="100"/>
        <c:noMultiLvlLbl val="0"/>
      </c:catAx>
      <c:valAx>
        <c:axId val="33605369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6053304"/>
        <c:crosses val="autoZero"/>
        <c:crossBetween val="between"/>
      </c:valAx>
      <c:dTable>
        <c:showHorzBorder val="1"/>
        <c:showVertBorder val="1"/>
        <c:showOutline val="1"/>
        <c:showKeys val="1"/>
        <c:spPr>
          <a:noFill/>
          <a:ln w="9525" cap="flat" cmpd="sng" algn="ctr">
            <a:solidFill>
              <a:sysClr val="windowText" lastClr="000000"/>
            </a:solidFill>
            <a:prstDash val="solid"/>
            <a:round/>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国家统计局</Company>
  <Pages>20</Pages>
  <Words>1309</Words>
  <Characters>7462</Characters>
  <Lines>62</Lines>
  <Paragraphs>17</Paragraphs>
  <TotalTime>5</TotalTime>
  <ScaleCrop>false</ScaleCrop>
  <LinksUpToDate>false</LinksUpToDate>
  <CharactersWithSpaces>8754</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2020-05-06T08:45:00Z</dcterms:created>
  <dc:creator>MYPC</dc:creator>
  <cp:lastModifiedBy>Administrator</cp:lastModifiedBy>
  <cp:lastPrinted>2020-03-27T03:04:00Z</cp:lastPrinted>
  <dcterms:modified xsi:type="dcterms:W3CDTF">2025-01-09T10:05:52Z</dcterms:modified>
  <dc:title>2016年荣昌区国民经济和社会发展统计公报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