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2018年重庆市荣昌区国民经济和社会发展统计公报</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重庆市荣昌区统计局</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2019年3月11日</w:t>
      </w:r>
    </w:p>
    <w:p>
      <w:pPr>
        <w:pStyle w:val="5"/>
        <w:tabs>
          <w:tab w:val="left" w:pos="550"/>
        </w:tabs>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全区上下以习近平新时代中国特色社会主义思想为指导，紧紧围绕习近平总书记对重庆提出的“两点”定位、“两地”“两高”目标和营造良好政治生态、做到“四个扎实”的重要指示要求，聚焦“高质量、供给侧、智能化”，坚持“说了算、定了干、马上办”，实施“三大主题年”，推动“三件大事”，做好“四篇文章”，全区经济稳步发展，各项社会事业全面进步。</w:t>
      </w:r>
    </w:p>
    <w:p>
      <w:pPr>
        <w:pStyle w:val="5"/>
        <w:tabs>
          <w:tab w:val="left" w:pos="550"/>
        </w:tabs>
        <w:spacing w:before="0" w:beforeAutospacing="0" w:after="0" w:afterAutospacing="0"/>
        <w:ind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ab/>
      </w:r>
      <w:r>
        <w:rPr>
          <w:rFonts w:hint="eastAsia" w:ascii="方正黑体_GBK" w:hAnsi="方正黑体_GBK" w:eastAsia="方正黑体_GBK" w:cs="方正黑体_GBK"/>
          <w:b/>
          <w:sz w:val="32"/>
          <w:szCs w:val="32"/>
        </w:rPr>
        <w:t>一、综合</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地区生产总值5048801万元，比上年增长9.5%。按产业分，第一产业增加值489552万元，增长3.8%；第二产业增加值2940926万元，增长8.6%；第三产业增加值1618323万元，增长12.9%。第一产业增加值占地区生产总值的比重为9.7%，比上年下降2.5个百分点；第二产业增加值比重为58.2%，比上年下降5.4个百分点；第三产业增加值比重为32.1%，比上年上升7.9个百分点。</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按常住人口计算，2018年全区人均生产总值达到70831元，比上年增长8.6%。</w:t>
      </w:r>
    </w:p>
    <w:p>
      <w:pPr>
        <w:pStyle w:val="5"/>
        <w:spacing w:before="0" w:beforeAutospacing="0" w:after="0" w:afterAutospacing="0"/>
        <w:ind w:right="44"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年末全区常住人口71.56万人，比上年增加0.56万人。其中城镇人口40.49万人，增加1.57万人，城镇化率56.58%，比上年提高1.76个百分点。</w:t>
      </w:r>
    </w:p>
    <w:p>
      <w:pPr>
        <w:pStyle w:val="5"/>
        <w:spacing w:before="0" w:beforeAutospacing="0" w:after="0" w:afterAutospacing="0"/>
        <w:ind w:right="44" w:firstLine="640" w:firstLineChars="200"/>
        <w:jc w:val="both"/>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年末全区户籍人口850143人，比上年增加581人。其中城镇人口4</w:t>
      </w:r>
      <w:r>
        <w:rPr>
          <w:rFonts w:ascii="方正仿宋_GBK" w:hAnsi="方正仿宋_GBK" w:eastAsia="方正仿宋_GBK" w:cs="方正仿宋_GBK"/>
          <w:sz w:val="32"/>
          <w:szCs w:val="32"/>
        </w:rPr>
        <w:t>02222</w:t>
      </w:r>
      <w:r>
        <w:rPr>
          <w:rFonts w:hint="eastAsia" w:ascii="方正仿宋_GBK" w:hAnsi="方正仿宋_GBK" w:eastAsia="方正仿宋_GBK" w:cs="方正仿宋_GBK"/>
          <w:sz w:val="32"/>
          <w:szCs w:val="32"/>
        </w:rPr>
        <w:t>人，乡村人口4</w:t>
      </w:r>
      <w:r>
        <w:rPr>
          <w:rFonts w:ascii="方正仿宋_GBK" w:hAnsi="方正仿宋_GBK" w:eastAsia="方正仿宋_GBK" w:cs="方正仿宋_GBK"/>
          <w:sz w:val="32"/>
          <w:szCs w:val="32"/>
        </w:rPr>
        <w:t>47921</w:t>
      </w:r>
      <w:r>
        <w:rPr>
          <w:rFonts w:hint="eastAsia" w:ascii="方正仿宋_GBK" w:hAnsi="方正仿宋_GBK" w:eastAsia="方正仿宋_GBK" w:cs="方正仿宋_GBK"/>
          <w:sz w:val="32"/>
          <w:szCs w:val="32"/>
        </w:rPr>
        <w:t>人。分性别看，男性人口433110人，女性人口417033人，人口性别比（以女性为1，男性对女性的比例）为1.04。户籍户数311592户。全年出生人口9214人，出生人口性别比为1.03，出生率为10.8‰；死亡人口6511人，死亡率为7.7‰；自然增长率为3.2‰。</w:t>
      </w: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表1　2018年人口数及其构成</w:t>
      </w:r>
    </w:p>
    <w:tbl>
      <w:tblPr>
        <w:tblStyle w:val="9"/>
        <w:tblW w:w="7573" w:type="dxa"/>
        <w:tblInd w:w="648" w:type="dxa"/>
        <w:tblLayout w:type="fixed"/>
        <w:tblCellMar>
          <w:top w:w="0" w:type="dxa"/>
          <w:left w:w="108" w:type="dxa"/>
          <w:bottom w:w="0" w:type="dxa"/>
          <w:right w:w="108" w:type="dxa"/>
        </w:tblCellMar>
      </w:tblPr>
      <w:tblGrid>
        <w:gridCol w:w="3990"/>
        <w:gridCol w:w="1703"/>
        <w:gridCol w:w="1880"/>
      </w:tblGrid>
      <w:tr>
        <w:tblPrEx>
          <w:tblLayout w:type="fixed"/>
          <w:tblCellMar>
            <w:top w:w="0" w:type="dxa"/>
            <w:left w:w="108" w:type="dxa"/>
            <w:bottom w:w="0" w:type="dxa"/>
            <w:right w:w="108" w:type="dxa"/>
          </w:tblCellMar>
        </w:tblPrEx>
        <w:trPr>
          <w:trHeight w:val="734" w:hRule="atLeast"/>
        </w:trPr>
        <w:tc>
          <w:tcPr>
            <w:tcW w:w="3990"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指标名称</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w:t>
            </w:r>
          </w:p>
        </w:tc>
        <w:tc>
          <w:tcPr>
            <w:tcW w:w="1880" w:type="dxa"/>
            <w:tcBorders>
              <w:top w:val="single" w:color="auto" w:sz="4" w:space="0"/>
              <w:left w:val="single" w:color="auto" w:sz="4" w:space="0"/>
              <w:bottom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比重（％）</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widowControl/>
              <w:shd w:val="clear" w:color="auto" w:fill="FFFFFF"/>
              <w:spacing w:line="360" w:lineRule="auto"/>
              <w:ind w:firstLine="480" w:firstLineChars="2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常住人口（万人）</w:t>
            </w:r>
          </w:p>
        </w:tc>
        <w:tc>
          <w:tcPr>
            <w:tcW w:w="1703"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71.56</w:t>
            </w:r>
          </w:p>
        </w:tc>
        <w:tc>
          <w:tcPr>
            <w:tcW w:w="1880"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widowControl/>
              <w:shd w:val="clear" w:color="auto" w:fill="FFFFFF"/>
              <w:spacing w:line="360" w:lineRule="auto"/>
              <w:ind w:firstLine="720" w:firstLineChars="3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其中：城镇人口（万人）</w:t>
            </w:r>
          </w:p>
        </w:tc>
        <w:tc>
          <w:tcPr>
            <w:tcW w:w="1703" w:type="dxa"/>
            <w:tcBorders>
              <w:left w:val="single" w:color="auto"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40.49 </w:t>
            </w:r>
          </w:p>
        </w:tc>
        <w:tc>
          <w:tcPr>
            <w:tcW w:w="1880" w:type="dxa"/>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56.58</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农村人口（万人）</w:t>
            </w:r>
          </w:p>
        </w:tc>
        <w:tc>
          <w:tcPr>
            <w:tcW w:w="1703"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31.07 </w:t>
            </w:r>
          </w:p>
        </w:tc>
        <w:tc>
          <w:tcPr>
            <w:tcW w:w="188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43.42</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户籍总人口（人）</w:t>
            </w:r>
          </w:p>
        </w:tc>
        <w:tc>
          <w:tcPr>
            <w:tcW w:w="1703"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850143</w:t>
            </w:r>
          </w:p>
        </w:tc>
        <w:tc>
          <w:tcPr>
            <w:tcW w:w="188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widowControl/>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其中：城镇人口（人）</w:t>
            </w:r>
          </w:p>
        </w:tc>
        <w:tc>
          <w:tcPr>
            <w:tcW w:w="1703"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402222</w:t>
            </w:r>
          </w:p>
        </w:tc>
        <w:tc>
          <w:tcPr>
            <w:tcW w:w="188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47.3 </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    乡村人口（人）</w:t>
            </w:r>
          </w:p>
        </w:tc>
        <w:tc>
          <w:tcPr>
            <w:tcW w:w="1703"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447921</w:t>
            </w:r>
          </w:p>
        </w:tc>
        <w:tc>
          <w:tcPr>
            <w:tcW w:w="1880" w:type="dxa"/>
            <w:tcBorders>
              <w:top w:val="nil"/>
              <w:left w:val="nil"/>
              <w:bottom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52.7 </w:t>
            </w:r>
          </w:p>
        </w:tc>
      </w:tr>
      <w:tr>
        <w:tblPrEx>
          <w:tblLayout w:type="fixed"/>
          <w:tblCellMar>
            <w:top w:w="0" w:type="dxa"/>
            <w:left w:w="108" w:type="dxa"/>
            <w:bottom w:w="0" w:type="dxa"/>
            <w:right w:w="108" w:type="dxa"/>
          </w:tblCellMar>
        </w:tblPrEx>
        <w:trPr>
          <w:trHeight w:val="553" w:hRule="exact"/>
        </w:trPr>
        <w:tc>
          <w:tcPr>
            <w:tcW w:w="3990" w:type="dxa"/>
            <w:tcBorders>
              <w:right w:val="single" w:color="auto" w:sz="4" w:space="0"/>
            </w:tcBorders>
            <w:vAlign w:val="center"/>
          </w:tcPr>
          <w:p>
            <w:pPr>
              <w:ind w:firstLine="720" w:firstLineChars="3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其中：男性（人）</w:t>
            </w:r>
          </w:p>
        </w:tc>
        <w:tc>
          <w:tcPr>
            <w:tcW w:w="1703"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433110</w:t>
            </w:r>
          </w:p>
        </w:tc>
        <w:tc>
          <w:tcPr>
            <w:tcW w:w="1880" w:type="dxa"/>
            <w:tcBorders>
              <w:top w:val="nil"/>
              <w:left w:val="nil"/>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50.9 </w:t>
            </w:r>
          </w:p>
        </w:tc>
      </w:tr>
      <w:tr>
        <w:tblPrEx>
          <w:tblLayout w:type="fixed"/>
          <w:tblCellMar>
            <w:top w:w="0" w:type="dxa"/>
            <w:left w:w="108" w:type="dxa"/>
            <w:bottom w:w="0" w:type="dxa"/>
            <w:right w:w="108" w:type="dxa"/>
          </w:tblCellMar>
        </w:tblPrEx>
        <w:trPr>
          <w:trHeight w:val="559" w:hRule="exact"/>
        </w:trPr>
        <w:tc>
          <w:tcPr>
            <w:tcW w:w="3990" w:type="dxa"/>
            <w:tcBorders>
              <w:bottom w:val="single" w:color="auto" w:sz="4" w:space="0"/>
              <w:right w:val="single" w:color="auto" w:sz="4" w:space="0"/>
            </w:tcBorders>
            <w:vAlign w:val="center"/>
          </w:tcPr>
          <w:p>
            <w:pPr>
              <w:ind w:firstLine="1440" w:firstLineChars="6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女性（人）</w:t>
            </w:r>
          </w:p>
        </w:tc>
        <w:tc>
          <w:tcPr>
            <w:tcW w:w="1703"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417033</w:t>
            </w:r>
          </w:p>
        </w:tc>
        <w:tc>
          <w:tcPr>
            <w:tcW w:w="1880" w:type="dxa"/>
            <w:tcBorders>
              <w:top w:val="nil"/>
              <w:left w:val="nil"/>
              <w:bottom w:val="single" w:color="auto" w:sz="4" w:space="0"/>
              <w:right w:val="nil"/>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49.1 </w:t>
            </w:r>
          </w:p>
        </w:tc>
      </w:tr>
    </w:tbl>
    <w:p>
      <w:pPr>
        <w:pStyle w:val="5"/>
        <w:spacing w:before="0" w:beforeAutospacing="0" w:after="0" w:afterAutospacing="0"/>
        <w:ind w:right="45"/>
        <w:rPr>
          <w:rFonts w:ascii="方正仿宋_GBK" w:hAnsi="方正仿宋_GBK" w:eastAsia="方正仿宋_GBK" w:cs="方正仿宋_GBK"/>
          <w:color w:val="0000FF"/>
        </w:rPr>
      </w:pPr>
      <w:r>
        <w:drawing>
          <wp:inline distT="0" distB="0" distL="0" distR="0">
            <wp:extent cx="5274310" cy="3375660"/>
            <wp:effectExtent l="0" t="0" r="2540"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hd w:val="clear" w:color="auto" w:fill="FFFFFF"/>
        <w:spacing w:line="360" w:lineRule="auto"/>
        <w:ind w:firstLine="640" w:firstLineChars="200"/>
        <w:rPr>
          <w:rFonts w:ascii="方正仿宋_GBK" w:hAnsi="方正仿宋_GBK" w:eastAsia="方正仿宋_GBK" w:cs="方正仿宋_GBK"/>
          <w:b/>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2018年城镇新增就业人员16715人,比上年下降6.9%。新增转移农村劳动力</w:t>
      </w:r>
      <w:r>
        <w:rPr>
          <w:rFonts w:ascii="方正仿宋_GBK" w:hAnsi="方正仿宋_GBK" w:eastAsia="方正仿宋_GBK" w:cs="方正仿宋_GBK"/>
          <w:bCs/>
          <w:color w:val="000000" w:themeColor="text1"/>
          <w:kern w:val="0"/>
          <w:sz w:val="32"/>
          <w:szCs w:val="32"/>
          <w14:textFill>
            <w14:solidFill>
              <w14:schemeClr w14:val="tx1"/>
            </w14:solidFill>
          </w14:textFill>
        </w:rPr>
        <w:t>1406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r>
        <w:rPr>
          <w:rFonts w:ascii="方正仿宋_GBK" w:hAnsi="方正仿宋_GBK" w:eastAsia="方正仿宋_GBK" w:cs="方正仿宋_GBK"/>
          <w:bCs/>
          <w:color w:val="000000" w:themeColor="text1"/>
          <w:kern w:val="0"/>
          <w:sz w:val="32"/>
          <w:szCs w:val="32"/>
          <w14:textFill>
            <w14:solidFill>
              <w14:schemeClr w14:val="tx1"/>
            </w14:solidFill>
          </w14:textFill>
        </w:rPr>
        <w:t>比上年增长</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19.9</w:t>
      </w:r>
      <w:r>
        <w:rPr>
          <w:rFonts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。年末城镇登记失业人数</w:t>
      </w:r>
      <w:r>
        <w:rPr>
          <w:rFonts w:ascii="方正仿宋_GBK" w:hAnsi="方正仿宋_GBK" w:eastAsia="方正仿宋_GBK" w:cs="方正仿宋_GBK"/>
          <w:bCs/>
          <w:color w:val="000000" w:themeColor="text1"/>
          <w:kern w:val="0"/>
          <w:sz w:val="32"/>
          <w:szCs w:val="32"/>
          <w14:textFill>
            <w14:solidFill>
              <w14:schemeClr w14:val="tx1"/>
            </w14:solidFill>
          </w14:textFill>
        </w:rPr>
        <w:t>3834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人，比上年增长</w:t>
      </w:r>
      <w:r>
        <w:rPr>
          <w:rFonts w:ascii="方正仿宋_GBK" w:hAnsi="方正仿宋_GBK" w:eastAsia="方正仿宋_GBK" w:cs="方正仿宋_GBK"/>
          <w:bCs/>
          <w:color w:val="000000" w:themeColor="text1"/>
          <w:kern w:val="0"/>
          <w:sz w:val="32"/>
          <w:szCs w:val="32"/>
          <w14:textFill>
            <w14:solidFill>
              <w14:schemeClr w14:val="tx1"/>
            </w14:solidFill>
          </w14:textFill>
        </w:rPr>
        <w:t>7.4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%。城镇登记失业率</w:t>
      </w:r>
      <w:r>
        <w:rPr>
          <w:rFonts w:ascii="方正仿宋_GBK" w:hAnsi="方正仿宋_GBK" w:eastAsia="方正仿宋_GBK" w:cs="方正仿宋_GBK"/>
          <w:bCs/>
          <w:color w:val="000000" w:themeColor="text1"/>
          <w:kern w:val="0"/>
          <w:sz w:val="32"/>
          <w:szCs w:val="32"/>
          <w14:textFill>
            <w14:solidFill>
              <w14:schemeClr w14:val="tx1"/>
            </w14:solidFill>
          </w14:textFill>
        </w:rPr>
        <w:t>2.79</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％，比上年下降0.3个百分点</w:t>
      </w:r>
      <w:r>
        <w:rPr>
          <w:rFonts w:hint="eastAsia" w:ascii="方正仿宋_GBK" w:hAnsi="方正仿宋_GBK" w:eastAsia="方正仿宋_GBK" w:cs="方正仿宋_GBK"/>
          <w:b/>
          <w:bCs/>
          <w:color w:val="000000" w:themeColor="text1"/>
          <w:kern w:val="0"/>
          <w:sz w:val="32"/>
          <w:szCs w:val="32"/>
          <w14:textFill>
            <w14:solidFill>
              <w14:schemeClr w14:val="tx1"/>
            </w14:solidFill>
          </w14:textFill>
        </w:rPr>
        <w:t>。</w:t>
      </w:r>
    </w:p>
    <w:p>
      <w:pPr>
        <w:widowControl/>
        <w:shd w:val="clear" w:color="auto" w:fill="FFFFFF"/>
        <w:spacing w:line="360" w:lineRule="auto"/>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截止2018年，全区共有各类市场主体58849户，比上年增长16.6%。其中内资企业15586户，外资企业41户，个体工商户42658户，农民专业合作社564户。2018年新发展微型企业3196户，年末微型企业达7959户。</w:t>
      </w:r>
    </w:p>
    <w:p>
      <w:pPr>
        <w:widowControl/>
        <w:shd w:val="clear" w:color="auto" w:fill="FFFFFF"/>
        <w:spacing w:line="360" w:lineRule="auto"/>
        <w:ind w:firstLine="640"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Cs/>
          <w:kern w:val="0"/>
          <w:sz w:val="32"/>
          <w:szCs w:val="32"/>
        </w:rPr>
        <w:t>全年一般公共预算收入283366万元，比上年同口径增长12.2%；其中税收收入165881万元，同口径增长15.5%。一般公共预算支出710078万元，同口径增长15.1%。其中，城乡社区支出50976万元，同口径</w:t>
      </w:r>
      <w:r>
        <w:rPr>
          <w:rFonts w:ascii="方正仿宋_GBK" w:hAnsi="方正仿宋_GBK" w:eastAsia="方正仿宋_GBK" w:cs="方正仿宋_GBK"/>
          <w:bCs/>
          <w:kern w:val="0"/>
          <w:sz w:val="32"/>
          <w:szCs w:val="32"/>
        </w:rPr>
        <w:t>增长</w:t>
      </w:r>
      <w:r>
        <w:rPr>
          <w:rFonts w:hint="eastAsia" w:ascii="方正仿宋_GBK" w:hAnsi="方正仿宋_GBK" w:eastAsia="方正仿宋_GBK" w:cs="方正仿宋_GBK"/>
          <w:bCs/>
          <w:kern w:val="0"/>
          <w:sz w:val="32"/>
          <w:szCs w:val="32"/>
        </w:rPr>
        <w:t>14.7%；社会保障和就业支出84562万元，同口径增长19.6%；教育支出145757万元，同口径增长12.8%；一般公共服务支出89269万元，同口径增长13.3%；医疗卫生与计划生育支出80802万元，同口径增长21.0%。</w:t>
      </w:r>
    </w:p>
    <w:p>
      <w:pPr>
        <w:widowControl/>
        <w:shd w:val="clear" w:color="auto" w:fill="FFFFFF"/>
        <w:spacing w:line="360" w:lineRule="auto"/>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二、农业</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全年完成农林牧渔业总产值</w:t>
      </w:r>
      <w:r>
        <w:rPr>
          <w:rFonts w:ascii="方正仿宋_GBK" w:hAnsi="方正仿宋_GBK" w:eastAsia="方正仿宋_GBK" w:cs="方正仿宋_GBK"/>
          <w:kern w:val="0"/>
          <w:sz w:val="32"/>
          <w:szCs w:val="32"/>
        </w:rPr>
        <w:t>733350</w:t>
      </w:r>
      <w:r>
        <w:rPr>
          <w:rFonts w:hint="eastAsia" w:ascii="方正仿宋_GBK" w:hAnsi="方正仿宋_GBK" w:eastAsia="方正仿宋_GBK" w:cs="方正仿宋_GBK"/>
          <w:kern w:val="0"/>
          <w:sz w:val="32"/>
          <w:szCs w:val="32"/>
        </w:rPr>
        <w:t>万元，比上年增长</w:t>
      </w:r>
      <w:r>
        <w:rPr>
          <w:rFonts w:ascii="方正仿宋_GBK" w:hAnsi="方正仿宋_GBK" w:eastAsia="方正仿宋_GBK" w:cs="方正仿宋_GBK"/>
          <w:kern w:val="0"/>
          <w:sz w:val="32"/>
          <w:szCs w:val="32"/>
        </w:rPr>
        <w:t>4.4</w:t>
      </w:r>
      <w:r>
        <w:rPr>
          <w:rFonts w:hint="eastAsia" w:ascii="方正仿宋_GBK" w:hAnsi="方正仿宋_GBK" w:eastAsia="方正仿宋_GBK" w:cs="方正仿宋_GBK"/>
          <w:kern w:val="0"/>
          <w:sz w:val="32"/>
          <w:szCs w:val="32"/>
        </w:rPr>
        <w:t>%。全年粮食播种面积</w:t>
      </w:r>
      <w:r>
        <w:rPr>
          <w:rFonts w:ascii="方正仿宋_GBK" w:hAnsi="方正仿宋_GBK" w:eastAsia="方正仿宋_GBK" w:cs="方正仿宋_GBK"/>
          <w:kern w:val="0"/>
          <w:sz w:val="32"/>
          <w:szCs w:val="32"/>
        </w:rPr>
        <w:t>668012</w:t>
      </w:r>
      <w:r>
        <w:rPr>
          <w:rFonts w:hint="eastAsia" w:ascii="方正仿宋_GBK" w:hAnsi="方正仿宋_GBK" w:eastAsia="方正仿宋_GBK" w:cs="方正仿宋_GBK"/>
          <w:kern w:val="0"/>
          <w:sz w:val="32"/>
          <w:szCs w:val="32"/>
        </w:rPr>
        <w:t>亩；蔬菜播种面积</w:t>
      </w:r>
      <w:r>
        <w:rPr>
          <w:rFonts w:ascii="方正仿宋_GBK" w:hAnsi="方正仿宋_GBK" w:eastAsia="方正仿宋_GBK" w:cs="方正仿宋_GBK"/>
          <w:kern w:val="0"/>
          <w:sz w:val="32"/>
          <w:szCs w:val="32"/>
        </w:rPr>
        <w:t>283627</w:t>
      </w:r>
      <w:r>
        <w:rPr>
          <w:rFonts w:hint="eastAsia" w:ascii="方正仿宋_GBK" w:hAnsi="方正仿宋_GBK" w:eastAsia="方正仿宋_GBK" w:cs="方正仿宋_GBK"/>
          <w:kern w:val="0"/>
          <w:sz w:val="32"/>
          <w:szCs w:val="32"/>
        </w:rPr>
        <w:t>亩。</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全年粮食产量</w:t>
      </w:r>
      <w:r>
        <w:rPr>
          <w:rFonts w:ascii="方正仿宋_GBK" w:hAnsi="方正仿宋_GBK" w:eastAsia="方正仿宋_GBK" w:cs="方正仿宋_GBK"/>
          <w:kern w:val="0"/>
          <w:sz w:val="32"/>
          <w:szCs w:val="32"/>
        </w:rPr>
        <w:t>297170</w:t>
      </w:r>
      <w:r>
        <w:rPr>
          <w:rFonts w:hint="eastAsia" w:ascii="方正仿宋_GBK" w:hAnsi="方正仿宋_GBK" w:eastAsia="方正仿宋_GBK" w:cs="方正仿宋_GBK"/>
          <w:kern w:val="0"/>
          <w:sz w:val="32"/>
          <w:szCs w:val="32"/>
        </w:rPr>
        <w:t>吨，比上年增长0.8%。蔬菜产量</w:t>
      </w:r>
      <w:r>
        <w:rPr>
          <w:rFonts w:ascii="方正仿宋_GBK" w:hAnsi="方正仿宋_GBK" w:eastAsia="方正仿宋_GBK" w:cs="方正仿宋_GBK"/>
          <w:kern w:val="0"/>
          <w:sz w:val="32"/>
          <w:szCs w:val="32"/>
        </w:rPr>
        <w:t>551514</w:t>
      </w:r>
      <w:r>
        <w:rPr>
          <w:rFonts w:hint="eastAsia" w:ascii="方正仿宋_GBK" w:hAnsi="方正仿宋_GBK" w:eastAsia="方正仿宋_GBK" w:cs="方正仿宋_GBK"/>
          <w:kern w:val="0"/>
          <w:sz w:val="32"/>
          <w:szCs w:val="32"/>
        </w:rPr>
        <w:t>吨，增长</w:t>
      </w:r>
      <w:r>
        <w:rPr>
          <w:rFonts w:ascii="方正仿宋_GBK" w:hAnsi="方正仿宋_GBK" w:eastAsia="方正仿宋_GBK" w:cs="方正仿宋_GBK"/>
          <w:kern w:val="0"/>
          <w:sz w:val="32"/>
          <w:szCs w:val="32"/>
        </w:rPr>
        <w:t>3.7</w:t>
      </w:r>
      <w:r>
        <w:rPr>
          <w:rFonts w:hint="eastAsia" w:ascii="方正仿宋_GBK" w:hAnsi="方正仿宋_GBK" w:eastAsia="方正仿宋_GBK" w:cs="方正仿宋_GBK"/>
          <w:kern w:val="0"/>
          <w:sz w:val="32"/>
          <w:szCs w:val="32"/>
        </w:rPr>
        <w:t>%。肉类总产量</w:t>
      </w:r>
      <w:r>
        <w:rPr>
          <w:rFonts w:ascii="方正仿宋_GBK" w:hAnsi="方正仿宋_GBK" w:eastAsia="方正仿宋_GBK" w:cs="方正仿宋_GBK"/>
          <w:kern w:val="0"/>
          <w:sz w:val="32"/>
          <w:szCs w:val="32"/>
        </w:rPr>
        <w:t>67186</w:t>
      </w:r>
      <w:r>
        <w:rPr>
          <w:rFonts w:hint="eastAsia" w:ascii="方正仿宋_GBK" w:hAnsi="方正仿宋_GBK" w:eastAsia="方正仿宋_GBK" w:cs="方正仿宋_GBK"/>
          <w:kern w:val="0"/>
          <w:sz w:val="32"/>
          <w:szCs w:val="32"/>
        </w:rPr>
        <w:t>吨，增长</w:t>
      </w:r>
      <w:r>
        <w:rPr>
          <w:rFonts w:ascii="方正仿宋_GBK" w:hAnsi="方正仿宋_GBK" w:eastAsia="方正仿宋_GBK" w:cs="方正仿宋_GBK"/>
          <w:kern w:val="0"/>
          <w:sz w:val="32"/>
          <w:szCs w:val="32"/>
        </w:rPr>
        <w:t>1.6</w:t>
      </w:r>
      <w:r>
        <w:rPr>
          <w:rFonts w:hint="eastAsia" w:ascii="方正仿宋_GBK" w:hAnsi="方正仿宋_GBK" w:eastAsia="方正仿宋_GBK" w:cs="方正仿宋_GBK"/>
          <w:kern w:val="0"/>
          <w:sz w:val="32"/>
          <w:szCs w:val="32"/>
        </w:rPr>
        <w:t>%。</w:t>
      </w:r>
    </w:p>
    <w:p>
      <w:pPr>
        <w:widowControl/>
        <w:shd w:val="clear" w:color="auto" w:fill="FFFFFF"/>
        <w:tabs>
          <w:tab w:val="left" w:pos="571"/>
          <w:tab w:val="center" w:pos="4493"/>
        </w:tabs>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ab/>
      </w:r>
      <w:r>
        <w:rPr>
          <w:rFonts w:hint="eastAsia" w:ascii="方正仿宋_GBK" w:hAnsi="方正仿宋_GBK" w:eastAsia="方正仿宋_GBK" w:cs="方正仿宋_GBK"/>
          <w:b/>
          <w:bCs/>
          <w:kern w:val="0"/>
          <w:sz w:val="28"/>
          <w:szCs w:val="28"/>
        </w:rPr>
        <w:t>表2　2018年主要农产品产量及其增长速度</w:t>
      </w:r>
    </w:p>
    <w:tbl>
      <w:tblPr>
        <w:tblStyle w:val="9"/>
        <w:tblW w:w="8200" w:type="dxa"/>
        <w:tblInd w:w="0" w:type="dxa"/>
        <w:tblLayout w:type="fixed"/>
        <w:tblCellMar>
          <w:top w:w="15" w:type="dxa"/>
          <w:left w:w="15" w:type="dxa"/>
          <w:bottom w:w="15" w:type="dxa"/>
          <w:right w:w="15" w:type="dxa"/>
        </w:tblCellMar>
      </w:tblPr>
      <w:tblGrid>
        <w:gridCol w:w="3232"/>
        <w:gridCol w:w="1822"/>
        <w:gridCol w:w="1671"/>
        <w:gridCol w:w="1475"/>
      </w:tblGrid>
      <w:tr>
        <w:tblPrEx>
          <w:tblLayout w:type="fixed"/>
          <w:tblCellMar>
            <w:top w:w="15" w:type="dxa"/>
            <w:left w:w="15" w:type="dxa"/>
            <w:bottom w:w="15" w:type="dxa"/>
            <w:right w:w="15" w:type="dxa"/>
          </w:tblCellMar>
        </w:tblPrEx>
        <w:trPr>
          <w:trHeight w:val="402" w:hRule="atLeast"/>
        </w:trPr>
        <w:tc>
          <w:tcPr>
            <w:tcW w:w="3232" w:type="dxa"/>
            <w:tcBorders>
              <w:top w:val="single" w:color="000000" w:sz="4" w:space="0"/>
              <w:bottom w:val="single" w:color="000000" w:sz="4" w:space="0"/>
              <w:right w:val="single" w:color="000000" w:sz="4" w:space="0"/>
            </w:tcBorders>
            <w:vAlign w:val="center"/>
          </w:tcPr>
          <w:p>
            <w:pPr>
              <w:pStyle w:val="5"/>
              <w:tabs>
                <w:tab w:val="left" w:pos="580"/>
              </w:tabs>
              <w:spacing w:before="0" w:beforeAutospacing="0" w:after="0" w:afterAutospacing="0"/>
              <w:ind w:left="45" w:right="45" w:firstLine="482" w:firstLineChars="200"/>
              <w:rPr>
                <w:rFonts w:ascii="方正仿宋_GBK" w:hAnsi="方正仿宋_GBK" w:eastAsia="方正仿宋_GBK" w:cs="方正仿宋_GBK"/>
              </w:rPr>
            </w:pPr>
            <w:r>
              <w:rPr>
                <w:rFonts w:hint="eastAsia" w:ascii="方正仿宋_GBK" w:hAnsi="方正仿宋_GBK" w:eastAsia="方正仿宋_GBK" w:cs="方正仿宋_GBK"/>
                <w:b/>
              </w:rPr>
              <w:tab/>
            </w:r>
            <w:r>
              <w:rPr>
                <w:rFonts w:hint="eastAsia" w:ascii="方正仿宋_GBK" w:hAnsi="方正仿宋_GBK" w:eastAsia="方正仿宋_GBK" w:cs="方正仿宋_GBK"/>
              </w:rPr>
              <w:t>产品名称</w:t>
            </w:r>
          </w:p>
        </w:tc>
        <w:tc>
          <w:tcPr>
            <w:tcW w:w="1822"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单位</w:t>
            </w:r>
          </w:p>
        </w:tc>
        <w:tc>
          <w:tcPr>
            <w:tcW w:w="1671" w:type="dxa"/>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2018年</w:t>
            </w:r>
          </w:p>
        </w:tc>
        <w:tc>
          <w:tcPr>
            <w:tcW w:w="1475" w:type="dxa"/>
            <w:tcBorders>
              <w:top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比上年±%</w:t>
            </w:r>
          </w:p>
        </w:tc>
      </w:tr>
      <w:tr>
        <w:tblPrEx>
          <w:tblLayout w:type="fixed"/>
          <w:tblCellMar>
            <w:top w:w="15" w:type="dxa"/>
            <w:left w:w="15" w:type="dxa"/>
            <w:bottom w:w="15" w:type="dxa"/>
            <w:right w:w="15" w:type="dxa"/>
          </w:tblCellMar>
        </w:tblPrEx>
        <w:trPr>
          <w:trHeight w:val="402"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粮食播种面积</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671" w:type="dxa"/>
            <w:vAlign w:val="center"/>
          </w:tcPr>
          <w:p>
            <w:pPr>
              <w:widowControl/>
              <w:jc w:val="center"/>
              <w:rPr>
                <w:rFonts w:ascii="方正仿宋_GBK" w:eastAsia="方正仿宋_GBK"/>
                <w:color w:val="000000"/>
                <w:kern w:val="0"/>
                <w:sz w:val="24"/>
              </w:rPr>
            </w:pPr>
            <w:r>
              <w:rPr>
                <w:rFonts w:hint="eastAsia" w:ascii="方正仿宋_GBK" w:eastAsia="方正仿宋_GBK"/>
                <w:color w:val="000000"/>
                <w:sz w:val="24"/>
              </w:rPr>
              <w:t>668012</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0.0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粮食产量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297170</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0.8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＃小麦</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37</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-24.4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稻谷</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181365</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0.7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玉米</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37800</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1.1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高粱</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8383</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3.3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油料产量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sz w:val="24"/>
              </w:rPr>
            </w:pPr>
            <w:r>
              <w:rPr>
                <w:rFonts w:hint="eastAsia" w:ascii="方正仿宋_GBK" w:eastAsia="方正仿宋_GBK"/>
                <w:sz w:val="24"/>
              </w:rPr>
              <w:t>23809</w:t>
            </w:r>
          </w:p>
        </w:tc>
        <w:tc>
          <w:tcPr>
            <w:tcW w:w="1475" w:type="dxa"/>
            <w:vAlign w:val="center"/>
          </w:tcPr>
          <w:p>
            <w:pPr>
              <w:jc w:val="center"/>
              <w:rPr>
                <w:rFonts w:ascii="方正仿宋_GBK" w:eastAsia="方正仿宋_GBK"/>
                <w:sz w:val="24"/>
              </w:rPr>
            </w:pPr>
            <w:r>
              <w:rPr>
                <w:rFonts w:hint="eastAsia" w:ascii="方正仿宋_GBK" w:eastAsia="方正仿宋_GBK"/>
                <w:sz w:val="24"/>
              </w:rPr>
              <w:t xml:space="preserve">3.9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蔬菜面积</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亩</w:t>
            </w:r>
          </w:p>
        </w:tc>
        <w:tc>
          <w:tcPr>
            <w:tcW w:w="1671" w:type="dxa"/>
            <w:vAlign w:val="center"/>
          </w:tcPr>
          <w:p>
            <w:pPr>
              <w:jc w:val="center"/>
              <w:rPr>
                <w:rFonts w:ascii="方正仿宋_GBK" w:eastAsia="方正仿宋_GBK"/>
                <w:sz w:val="24"/>
              </w:rPr>
            </w:pPr>
            <w:r>
              <w:rPr>
                <w:rFonts w:hint="eastAsia" w:ascii="方正仿宋_GBK" w:eastAsia="方正仿宋_GBK"/>
                <w:sz w:val="24"/>
              </w:rPr>
              <w:t>283627</w:t>
            </w:r>
          </w:p>
        </w:tc>
        <w:tc>
          <w:tcPr>
            <w:tcW w:w="1475" w:type="dxa"/>
            <w:vAlign w:val="center"/>
          </w:tcPr>
          <w:p>
            <w:pPr>
              <w:jc w:val="center"/>
              <w:rPr>
                <w:rFonts w:ascii="方正仿宋_GBK" w:eastAsia="方正仿宋_GBK"/>
                <w:sz w:val="24"/>
              </w:rPr>
            </w:pPr>
            <w:r>
              <w:rPr>
                <w:rFonts w:hint="eastAsia" w:ascii="方正仿宋_GBK" w:eastAsia="方正仿宋_GBK"/>
                <w:sz w:val="24"/>
              </w:rPr>
              <w:t xml:space="preserve">2.0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蔬菜产量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sz w:val="24"/>
              </w:rPr>
            </w:pPr>
            <w:r>
              <w:rPr>
                <w:rFonts w:hint="eastAsia" w:ascii="方正仿宋_GBK" w:eastAsia="方正仿宋_GBK"/>
                <w:sz w:val="24"/>
              </w:rPr>
              <w:t>551514</w:t>
            </w:r>
          </w:p>
        </w:tc>
        <w:tc>
          <w:tcPr>
            <w:tcW w:w="1475" w:type="dxa"/>
            <w:vAlign w:val="center"/>
          </w:tcPr>
          <w:p>
            <w:pPr>
              <w:jc w:val="center"/>
              <w:rPr>
                <w:rFonts w:ascii="方正仿宋_GBK" w:eastAsia="方正仿宋_GBK"/>
                <w:sz w:val="24"/>
              </w:rPr>
            </w:pPr>
            <w:r>
              <w:rPr>
                <w:rFonts w:hint="eastAsia" w:ascii="方正仿宋_GBK" w:eastAsia="方正仿宋_GBK"/>
                <w:sz w:val="24"/>
              </w:rPr>
              <w:t xml:space="preserve">3.7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肉类产量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sz w:val="24"/>
              </w:rPr>
            </w:pPr>
            <w:r>
              <w:rPr>
                <w:rFonts w:hint="eastAsia" w:ascii="方正仿宋_GBK" w:eastAsia="方正仿宋_GBK"/>
                <w:sz w:val="24"/>
              </w:rPr>
              <w:t>67186</w:t>
            </w:r>
          </w:p>
        </w:tc>
        <w:tc>
          <w:tcPr>
            <w:tcW w:w="1475" w:type="dxa"/>
            <w:vAlign w:val="center"/>
          </w:tcPr>
          <w:p>
            <w:pPr>
              <w:jc w:val="center"/>
              <w:rPr>
                <w:rFonts w:ascii="方正仿宋_GBK" w:eastAsia="方正仿宋_GBK"/>
                <w:sz w:val="24"/>
              </w:rPr>
            </w:pPr>
            <w:r>
              <w:rPr>
                <w:rFonts w:hint="eastAsia" w:ascii="方正仿宋_GBK" w:eastAsia="方正仿宋_GBK"/>
                <w:sz w:val="24"/>
              </w:rPr>
              <w:t xml:space="preserve">1.6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＃猪肉</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54393</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1.6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＃禽肉</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10323</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1.9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生猪出栏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722791</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0.2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羊出栏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头</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18580</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1.0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家禽出栏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万只</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682.89</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1.6 </w:t>
            </w:r>
          </w:p>
        </w:tc>
      </w:tr>
      <w:tr>
        <w:tblPrEx>
          <w:tblLayout w:type="fixed"/>
          <w:tblCellMar>
            <w:top w:w="15" w:type="dxa"/>
            <w:left w:w="15" w:type="dxa"/>
            <w:bottom w:w="15" w:type="dxa"/>
            <w:right w:w="15" w:type="dxa"/>
          </w:tblCellMar>
        </w:tblPrEx>
        <w:trPr>
          <w:trHeight w:val="390" w:hRule="atLeast"/>
        </w:trPr>
        <w:tc>
          <w:tcPr>
            <w:tcW w:w="3232" w:type="dxa"/>
            <w:tcBorders>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禽蛋产量</w:t>
            </w:r>
          </w:p>
        </w:tc>
        <w:tc>
          <w:tcPr>
            <w:tcW w:w="1822" w:type="dxa"/>
            <w:tcBorders>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vAlign w:val="center"/>
          </w:tcPr>
          <w:p>
            <w:pPr>
              <w:jc w:val="center"/>
              <w:rPr>
                <w:rFonts w:ascii="方正仿宋_GBK" w:eastAsia="方正仿宋_GBK"/>
                <w:color w:val="000000"/>
                <w:sz w:val="24"/>
              </w:rPr>
            </w:pPr>
            <w:r>
              <w:rPr>
                <w:rFonts w:hint="eastAsia" w:ascii="方正仿宋_GBK" w:eastAsia="方正仿宋_GBK"/>
                <w:color w:val="000000"/>
                <w:sz w:val="24"/>
              </w:rPr>
              <w:t>9618</w:t>
            </w:r>
          </w:p>
        </w:tc>
        <w:tc>
          <w:tcPr>
            <w:tcW w:w="1475" w:type="dxa"/>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4.2 </w:t>
            </w:r>
          </w:p>
        </w:tc>
      </w:tr>
      <w:tr>
        <w:tblPrEx>
          <w:tblLayout w:type="fixed"/>
          <w:tblCellMar>
            <w:top w:w="15" w:type="dxa"/>
            <w:left w:w="15" w:type="dxa"/>
            <w:bottom w:w="15" w:type="dxa"/>
            <w:right w:w="15" w:type="dxa"/>
          </w:tblCellMar>
        </w:tblPrEx>
        <w:trPr>
          <w:trHeight w:val="402" w:hRule="atLeast"/>
        </w:trPr>
        <w:tc>
          <w:tcPr>
            <w:tcW w:w="3232" w:type="dxa"/>
            <w:tcBorders>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牛奶产量</w:t>
            </w:r>
          </w:p>
        </w:tc>
        <w:tc>
          <w:tcPr>
            <w:tcW w:w="1822" w:type="dxa"/>
            <w:tcBorders>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吨</w:t>
            </w:r>
          </w:p>
        </w:tc>
        <w:tc>
          <w:tcPr>
            <w:tcW w:w="1671" w:type="dxa"/>
            <w:tcBorders>
              <w:bottom w:val="single" w:color="000000" w:sz="4" w:space="0"/>
            </w:tcBorders>
            <w:vAlign w:val="center"/>
          </w:tcPr>
          <w:p>
            <w:pPr>
              <w:jc w:val="center"/>
              <w:rPr>
                <w:rFonts w:ascii="方正仿宋_GBK" w:eastAsia="方正仿宋_GBK"/>
                <w:color w:val="000000"/>
                <w:sz w:val="24"/>
              </w:rPr>
            </w:pPr>
            <w:r>
              <w:rPr>
                <w:rFonts w:hint="eastAsia" w:ascii="方正仿宋_GBK" w:eastAsia="方正仿宋_GBK"/>
                <w:color w:val="000000"/>
                <w:sz w:val="24"/>
              </w:rPr>
              <w:t>3361</w:t>
            </w:r>
          </w:p>
        </w:tc>
        <w:tc>
          <w:tcPr>
            <w:tcW w:w="1475" w:type="dxa"/>
            <w:tcBorders>
              <w:bottom w:val="single" w:color="000000" w:sz="4" w:space="0"/>
            </w:tcBorders>
            <w:vAlign w:val="center"/>
          </w:tcPr>
          <w:p>
            <w:pPr>
              <w:jc w:val="center"/>
              <w:rPr>
                <w:rFonts w:ascii="方正仿宋_GBK" w:eastAsia="方正仿宋_GBK"/>
                <w:color w:val="000000"/>
                <w:sz w:val="24"/>
              </w:rPr>
            </w:pPr>
            <w:r>
              <w:rPr>
                <w:rFonts w:hint="eastAsia" w:ascii="方正仿宋_GBK" w:eastAsia="方正仿宋_GBK"/>
                <w:color w:val="000000"/>
                <w:sz w:val="24"/>
              </w:rPr>
              <w:t xml:space="preserve">0.6 </w:t>
            </w:r>
          </w:p>
        </w:tc>
      </w:tr>
    </w:tbl>
    <w:p>
      <w:pPr>
        <w:pStyle w:val="5"/>
        <w:tabs>
          <w:tab w:val="left" w:pos="580"/>
        </w:tabs>
        <w:spacing w:before="0" w:beforeAutospacing="0" w:after="0" w:afterAutospacing="0"/>
        <w:ind w:left="45" w:right="45"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三、工业和建筑业</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全年实现工业增加值2320914万元，比上年增长9.1%；规模以上工业增加值增长9.0%；规模以上工业企业实现总产值 7109299万元，同比增长13.8％。</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sz w:val="32"/>
          <w:szCs w:val="32"/>
        </w:rPr>
      </w:pPr>
    </w:p>
    <w:p>
      <w:pPr>
        <w:pStyle w:val="5"/>
        <w:spacing w:before="0" w:beforeAutospacing="0" w:after="0" w:afterAutospacing="0"/>
        <w:ind w:right="45"/>
        <w:jc w:val="both"/>
        <w:rPr>
          <w:rFonts w:ascii="方正仿宋_GBK" w:hAnsi="方正仿宋_GBK" w:eastAsia="方正仿宋_GBK" w:cs="方正仿宋_GBK"/>
          <w:b/>
          <w:color w:val="0000FF"/>
          <w:sz w:val="28"/>
          <w:szCs w:val="28"/>
        </w:rPr>
      </w:pPr>
      <w:r>
        <w:drawing>
          <wp:inline distT="0" distB="0" distL="0" distR="0">
            <wp:extent cx="5095875" cy="3333750"/>
            <wp:effectExtent l="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5"/>
        <w:tabs>
          <w:tab w:val="left" w:pos="1360"/>
        </w:tabs>
        <w:spacing w:before="0" w:beforeAutospacing="0" w:after="0" w:afterAutospacing="0"/>
        <w:ind w:left="45" w:right="45" w:firstLine="562" w:firstLineChars="200"/>
        <w:rPr>
          <w:rFonts w:ascii="方正仿宋_GBK" w:hAnsi="方正仿宋_GBK" w:eastAsia="方正仿宋_GBK" w:cs="方正仿宋_GBK"/>
          <w:b/>
          <w:color w:val="0000FF"/>
          <w:sz w:val="28"/>
          <w:szCs w:val="28"/>
        </w:rPr>
      </w:pP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p>
    <w:p>
      <w:pPr>
        <w:widowControl/>
        <w:shd w:val="clear" w:color="auto" w:fill="FFFFFF"/>
        <w:tabs>
          <w:tab w:val="left" w:pos="1360"/>
        </w:tabs>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表3　2018年规模以上工业企业主要产品产量及其增长速度</w:t>
      </w:r>
    </w:p>
    <w:tbl>
      <w:tblPr>
        <w:tblStyle w:val="9"/>
        <w:tblW w:w="7320" w:type="dxa"/>
        <w:jc w:val="center"/>
        <w:tblInd w:w="0" w:type="dxa"/>
        <w:tblLayout w:type="fixed"/>
        <w:tblCellMar>
          <w:top w:w="0" w:type="dxa"/>
          <w:left w:w="108" w:type="dxa"/>
          <w:bottom w:w="0" w:type="dxa"/>
          <w:right w:w="108" w:type="dxa"/>
        </w:tblCellMar>
      </w:tblPr>
      <w:tblGrid>
        <w:gridCol w:w="2471"/>
        <w:gridCol w:w="1540"/>
        <w:gridCol w:w="1639"/>
        <w:gridCol w:w="1670"/>
      </w:tblGrid>
      <w:tr>
        <w:tblPrEx>
          <w:tblLayout w:type="fixed"/>
          <w:tblCellMar>
            <w:top w:w="0" w:type="dxa"/>
            <w:left w:w="108" w:type="dxa"/>
            <w:bottom w:w="0" w:type="dxa"/>
            <w:right w:w="108" w:type="dxa"/>
          </w:tblCellMar>
        </w:tblPrEx>
        <w:trPr>
          <w:trHeight w:val="717" w:hRule="exact"/>
          <w:jc w:val="center"/>
        </w:trPr>
        <w:tc>
          <w:tcPr>
            <w:tcW w:w="2471" w:type="dxa"/>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产品名称</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单位</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产量</w:t>
            </w:r>
          </w:p>
        </w:tc>
        <w:tc>
          <w:tcPr>
            <w:tcW w:w="1670"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原煤</w:t>
            </w:r>
          </w:p>
        </w:tc>
        <w:tc>
          <w:tcPr>
            <w:tcW w:w="1540" w:type="dxa"/>
            <w:tcBorders>
              <w:top w:val="single" w:color="auto" w:sz="4" w:space="0"/>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widowControl/>
              <w:jc w:val="right"/>
              <w:rPr>
                <w:color w:val="000000"/>
                <w:kern w:val="0"/>
                <w:sz w:val="22"/>
                <w:szCs w:val="22"/>
              </w:rPr>
            </w:pPr>
            <w:r>
              <w:rPr>
                <w:rFonts w:hint="eastAsia"/>
                <w:color w:val="000000"/>
                <w:sz w:val="22"/>
                <w:szCs w:val="22"/>
              </w:rPr>
              <w:t xml:space="preserve">621954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-49.7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洗煤</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767142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-62.2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发电量</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万千瓦时</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7497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-42.6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饲料</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1017348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27.2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鲜、冷藏肉</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57592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12.0 </w:t>
            </w:r>
          </w:p>
        </w:tc>
      </w:tr>
      <w:tr>
        <w:tblPrEx>
          <w:tblLayout w:type="fixed"/>
          <w:tblCellMar>
            <w:top w:w="0" w:type="dxa"/>
            <w:left w:w="108" w:type="dxa"/>
            <w:bottom w:w="0" w:type="dxa"/>
            <w:right w:w="108" w:type="dxa"/>
          </w:tblCellMar>
        </w:tblPrEx>
        <w:trPr>
          <w:trHeight w:val="587"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精制茶</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94492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12.5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苎麻布（含苎麻≥55％）</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万米</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3085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-5.5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纸制品</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82083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-69.2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不锈钢日用制品</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17222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-0.1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阀门</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139268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-1.5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电子元件</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万只</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400296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12.5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印制电路板</w:t>
            </w:r>
          </w:p>
        </w:tc>
        <w:tc>
          <w:tcPr>
            <w:tcW w:w="1540" w:type="dxa"/>
            <w:tcBorders>
              <w:top w:val="nil"/>
              <w:left w:val="single" w:color="auto" w:sz="4" w:space="0"/>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平方米</w:t>
            </w:r>
          </w:p>
        </w:tc>
        <w:tc>
          <w:tcPr>
            <w:tcW w:w="1639" w:type="dxa"/>
            <w:tcBorders>
              <w:top w:val="nil"/>
              <w:left w:val="single" w:color="auto" w:sz="4" w:space="0"/>
              <w:bottom w:val="nil"/>
              <w:right w:val="nil"/>
            </w:tcBorders>
            <w:vAlign w:val="center"/>
          </w:tcPr>
          <w:p>
            <w:pPr>
              <w:jc w:val="right"/>
              <w:rPr>
                <w:color w:val="000000"/>
                <w:sz w:val="22"/>
                <w:szCs w:val="22"/>
              </w:rPr>
            </w:pPr>
            <w:r>
              <w:rPr>
                <w:rFonts w:hint="eastAsia"/>
                <w:color w:val="000000"/>
                <w:sz w:val="22"/>
                <w:szCs w:val="22"/>
              </w:rPr>
              <w:t xml:space="preserve">712450 </w:t>
            </w:r>
          </w:p>
        </w:tc>
        <w:tc>
          <w:tcPr>
            <w:tcW w:w="1670" w:type="dxa"/>
            <w:tcBorders>
              <w:top w:val="nil"/>
              <w:left w:val="nil"/>
              <w:bottom w:val="nil"/>
              <w:right w:val="nil"/>
            </w:tcBorders>
            <w:vAlign w:val="center"/>
          </w:tcPr>
          <w:p>
            <w:pPr>
              <w:jc w:val="right"/>
              <w:rPr>
                <w:color w:val="000000"/>
                <w:sz w:val="22"/>
                <w:szCs w:val="22"/>
              </w:rPr>
            </w:pPr>
            <w:r>
              <w:rPr>
                <w:rFonts w:hint="eastAsia"/>
                <w:color w:val="000000"/>
                <w:sz w:val="22"/>
                <w:szCs w:val="22"/>
              </w:rPr>
              <w:t xml:space="preserve">12.4 </w:t>
            </w:r>
          </w:p>
        </w:tc>
      </w:tr>
      <w:tr>
        <w:tblPrEx>
          <w:tblLayout w:type="fixed"/>
          <w:tblCellMar>
            <w:top w:w="0" w:type="dxa"/>
            <w:left w:w="108" w:type="dxa"/>
            <w:bottom w:w="0" w:type="dxa"/>
            <w:right w:w="108" w:type="dxa"/>
          </w:tblCellMar>
        </w:tblPrEx>
        <w:trPr>
          <w:trHeight w:val="478" w:hRule="exact"/>
          <w:jc w:val="center"/>
        </w:trPr>
        <w:tc>
          <w:tcPr>
            <w:tcW w:w="2471" w:type="dxa"/>
            <w:tcBorders>
              <w:top w:val="nil"/>
              <w:left w:val="nil"/>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兽用药品</w:t>
            </w:r>
          </w:p>
        </w:tc>
        <w:tc>
          <w:tcPr>
            <w:tcW w:w="1540" w:type="dxa"/>
            <w:tcBorders>
              <w:top w:val="nil"/>
              <w:left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right w:val="nil"/>
            </w:tcBorders>
            <w:vAlign w:val="center"/>
          </w:tcPr>
          <w:p>
            <w:pPr>
              <w:jc w:val="right"/>
              <w:rPr>
                <w:color w:val="000000"/>
                <w:sz w:val="22"/>
                <w:szCs w:val="22"/>
              </w:rPr>
            </w:pPr>
            <w:r>
              <w:rPr>
                <w:rFonts w:hint="eastAsia"/>
                <w:color w:val="000000"/>
                <w:sz w:val="22"/>
                <w:szCs w:val="22"/>
              </w:rPr>
              <w:t xml:space="preserve">1492 </w:t>
            </w:r>
          </w:p>
        </w:tc>
        <w:tc>
          <w:tcPr>
            <w:tcW w:w="1670" w:type="dxa"/>
            <w:tcBorders>
              <w:top w:val="nil"/>
              <w:left w:val="nil"/>
              <w:right w:val="nil"/>
            </w:tcBorders>
            <w:vAlign w:val="center"/>
          </w:tcPr>
          <w:p>
            <w:pPr>
              <w:jc w:val="right"/>
              <w:rPr>
                <w:color w:val="000000"/>
                <w:sz w:val="22"/>
                <w:szCs w:val="22"/>
              </w:rPr>
            </w:pPr>
            <w:r>
              <w:rPr>
                <w:rFonts w:hint="eastAsia"/>
                <w:color w:val="000000"/>
                <w:sz w:val="22"/>
                <w:szCs w:val="22"/>
              </w:rPr>
              <w:t xml:space="preserve">3.4 </w:t>
            </w:r>
          </w:p>
        </w:tc>
      </w:tr>
      <w:tr>
        <w:tblPrEx>
          <w:tblLayout w:type="fixed"/>
          <w:tblCellMar>
            <w:top w:w="0" w:type="dxa"/>
            <w:left w:w="108" w:type="dxa"/>
            <w:bottom w:w="0" w:type="dxa"/>
            <w:right w:w="108" w:type="dxa"/>
          </w:tblCellMar>
        </w:tblPrEx>
        <w:trPr>
          <w:trHeight w:val="487" w:hRule="exact"/>
          <w:jc w:val="center"/>
        </w:trPr>
        <w:tc>
          <w:tcPr>
            <w:tcW w:w="2471" w:type="dxa"/>
            <w:tcBorders>
              <w:top w:val="nil"/>
              <w:left w:val="nil"/>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日用玻璃制品</w:t>
            </w:r>
          </w:p>
        </w:tc>
        <w:tc>
          <w:tcPr>
            <w:tcW w:w="1540" w:type="dxa"/>
            <w:tcBorders>
              <w:top w:val="nil"/>
              <w:left w:val="single" w:color="auto" w:sz="4" w:space="0"/>
              <w:bottom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吨</w:t>
            </w:r>
          </w:p>
        </w:tc>
        <w:tc>
          <w:tcPr>
            <w:tcW w:w="1639" w:type="dxa"/>
            <w:tcBorders>
              <w:top w:val="nil"/>
              <w:left w:val="single" w:color="auto" w:sz="4" w:space="0"/>
              <w:bottom w:val="single" w:color="auto" w:sz="4" w:space="0"/>
              <w:right w:val="nil"/>
            </w:tcBorders>
            <w:vAlign w:val="center"/>
          </w:tcPr>
          <w:p>
            <w:pPr>
              <w:jc w:val="right"/>
              <w:rPr>
                <w:color w:val="000000"/>
                <w:sz w:val="22"/>
                <w:szCs w:val="22"/>
              </w:rPr>
            </w:pPr>
            <w:r>
              <w:rPr>
                <w:rFonts w:hint="eastAsia"/>
                <w:color w:val="000000"/>
                <w:sz w:val="22"/>
                <w:szCs w:val="22"/>
              </w:rPr>
              <w:t xml:space="preserve">42572 </w:t>
            </w:r>
          </w:p>
        </w:tc>
        <w:tc>
          <w:tcPr>
            <w:tcW w:w="1670" w:type="dxa"/>
            <w:tcBorders>
              <w:top w:val="nil"/>
              <w:left w:val="nil"/>
              <w:bottom w:val="single" w:color="auto" w:sz="4" w:space="0"/>
              <w:right w:val="nil"/>
            </w:tcBorders>
            <w:vAlign w:val="center"/>
          </w:tcPr>
          <w:p>
            <w:pPr>
              <w:jc w:val="right"/>
              <w:rPr>
                <w:color w:val="000000"/>
                <w:sz w:val="22"/>
                <w:szCs w:val="22"/>
              </w:rPr>
            </w:pPr>
            <w:r>
              <w:rPr>
                <w:rFonts w:hint="eastAsia"/>
                <w:color w:val="000000"/>
                <w:sz w:val="22"/>
                <w:szCs w:val="22"/>
              </w:rPr>
              <w:t xml:space="preserve">-8.4 </w:t>
            </w:r>
          </w:p>
        </w:tc>
      </w:tr>
    </w:tbl>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区建筑业实现增加值620012万元，比上年增长6.6%。年末在荣昌注册具有资质等级的总承包和专业承包的独立核算建筑业法人企业47家，实现建筑业总产值达到145.39亿元，增长11.0%。全年建筑企业房屋施工面积557.3万平方米，比上年下降1.7%；房屋建筑竣工面积264.4万平方米，比上年下降26.8% 。</w:t>
      </w:r>
    </w:p>
    <w:p>
      <w:pPr>
        <w:rPr>
          <w:rFonts w:ascii="方正仿宋_GBK" w:hAnsi="方正仿宋_GBK" w:eastAsia="方正仿宋_GBK" w:cs="方正仿宋_GBK"/>
          <w:color w:val="FF0000"/>
          <w:kern w:val="0"/>
          <w:sz w:val="32"/>
          <w:szCs w:val="32"/>
        </w:rPr>
      </w:pPr>
      <w:r>
        <w:drawing>
          <wp:inline distT="0" distB="0" distL="0" distR="0">
            <wp:extent cx="5229225" cy="3343275"/>
            <wp:effectExtent l="57150" t="57150" r="47625" b="476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ascii="方正仿宋_GBK" w:hAnsi="方正仿宋_GBK" w:eastAsia="方正仿宋_GBK" w:cs="方正仿宋_GBK"/>
          <w:kern w:val="0"/>
          <w:sz w:val="28"/>
        </w:rPr>
      </w:pPr>
    </w:p>
    <w:p>
      <w:pPr>
        <w:ind w:firstLine="643" w:firstLineChars="20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四、固定资产投资</w:t>
      </w:r>
    </w:p>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固定资产投资平稳增长。全年固定资产投资比上年增长10.7％。其中基础设施建设投资增长39.7%。从投资主体看，国有投资下降19.4%；民间投资增长26.5%。从三次产业投资看，第一产业投资下降41.7%；第二产业投资增长20.6%；第三产业投资增长1.0%。全年工业投资增长20.6%。房地产开发投资增长4.6%，其中住宅投资增长22.1%。</w:t>
      </w:r>
    </w:p>
    <w:p>
      <w:pPr>
        <w:widowControl/>
        <w:shd w:val="clear" w:color="auto" w:fill="FFFFFF"/>
        <w:spacing w:line="360" w:lineRule="auto"/>
        <w:rPr>
          <w:rFonts w:ascii="方正仿宋_GBK" w:hAnsi="方正仿宋_GBK" w:eastAsia="方正仿宋_GBK" w:cs="方正仿宋_GBK"/>
          <w:kern w:val="0"/>
          <w:sz w:val="32"/>
          <w:szCs w:val="32"/>
        </w:rPr>
      </w:pPr>
      <w:r>
        <w:drawing>
          <wp:inline distT="0" distB="0" distL="0" distR="0">
            <wp:extent cx="5200650" cy="26289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hd w:val="clear" w:color="auto" w:fill="FFFFFF"/>
        <w:spacing w:line="360" w:lineRule="auto"/>
        <w:ind w:firstLine="560" w:firstLineChars="200"/>
        <w:rPr>
          <w:rFonts w:ascii="方正仿宋_GBK" w:hAnsi="方正仿宋_GBK" w:eastAsia="方正仿宋_GBK" w:cs="方正仿宋_GBK"/>
          <w:kern w:val="0"/>
          <w:sz w:val="28"/>
        </w:rPr>
      </w:pPr>
    </w:p>
    <w:p>
      <w:pPr>
        <w:widowControl/>
        <w:shd w:val="clear" w:color="auto" w:fill="FFFFFF"/>
        <w:spacing w:line="360" w:lineRule="auto"/>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表4　2018年固定资产投资增长速度</w:t>
      </w:r>
    </w:p>
    <w:tbl>
      <w:tblPr>
        <w:tblStyle w:val="9"/>
        <w:tblW w:w="7800" w:type="dxa"/>
        <w:jc w:val="center"/>
        <w:tblInd w:w="0" w:type="dxa"/>
        <w:tblLayout w:type="fixed"/>
        <w:tblCellMar>
          <w:top w:w="0" w:type="dxa"/>
          <w:left w:w="108" w:type="dxa"/>
          <w:bottom w:w="0" w:type="dxa"/>
          <w:right w:w="108" w:type="dxa"/>
        </w:tblCellMar>
      </w:tblPr>
      <w:tblGrid>
        <w:gridCol w:w="4688"/>
        <w:gridCol w:w="3112"/>
      </w:tblGrid>
      <w:tr>
        <w:tblPrEx>
          <w:tblLayout w:type="fixed"/>
          <w:tblCellMar>
            <w:top w:w="0" w:type="dxa"/>
            <w:left w:w="108" w:type="dxa"/>
            <w:bottom w:w="0" w:type="dxa"/>
            <w:right w:w="108" w:type="dxa"/>
          </w:tblCellMar>
        </w:tblPrEx>
        <w:trPr>
          <w:trHeight w:val="1382" w:hRule="atLeast"/>
          <w:jc w:val="center"/>
        </w:trPr>
        <w:tc>
          <w:tcPr>
            <w:tcW w:w="4688"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指标名称</w:t>
            </w:r>
          </w:p>
        </w:tc>
        <w:tc>
          <w:tcPr>
            <w:tcW w:w="3112"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80" w:hanging="480" w:hangingChars="200"/>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比上年增长(%)</w:t>
            </w:r>
          </w:p>
        </w:tc>
      </w:tr>
      <w:tr>
        <w:tblPrEx>
          <w:tblLayout w:type="fixed"/>
          <w:tblCellMar>
            <w:top w:w="0" w:type="dxa"/>
            <w:left w:w="108" w:type="dxa"/>
            <w:bottom w:w="0" w:type="dxa"/>
            <w:right w:w="108" w:type="dxa"/>
          </w:tblCellMar>
        </w:tblPrEx>
        <w:trPr>
          <w:trHeight w:val="828" w:hRule="exact"/>
          <w:jc w:val="center"/>
        </w:trPr>
        <w:tc>
          <w:tcPr>
            <w:tcW w:w="4688" w:type="dxa"/>
            <w:tcBorders>
              <w:top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投资总额（万元）</w:t>
            </w:r>
          </w:p>
        </w:tc>
        <w:tc>
          <w:tcPr>
            <w:tcW w:w="3112" w:type="dxa"/>
            <w:tcBorders>
              <w:top w:val="nil"/>
              <w:left w:val="nil"/>
              <w:bottom w:val="nil"/>
              <w:right w:val="nil"/>
            </w:tcBorders>
            <w:vAlign w:val="center"/>
          </w:tcPr>
          <w:p>
            <w:pPr>
              <w:widowControl/>
              <w:jc w:val="right"/>
              <w:rPr>
                <w:b/>
                <w:bCs/>
                <w:kern w:val="0"/>
                <w:sz w:val="24"/>
              </w:rPr>
            </w:pPr>
            <w:r>
              <w:rPr>
                <w:rFonts w:hint="eastAsia"/>
                <w:b/>
                <w:bCs/>
              </w:rPr>
              <w:t xml:space="preserve">10.7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按投资类别分</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建设与改造</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11.5</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＃基础设施</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39.7</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房地产开发</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4.6</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按登记注册类型分</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国有投资</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-19.4</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民间投资</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26.5</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按三次产业分</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第一产业</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-41.7</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第二产业</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20.6</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＃工业投资</w:t>
            </w:r>
          </w:p>
        </w:tc>
        <w:tc>
          <w:tcPr>
            <w:tcW w:w="3112" w:type="dxa"/>
            <w:tcBorders>
              <w:top w:val="nil"/>
              <w:left w:val="nil"/>
              <w:bottom w:val="nil"/>
              <w:right w:val="nil"/>
            </w:tcBorders>
            <w:vAlign w:val="center"/>
          </w:tcPr>
          <w:p>
            <w:pPr>
              <w:jc w:val="right"/>
              <w:rPr>
                <w:rFonts w:ascii="Arial" w:hAnsi="Arial" w:cs="Arial"/>
                <w:sz w:val="20"/>
                <w:szCs w:val="20"/>
              </w:rPr>
            </w:pPr>
            <w:r>
              <w:rPr>
                <w:rFonts w:ascii="Arial" w:hAnsi="Arial" w:cs="Arial"/>
                <w:sz w:val="20"/>
                <w:szCs w:val="20"/>
              </w:rPr>
              <w:t>20.6</w:t>
            </w:r>
          </w:p>
        </w:tc>
      </w:tr>
      <w:tr>
        <w:tblPrEx>
          <w:tblLayout w:type="fixed"/>
          <w:tblCellMar>
            <w:top w:w="0" w:type="dxa"/>
            <w:left w:w="108" w:type="dxa"/>
            <w:bottom w:w="0" w:type="dxa"/>
            <w:right w:w="108" w:type="dxa"/>
          </w:tblCellMar>
        </w:tblPrEx>
        <w:trPr>
          <w:trHeight w:val="828" w:hRule="exact"/>
          <w:jc w:val="center"/>
        </w:trPr>
        <w:tc>
          <w:tcPr>
            <w:tcW w:w="4688" w:type="dxa"/>
            <w:tcBorders>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第三产业</w:t>
            </w:r>
          </w:p>
        </w:tc>
        <w:tc>
          <w:tcPr>
            <w:tcW w:w="3112" w:type="dxa"/>
            <w:tcBorders>
              <w:top w:val="nil"/>
              <w:left w:val="nil"/>
              <w:right w:val="nil"/>
            </w:tcBorders>
            <w:vAlign w:val="center"/>
          </w:tcPr>
          <w:p>
            <w:pPr>
              <w:jc w:val="right"/>
              <w:rPr>
                <w:rFonts w:ascii="Arial" w:hAnsi="Arial" w:cs="Arial"/>
                <w:sz w:val="20"/>
                <w:szCs w:val="20"/>
              </w:rPr>
            </w:pPr>
            <w:r>
              <w:rPr>
                <w:rFonts w:ascii="Arial" w:hAnsi="Arial" w:cs="Arial"/>
                <w:sz w:val="20"/>
                <w:szCs w:val="20"/>
              </w:rPr>
              <w:t>1.0</w:t>
            </w:r>
          </w:p>
        </w:tc>
      </w:tr>
      <w:tr>
        <w:tblPrEx>
          <w:tblLayout w:type="fixed"/>
          <w:tblCellMar>
            <w:top w:w="0" w:type="dxa"/>
            <w:left w:w="108" w:type="dxa"/>
            <w:bottom w:w="0" w:type="dxa"/>
            <w:right w:w="108" w:type="dxa"/>
          </w:tblCellMar>
        </w:tblPrEx>
        <w:trPr>
          <w:trHeight w:val="842" w:hRule="exact"/>
          <w:jc w:val="center"/>
        </w:trPr>
        <w:tc>
          <w:tcPr>
            <w:tcW w:w="4688" w:type="dxa"/>
            <w:tcBorders>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 xml:space="preserve">  ＃房地产业</w:t>
            </w:r>
          </w:p>
        </w:tc>
        <w:tc>
          <w:tcPr>
            <w:tcW w:w="3112" w:type="dxa"/>
            <w:tcBorders>
              <w:top w:val="nil"/>
              <w:left w:val="nil"/>
              <w:bottom w:val="single" w:color="auto" w:sz="4" w:space="0"/>
              <w:right w:val="nil"/>
            </w:tcBorders>
            <w:vAlign w:val="center"/>
          </w:tcPr>
          <w:p>
            <w:pPr>
              <w:jc w:val="right"/>
              <w:rPr>
                <w:rFonts w:ascii="Arial" w:hAnsi="Arial" w:cs="Arial"/>
                <w:sz w:val="20"/>
                <w:szCs w:val="20"/>
              </w:rPr>
            </w:pPr>
            <w:r>
              <w:rPr>
                <w:rFonts w:ascii="Arial" w:hAnsi="Arial" w:cs="Arial"/>
                <w:sz w:val="20"/>
                <w:szCs w:val="20"/>
              </w:rPr>
              <w:t>-27.8</w:t>
            </w:r>
          </w:p>
        </w:tc>
      </w:tr>
    </w:tbl>
    <w:p>
      <w:pPr>
        <w:widowControl/>
        <w:shd w:val="clear" w:color="auto" w:fill="FFFFFF"/>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全年商品房施工面积296.79万平方米，比上年下降18.0%；商品房竣工面积76.56万平方米，下降13.5 %。商品房销售面积</w:t>
      </w:r>
      <w:r>
        <w:rPr>
          <w:rFonts w:ascii="方正仿宋_GBK" w:hAnsi="方正仿宋_GBK" w:eastAsia="方正仿宋_GBK" w:cs="方正仿宋_GBK"/>
          <w:kern w:val="0"/>
          <w:sz w:val="32"/>
          <w:szCs w:val="32"/>
        </w:rPr>
        <w:t>103.43</w:t>
      </w:r>
      <w:r>
        <w:rPr>
          <w:rFonts w:hint="eastAsia" w:ascii="方正仿宋_GBK" w:hAnsi="方正仿宋_GBK" w:eastAsia="方正仿宋_GBK" w:cs="方正仿宋_GBK"/>
          <w:kern w:val="0"/>
          <w:sz w:val="32"/>
          <w:szCs w:val="32"/>
        </w:rPr>
        <w:t>万平方米，下降5.5 %；其中住宅销售面积</w:t>
      </w:r>
      <w:r>
        <w:rPr>
          <w:rFonts w:ascii="方正仿宋_GBK" w:hAnsi="方正仿宋_GBK" w:eastAsia="方正仿宋_GBK" w:cs="方正仿宋_GBK"/>
          <w:kern w:val="0"/>
          <w:sz w:val="32"/>
          <w:szCs w:val="32"/>
        </w:rPr>
        <w:t>74.40</w:t>
      </w:r>
      <w:r>
        <w:rPr>
          <w:rFonts w:hint="eastAsia" w:ascii="方正仿宋_GBK" w:hAnsi="方正仿宋_GBK" w:eastAsia="方正仿宋_GBK" w:cs="方正仿宋_GBK"/>
          <w:kern w:val="0"/>
          <w:sz w:val="32"/>
          <w:szCs w:val="32"/>
        </w:rPr>
        <w:t>万平方米，下降24.2 %。商品房销售额49.2</w:t>
      </w: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亿元，增长7.6%。</w:t>
      </w:r>
    </w:p>
    <w:p>
      <w:pPr>
        <w:widowControl/>
        <w:shd w:val="clear" w:color="auto" w:fill="FFFFFF"/>
        <w:spacing w:line="360" w:lineRule="auto"/>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完成城市棚户区改造</w:t>
      </w:r>
      <w:r>
        <w:rPr>
          <w:rFonts w:ascii="方正仿宋_GBK" w:hAnsi="方正仿宋_GBK" w:eastAsia="方正仿宋_GBK" w:cs="方正仿宋_GBK"/>
          <w:color w:val="000000" w:themeColor="text1"/>
          <w:kern w:val="0"/>
          <w:sz w:val="32"/>
          <w:szCs w:val="32"/>
          <w14:textFill>
            <w14:solidFill>
              <w14:schemeClr w14:val="tx1"/>
            </w14:solidFill>
          </w14:textFill>
        </w:rPr>
        <w:t>17.16</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万平方米。完成农村危旧房改造</w:t>
      </w:r>
      <w:r>
        <w:rPr>
          <w:rFonts w:ascii="方正仿宋_GBK" w:hAnsi="方正仿宋_GBK" w:eastAsia="方正仿宋_GBK" w:cs="方正仿宋_GBK"/>
          <w:color w:val="000000" w:themeColor="text1"/>
          <w:kern w:val="0"/>
          <w:sz w:val="32"/>
          <w:szCs w:val="32"/>
          <w14:textFill>
            <w14:solidFill>
              <w14:schemeClr w14:val="tx1"/>
            </w14:solidFill>
          </w14:textFill>
        </w:rPr>
        <w:t>8.43</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万平方米，下降</w:t>
      </w:r>
      <w:r>
        <w:rPr>
          <w:rFonts w:ascii="方正仿宋_GBK" w:hAnsi="方正仿宋_GBK" w:eastAsia="方正仿宋_GBK" w:cs="方正仿宋_GBK"/>
          <w:color w:val="000000" w:themeColor="text1"/>
          <w:kern w:val="0"/>
          <w:sz w:val="32"/>
          <w:szCs w:val="32"/>
          <w14:textFill>
            <w14:solidFill>
              <w14:schemeClr w14:val="tx1"/>
            </w14:solidFill>
          </w14:textFill>
        </w:rPr>
        <w:t>21.1</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p>
      <w:pPr>
        <w:widowControl/>
        <w:shd w:val="clear" w:color="auto" w:fill="FFFFFF"/>
        <w:spacing w:line="360" w:lineRule="auto"/>
        <w:ind w:right="-210" w:rightChars="-100"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表5　2018年房地产开发和销售主要指标完成情况及其增长速度</w:t>
      </w:r>
    </w:p>
    <w:tbl>
      <w:tblPr>
        <w:tblStyle w:val="9"/>
        <w:tblW w:w="8325" w:type="dxa"/>
        <w:jc w:val="center"/>
        <w:tblInd w:w="0" w:type="dxa"/>
        <w:tblLayout w:type="fixed"/>
        <w:tblCellMar>
          <w:top w:w="0" w:type="dxa"/>
          <w:left w:w="108" w:type="dxa"/>
          <w:bottom w:w="0" w:type="dxa"/>
          <w:right w:w="108" w:type="dxa"/>
        </w:tblCellMar>
      </w:tblPr>
      <w:tblGrid>
        <w:gridCol w:w="4477"/>
        <w:gridCol w:w="1989"/>
        <w:gridCol w:w="1859"/>
      </w:tblGrid>
      <w:tr>
        <w:tblPrEx>
          <w:tblLayout w:type="fixed"/>
          <w:tblCellMar>
            <w:top w:w="0" w:type="dxa"/>
            <w:left w:w="108" w:type="dxa"/>
            <w:bottom w:w="0" w:type="dxa"/>
            <w:right w:w="108" w:type="dxa"/>
          </w:tblCellMar>
        </w:tblPrEx>
        <w:trPr>
          <w:trHeight w:val="911" w:hRule="atLeast"/>
          <w:jc w:val="center"/>
        </w:trPr>
        <w:tc>
          <w:tcPr>
            <w:tcW w:w="4477" w:type="dxa"/>
            <w:tcBorders>
              <w:top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指标名称</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2018年</w:t>
            </w:r>
          </w:p>
        </w:tc>
        <w:tc>
          <w:tcPr>
            <w:tcW w:w="1859" w:type="dxa"/>
            <w:tcBorders>
              <w:top w:val="single" w:color="auto" w:sz="4" w:space="0"/>
              <w:left w:val="single" w:color="auto" w:sz="4" w:space="0"/>
              <w:bottom w:val="single" w:color="auto" w:sz="4" w:space="0"/>
            </w:tcBorders>
            <w:vAlign w:val="center"/>
          </w:tcPr>
          <w:p>
            <w:pPr>
              <w:widowControl/>
              <w:ind w:left="480"/>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比上年增长(%)</w:t>
            </w:r>
          </w:p>
        </w:tc>
      </w:tr>
      <w:tr>
        <w:tblPrEx>
          <w:tblLayout w:type="fixed"/>
          <w:tblCellMar>
            <w:top w:w="0" w:type="dxa"/>
            <w:left w:w="108" w:type="dxa"/>
            <w:bottom w:w="0" w:type="dxa"/>
            <w:right w:w="108" w:type="dxa"/>
          </w:tblCellMar>
        </w:tblPrEx>
        <w:trPr>
          <w:trHeight w:val="739" w:hRule="exact"/>
          <w:jc w:val="center"/>
        </w:trPr>
        <w:tc>
          <w:tcPr>
            <w:tcW w:w="4477"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商品房施工面积（万平方米）</w:t>
            </w:r>
          </w:p>
        </w:tc>
        <w:tc>
          <w:tcPr>
            <w:tcW w:w="1989" w:type="dxa"/>
            <w:tcBorders>
              <w:top w:val="nil"/>
              <w:left w:val="nil"/>
              <w:bottom w:val="nil"/>
              <w:right w:val="nil"/>
            </w:tcBorders>
            <w:shd w:val="clear" w:color="auto" w:fill="FFFFFF"/>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296.79</w:t>
            </w:r>
          </w:p>
        </w:tc>
        <w:tc>
          <w:tcPr>
            <w:tcW w:w="1859" w:type="dxa"/>
            <w:tcBorders>
              <w:top w:val="nil"/>
              <w:left w:val="nil"/>
              <w:bottom w:val="nil"/>
              <w:right w:val="nil"/>
            </w:tcBorders>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-18.0</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nil"/>
              <w:bottom w:val="nil"/>
              <w:right w:val="nil"/>
            </w:tcBorders>
            <w:shd w:val="clear" w:color="auto" w:fill="FFFFFF"/>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216.25</w:t>
            </w:r>
          </w:p>
        </w:tc>
        <w:tc>
          <w:tcPr>
            <w:tcW w:w="1859" w:type="dxa"/>
            <w:tcBorders>
              <w:top w:val="nil"/>
              <w:left w:val="nil"/>
              <w:bottom w:val="nil"/>
              <w:right w:val="nil"/>
            </w:tcBorders>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-16.7</w:t>
            </w:r>
          </w:p>
        </w:tc>
      </w:tr>
      <w:tr>
        <w:tblPrEx>
          <w:tblLayout w:type="fixed"/>
          <w:tblCellMar>
            <w:top w:w="0" w:type="dxa"/>
            <w:left w:w="108" w:type="dxa"/>
            <w:bottom w:w="0" w:type="dxa"/>
            <w:right w:w="108" w:type="dxa"/>
          </w:tblCellMar>
        </w:tblPrEx>
        <w:trPr>
          <w:trHeight w:val="739" w:hRule="exact"/>
          <w:jc w:val="center"/>
        </w:trPr>
        <w:tc>
          <w:tcPr>
            <w:tcW w:w="4477" w:type="dxa"/>
            <w:tcBorders>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新开工面积（万平方米）</w:t>
            </w:r>
          </w:p>
        </w:tc>
        <w:tc>
          <w:tcPr>
            <w:tcW w:w="1989" w:type="dxa"/>
            <w:tcBorders>
              <w:top w:val="nil"/>
              <w:left w:val="single" w:color="auto" w:sz="4" w:space="0"/>
              <w:bottom w:val="nil"/>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79.63</w:t>
            </w:r>
          </w:p>
        </w:tc>
        <w:tc>
          <w:tcPr>
            <w:tcW w:w="1859" w:type="dxa"/>
            <w:tcBorders>
              <w:top w:val="nil"/>
              <w:left w:val="nil"/>
              <w:bottom w:val="nil"/>
              <w:right w:val="nil"/>
            </w:tcBorders>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79.06</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single" w:color="auto" w:sz="4" w:space="0"/>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58.6</w:t>
            </w:r>
          </w:p>
        </w:tc>
        <w:tc>
          <w:tcPr>
            <w:tcW w:w="1859" w:type="dxa"/>
            <w:tcBorders>
              <w:top w:val="nil"/>
              <w:left w:val="nil"/>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96.25</w:t>
            </w:r>
          </w:p>
        </w:tc>
      </w:tr>
      <w:tr>
        <w:tblPrEx>
          <w:tblLayout w:type="fixed"/>
          <w:tblCellMar>
            <w:top w:w="0" w:type="dxa"/>
            <w:left w:w="108" w:type="dxa"/>
            <w:bottom w:w="0" w:type="dxa"/>
            <w:right w:w="108" w:type="dxa"/>
          </w:tblCellMar>
        </w:tblPrEx>
        <w:trPr>
          <w:trHeight w:val="739" w:hRule="exact"/>
          <w:jc w:val="center"/>
        </w:trPr>
        <w:tc>
          <w:tcPr>
            <w:tcW w:w="4477" w:type="dxa"/>
            <w:tcBorders>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商品房竣工面积（万平方米）</w:t>
            </w:r>
          </w:p>
        </w:tc>
        <w:tc>
          <w:tcPr>
            <w:tcW w:w="1989" w:type="dxa"/>
            <w:tcBorders>
              <w:lef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76.56</w:t>
            </w:r>
          </w:p>
        </w:tc>
        <w:tc>
          <w:tcPr>
            <w:tcW w:w="1859" w:type="dxa"/>
            <w:tcBorders>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-13.5</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single" w:color="auto" w:sz="4" w:space="0"/>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51.76</w:t>
            </w:r>
          </w:p>
        </w:tc>
        <w:tc>
          <w:tcPr>
            <w:tcW w:w="1859" w:type="dxa"/>
            <w:tcBorders>
              <w:top w:val="nil"/>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-16.3</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商品房销售面积（万平方米）</w:t>
            </w:r>
          </w:p>
        </w:tc>
        <w:tc>
          <w:tcPr>
            <w:tcW w:w="1989" w:type="dxa"/>
            <w:tcBorders>
              <w:left w:val="nil"/>
              <w:bottom w:val="nil"/>
              <w:right w:val="nil"/>
            </w:tcBorders>
            <w:shd w:val="clear" w:color="auto" w:fill="FFFFFF"/>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103.43</w:t>
            </w:r>
          </w:p>
        </w:tc>
        <w:tc>
          <w:tcPr>
            <w:tcW w:w="1859" w:type="dxa"/>
            <w:tcBorders>
              <w:left w:val="nil"/>
              <w:bottom w:val="nil"/>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-5.5</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nil"/>
              <w:bottom w:val="nil"/>
              <w:right w:val="nil"/>
            </w:tcBorders>
            <w:shd w:val="clear" w:color="auto" w:fill="FFFFFF"/>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74.4</w:t>
            </w:r>
          </w:p>
        </w:tc>
        <w:tc>
          <w:tcPr>
            <w:tcW w:w="1859" w:type="dxa"/>
            <w:tcBorders>
              <w:top w:val="nil"/>
              <w:left w:val="nil"/>
              <w:bottom w:val="nil"/>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-24.2</w:t>
            </w:r>
          </w:p>
        </w:tc>
      </w:tr>
      <w:tr>
        <w:tblPrEx>
          <w:tblLayout w:type="fixed"/>
          <w:tblCellMar>
            <w:top w:w="0" w:type="dxa"/>
            <w:left w:w="108" w:type="dxa"/>
            <w:bottom w:w="0" w:type="dxa"/>
            <w:right w:w="108" w:type="dxa"/>
          </w:tblCellMar>
        </w:tblPrEx>
        <w:trPr>
          <w:trHeight w:val="739" w:hRule="exact"/>
          <w:jc w:val="center"/>
        </w:trPr>
        <w:tc>
          <w:tcPr>
            <w:tcW w:w="4477" w:type="dxa"/>
            <w:tcBorders>
              <w:top w:val="nil"/>
              <w:left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商品房销售额（万元）</w:t>
            </w:r>
          </w:p>
        </w:tc>
        <w:tc>
          <w:tcPr>
            <w:tcW w:w="1989" w:type="dxa"/>
            <w:tcBorders>
              <w:top w:val="nil"/>
              <w:left w:val="nil"/>
              <w:right w:val="nil"/>
            </w:tcBorders>
            <w:shd w:val="clear" w:color="auto" w:fill="FFFFFF"/>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492435</w:t>
            </w:r>
          </w:p>
        </w:tc>
        <w:tc>
          <w:tcPr>
            <w:tcW w:w="1859" w:type="dxa"/>
            <w:tcBorders>
              <w:top w:val="nil"/>
              <w:left w:val="nil"/>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7.6</w:t>
            </w:r>
          </w:p>
        </w:tc>
      </w:tr>
      <w:tr>
        <w:tblPrEx>
          <w:tblLayout w:type="fixed"/>
          <w:tblCellMar>
            <w:top w:w="0" w:type="dxa"/>
            <w:left w:w="108" w:type="dxa"/>
            <w:bottom w:w="0" w:type="dxa"/>
            <w:right w:w="108" w:type="dxa"/>
          </w:tblCellMar>
        </w:tblPrEx>
        <w:trPr>
          <w:trHeight w:val="750" w:hRule="exact"/>
          <w:jc w:val="center"/>
        </w:trPr>
        <w:tc>
          <w:tcPr>
            <w:tcW w:w="44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＃：住宅</w:t>
            </w:r>
          </w:p>
        </w:tc>
        <w:tc>
          <w:tcPr>
            <w:tcW w:w="1989" w:type="dxa"/>
            <w:tcBorders>
              <w:top w:val="nil"/>
              <w:left w:val="nil"/>
              <w:bottom w:val="single" w:color="auto" w:sz="4" w:space="0"/>
              <w:right w:val="nil"/>
            </w:tcBorders>
            <w:shd w:val="clear" w:color="auto" w:fill="FFFFFF"/>
            <w:vAlign w:val="center"/>
          </w:tcPr>
          <w:p>
            <w:pPr>
              <w:widowControl/>
              <w:jc w:val="left"/>
              <w:textAlignment w:val="center"/>
              <w:rPr>
                <w:rFonts w:ascii="方正仿宋_GBK" w:hAnsi="方正仿宋_GBK" w:eastAsia="方正仿宋_GBK" w:cs="方正仿宋_GBK"/>
                <w:kern w:val="0"/>
                <w:sz w:val="24"/>
              </w:rPr>
            </w:pPr>
            <w:r>
              <w:rPr>
                <w:rFonts w:ascii="方正仿宋_GBK" w:hAnsi="方正仿宋_GBK" w:eastAsia="方正仿宋_GBK" w:cs="方正仿宋_GBK"/>
                <w:kern w:val="0"/>
                <w:sz w:val="24"/>
              </w:rPr>
              <w:t>355464</w:t>
            </w:r>
          </w:p>
        </w:tc>
        <w:tc>
          <w:tcPr>
            <w:tcW w:w="1859" w:type="dxa"/>
            <w:tcBorders>
              <w:top w:val="nil"/>
              <w:left w:val="nil"/>
              <w:bottom w:val="single" w:color="auto" w:sz="4" w:space="0"/>
              <w:right w:val="nil"/>
            </w:tcBorders>
            <w:vAlign w:val="center"/>
          </w:tcPr>
          <w:p>
            <w:pPr>
              <w:widowControl/>
              <w:jc w:val="left"/>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-11.4</w:t>
            </w:r>
          </w:p>
        </w:tc>
      </w:tr>
    </w:tbl>
    <w:p>
      <w:pPr>
        <w:pStyle w:val="5"/>
        <w:spacing w:before="0" w:beforeAutospacing="0" w:after="0" w:afterAutospacing="0"/>
        <w:ind w:left="45" w:right="45" w:firstLine="562"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28"/>
          <w:szCs w:val="28"/>
        </w:rPr>
        <w:t xml:space="preserve"> </w:t>
      </w:r>
      <w:r>
        <w:rPr>
          <w:rFonts w:hint="eastAsia" w:ascii="方正黑体_GBK" w:hAnsi="方正黑体_GBK" w:eastAsia="方正黑体_GBK" w:cs="方正黑体_GBK"/>
          <w:b/>
          <w:sz w:val="32"/>
          <w:szCs w:val="32"/>
        </w:rPr>
        <w:t>五、国内贸易</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全年批发和零售业实现增加值253865万元，比上年增长4.7%，占全区生产总值的5.0%；住宿和餐饮业实现增加值92923万元，比上年增长5.8%，占全区生产总值的</w:t>
      </w:r>
      <w:r>
        <w:rPr>
          <w:rFonts w:ascii="方正仿宋_GBK" w:hAnsi="方正仿宋_GBK" w:eastAsia="方正仿宋_GBK" w:cs="方正仿宋_GBK"/>
          <w:sz w:val="32"/>
          <w:szCs w:val="32"/>
        </w:rPr>
        <w:t>1.8</w:t>
      </w:r>
      <w:r>
        <w:rPr>
          <w:rFonts w:hint="eastAsia" w:ascii="方正仿宋_GBK" w:hAnsi="方正仿宋_GBK" w:eastAsia="方正仿宋_GBK" w:cs="方正仿宋_GBK"/>
          <w:sz w:val="32"/>
          <w:szCs w:val="32"/>
        </w:rPr>
        <w:t xml:space="preserve">%。 </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消费品市场平稳增长。全年社会消费品零售总额同比增长13.1%。限额以上法人企业主要商品零售额中，汽车类增长0.6％，粮油、食品类增长4.6％，家用电器和音响器材类增长5.3％，石油及其制品类增长16.1％。</w:t>
      </w:r>
    </w:p>
    <w:p>
      <w:pPr>
        <w:pStyle w:val="5"/>
        <w:spacing w:before="0" w:beforeAutospacing="0" w:after="0" w:afterAutospacing="0"/>
        <w:ind w:right="45"/>
        <w:jc w:val="both"/>
        <w:rPr>
          <w:rFonts w:ascii="方正仿宋_GBK" w:hAnsi="方正仿宋_GBK" w:eastAsia="方正仿宋_GBK" w:cs="方正仿宋_GBK"/>
        </w:rPr>
      </w:pPr>
      <w:r>
        <w:drawing>
          <wp:inline distT="0" distB="0" distL="0" distR="0">
            <wp:extent cx="5200650" cy="291465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560" w:firstLineChars="200"/>
        <w:rPr>
          <w:rFonts w:ascii="方正仿宋_GBK" w:hAnsi="方正仿宋_GBK" w:eastAsia="方正仿宋_GBK" w:cs="方正仿宋_GBK"/>
          <w:kern w:val="0"/>
          <w:sz w:val="28"/>
        </w:rPr>
      </w:pPr>
    </w:p>
    <w:p>
      <w:pPr>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全年批发和零售业销售额增长9.8%；住宿和餐饮业营业额增长13.3%。</w:t>
      </w:r>
    </w:p>
    <w:p>
      <w:pPr>
        <w:pStyle w:val="5"/>
        <w:spacing w:before="0" w:beforeAutospacing="0" w:after="0" w:afterAutospacing="0"/>
        <w:ind w:left="45" w:right="45" w:firstLine="643" w:firstLineChars="200"/>
        <w:jc w:val="both"/>
        <w:rPr>
          <w:rStyle w:val="7"/>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六、</w:t>
      </w:r>
      <w:r>
        <w:rPr>
          <w:rStyle w:val="7"/>
          <w:rFonts w:hint="eastAsia" w:ascii="方正黑体_GBK" w:hAnsi="方正黑体_GBK" w:eastAsia="方正黑体_GBK" w:cs="方正黑体_GBK"/>
          <w:sz w:val="32"/>
          <w:szCs w:val="32"/>
        </w:rPr>
        <w:t>对外经济</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全年实现外贸进出口总值184301万元，下降19.2％。其中：出口181247万元，下降19.8%；进口3054万元，增长50.5 %。</w:t>
      </w:r>
    </w:p>
    <w:p>
      <w:pPr>
        <w:pStyle w:val="5"/>
        <w:spacing w:before="0" w:beforeAutospacing="0" w:after="0" w:afterAutospacing="0"/>
        <w:ind w:left="45" w:right="45"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全年实际使用外资金额5984万美元，增长27.5％。其中，外商直接投资1227万美元。全年实际利用内资比</w:t>
      </w:r>
      <w:r>
        <w:rPr>
          <w:rFonts w:ascii="方正仿宋_GBK" w:hAnsi="方正仿宋_GBK" w:eastAsia="方正仿宋_GBK" w:cs="方正仿宋_GBK"/>
          <w:sz w:val="32"/>
          <w:szCs w:val="32"/>
        </w:rPr>
        <w:t>上年增长</w:t>
      </w:r>
      <w:r>
        <w:rPr>
          <w:rFonts w:hint="eastAsia" w:ascii="方正仿宋_GBK" w:hAnsi="方正仿宋_GBK" w:eastAsia="方正仿宋_GBK" w:cs="方正仿宋_GBK"/>
          <w:sz w:val="32"/>
          <w:szCs w:val="32"/>
        </w:rPr>
        <w:t>13.7</w:t>
      </w:r>
      <w:r>
        <w:rPr>
          <w:rFonts w:ascii="方正仿宋_GBK" w:hAnsi="方正仿宋_GBK" w:eastAsia="方正仿宋_GBK" w:cs="方正仿宋_GBK"/>
          <w:sz w:val="32"/>
          <w:szCs w:val="32"/>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七、交通、邮电和旅游</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全年交通运输、仓储和邮政业实现增加值152119万元，比上年增长8.5％，占全区生产总值的比重为3.0%。</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全年公路客运量完成4948万人，比上年增长13.5%；公路旅客周转量220468万人公里，增长11.6%；公路货运量完成895万吨，增长11.6%；公路货物周转量85079万吨公里，增长6.6%。</w:t>
      </w:r>
      <w:r>
        <w:rPr>
          <w:rFonts w:hint="eastAsia" w:ascii="方正仿宋_GBK" w:hAnsi="方正仿宋_GBK" w:eastAsia="方正仿宋_GBK" w:cs="方正仿宋_GBK"/>
          <w:kern w:val="2"/>
          <w:sz w:val="32"/>
          <w:szCs w:val="32"/>
        </w:rPr>
        <w:tab/>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年末全区拥有营运汽车6839辆，其中货车6244辆、客车457辆(含公交车)、出租汽车138辆。</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底全区公路总里程2360.667公里。按行政等级划分：国道（高速公路）63.436公里，省道209.182公里，县道136.588公里，乡道295.921公里，专用公路10.755公里，村道1644.785公里。按技术等级分：高速公路29.8公里、一级公路25.004公里、二级公路191.904公里、三级公路79.35公里、四级公路1948.309公里，等外公路86.3公里。</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全年完成邮电业务总量45025万元，比上年下降</w:t>
      </w:r>
      <w:r>
        <w:rPr>
          <w:rFonts w:ascii="方正仿宋_GBK" w:hAnsi="方正仿宋_GBK" w:eastAsia="方正仿宋_GBK" w:cs="方正仿宋_GBK"/>
          <w:kern w:val="2"/>
          <w:sz w:val="32"/>
          <w:szCs w:val="32"/>
        </w:rPr>
        <w:t>7.2</w:t>
      </w:r>
      <w:r>
        <w:rPr>
          <w:rFonts w:hint="eastAsia" w:ascii="方正仿宋_GBK" w:hAnsi="方正仿宋_GBK" w:eastAsia="方正仿宋_GBK" w:cs="方正仿宋_GBK"/>
          <w:kern w:val="2"/>
          <w:sz w:val="32"/>
          <w:szCs w:val="32"/>
        </w:rPr>
        <w:t>%。其中，邮政业务收入12301万元，增长</w:t>
      </w:r>
      <w:r>
        <w:rPr>
          <w:rFonts w:ascii="方正仿宋_GBK" w:hAnsi="方正仿宋_GBK" w:eastAsia="方正仿宋_GBK" w:cs="方正仿宋_GBK"/>
          <w:kern w:val="2"/>
          <w:sz w:val="32"/>
          <w:szCs w:val="32"/>
        </w:rPr>
        <w:t>21.4</w:t>
      </w:r>
      <w:r>
        <w:rPr>
          <w:rFonts w:hint="eastAsia" w:ascii="方正仿宋_GBK" w:hAnsi="方正仿宋_GBK" w:eastAsia="方正仿宋_GBK" w:cs="方正仿宋_GBK"/>
          <w:kern w:val="2"/>
          <w:sz w:val="32"/>
          <w:szCs w:val="32"/>
        </w:rPr>
        <w:t>%；电信业务总量32724万元，下降14.7 %。年末固定电话用户数</w:t>
      </w:r>
      <w:r>
        <w:rPr>
          <w:rFonts w:ascii="方正仿宋_GBK" w:hAnsi="方正仿宋_GBK" w:eastAsia="方正仿宋_GBK" w:cs="方正仿宋_GBK"/>
          <w:kern w:val="2"/>
          <w:sz w:val="32"/>
          <w:szCs w:val="32"/>
        </w:rPr>
        <w:t>8.99</w:t>
      </w:r>
      <w:r>
        <w:rPr>
          <w:rFonts w:hint="eastAsia" w:ascii="方正仿宋_GBK" w:hAnsi="方正仿宋_GBK" w:eastAsia="方正仿宋_GBK" w:cs="方正仿宋_GBK"/>
          <w:kern w:val="2"/>
          <w:sz w:val="32"/>
          <w:szCs w:val="32"/>
        </w:rPr>
        <w:t>万户，比上年增长1.7%；移动电话用户</w:t>
      </w:r>
      <w:r>
        <w:rPr>
          <w:rFonts w:ascii="方正仿宋_GBK" w:hAnsi="方正仿宋_GBK" w:eastAsia="方正仿宋_GBK" w:cs="方正仿宋_GBK"/>
          <w:kern w:val="2"/>
          <w:sz w:val="32"/>
          <w:szCs w:val="32"/>
        </w:rPr>
        <w:t>70.33</w:t>
      </w:r>
      <w:r>
        <w:rPr>
          <w:rFonts w:hint="eastAsia" w:ascii="方正仿宋_GBK" w:hAnsi="方正仿宋_GBK" w:eastAsia="方正仿宋_GBK" w:cs="方正仿宋_GBK"/>
          <w:kern w:val="2"/>
          <w:sz w:val="32"/>
          <w:szCs w:val="32"/>
        </w:rPr>
        <w:t>万户，比上年增长10.9%。固定互联网宽带接入用户</w:t>
      </w:r>
      <w:r>
        <w:rPr>
          <w:rFonts w:ascii="方正仿宋_GBK" w:hAnsi="方正仿宋_GBK" w:eastAsia="方正仿宋_GBK" w:cs="方正仿宋_GBK"/>
          <w:kern w:val="2"/>
          <w:sz w:val="32"/>
          <w:szCs w:val="32"/>
        </w:rPr>
        <w:t>18.22</w:t>
      </w:r>
      <w:r>
        <w:rPr>
          <w:rFonts w:hint="eastAsia" w:ascii="方正仿宋_GBK" w:hAnsi="方正仿宋_GBK" w:eastAsia="方正仿宋_GBK" w:cs="方正仿宋_GBK"/>
          <w:kern w:val="2"/>
          <w:sz w:val="32"/>
          <w:szCs w:val="32"/>
        </w:rPr>
        <w:t>万户，比上年增长</w:t>
      </w:r>
      <w:r>
        <w:rPr>
          <w:rFonts w:ascii="方正仿宋_GBK" w:hAnsi="方正仿宋_GBK" w:eastAsia="方正仿宋_GBK" w:cs="方正仿宋_GBK"/>
          <w:kern w:val="2"/>
          <w:sz w:val="32"/>
          <w:szCs w:val="32"/>
        </w:rPr>
        <w:t>27.4</w:t>
      </w:r>
      <w:r>
        <w:rPr>
          <w:rFonts w:hint="eastAsia" w:ascii="方正仿宋_GBK" w:hAnsi="方正仿宋_GBK" w:eastAsia="方正仿宋_GBK" w:cs="方正仿宋_GBK"/>
          <w:kern w:val="2"/>
          <w:sz w:val="32"/>
          <w:szCs w:val="32"/>
        </w:rPr>
        <w:t>%；手机上网用户</w:t>
      </w:r>
      <w:r>
        <w:rPr>
          <w:rFonts w:ascii="方正仿宋_GBK" w:hAnsi="方正仿宋_GBK" w:eastAsia="方正仿宋_GBK" w:cs="方正仿宋_GBK"/>
          <w:kern w:val="2"/>
          <w:sz w:val="32"/>
          <w:szCs w:val="32"/>
        </w:rPr>
        <w:t>52.87</w:t>
      </w:r>
      <w:r>
        <w:rPr>
          <w:rFonts w:hint="eastAsia" w:ascii="方正仿宋_GBK" w:hAnsi="方正仿宋_GBK" w:eastAsia="方正仿宋_GBK" w:cs="方正仿宋_GBK"/>
          <w:kern w:val="2"/>
          <w:sz w:val="32"/>
          <w:szCs w:val="32"/>
        </w:rPr>
        <w:t>万户，比上年增长</w:t>
      </w:r>
      <w:r>
        <w:rPr>
          <w:rFonts w:ascii="方正仿宋_GBK" w:hAnsi="方正仿宋_GBK" w:eastAsia="方正仿宋_GBK" w:cs="方正仿宋_GBK"/>
          <w:kern w:val="2"/>
          <w:sz w:val="32"/>
          <w:szCs w:val="32"/>
        </w:rPr>
        <w:t>6.6</w:t>
      </w:r>
      <w:r>
        <w:rPr>
          <w:rFonts w:hint="eastAsia" w:ascii="方正仿宋_GBK" w:hAnsi="方正仿宋_GBK" w:eastAsia="方正仿宋_GBK" w:cs="方正仿宋_GBK"/>
          <w:kern w:val="2"/>
          <w:sz w:val="32"/>
          <w:szCs w:val="32"/>
        </w:rPr>
        <w:t>%；互联网用户</w:t>
      </w:r>
      <w:r>
        <w:rPr>
          <w:rFonts w:ascii="方正仿宋_GBK" w:hAnsi="方正仿宋_GBK" w:eastAsia="方正仿宋_GBK" w:cs="方正仿宋_GBK"/>
          <w:kern w:val="2"/>
          <w:sz w:val="32"/>
          <w:szCs w:val="32"/>
        </w:rPr>
        <w:t>62.64</w:t>
      </w:r>
      <w:r>
        <w:rPr>
          <w:rFonts w:hint="eastAsia" w:ascii="方正仿宋_GBK" w:hAnsi="方正仿宋_GBK" w:eastAsia="方正仿宋_GBK" w:cs="方正仿宋_GBK"/>
          <w:kern w:val="2"/>
          <w:sz w:val="32"/>
          <w:szCs w:val="32"/>
        </w:rPr>
        <w:t>万户，</w:t>
      </w:r>
      <w:r>
        <w:rPr>
          <w:rFonts w:ascii="方正仿宋_GBK" w:hAnsi="方正仿宋_GBK" w:eastAsia="方正仿宋_GBK" w:cs="方正仿宋_GBK"/>
          <w:kern w:val="2"/>
          <w:sz w:val="32"/>
          <w:szCs w:val="32"/>
        </w:rPr>
        <w:t>比上年增长</w:t>
      </w:r>
      <w:r>
        <w:rPr>
          <w:rFonts w:hint="eastAsia" w:ascii="方正仿宋_GBK" w:hAnsi="方正仿宋_GBK" w:eastAsia="方正仿宋_GBK" w:cs="方正仿宋_GBK"/>
          <w:kern w:val="2"/>
          <w:sz w:val="32"/>
          <w:szCs w:val="32"/>
        </w:rPr>
        <w:t>7.9</w:t>
      </w:r>
      <w:r>
        <w:rPr>
          <w:rFonts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rPr>
        <w:t>。</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旅游业加快发展。全年接待游客人数</w:t>
      </w:r>
      <w:r>
        <w:rPr>
          <w:rFonts w:ascii="方正仿宋_GBK" w:hAnsi="方正仿宋_GBK" w:eastAsia="方正仿宋_GBK" w:cs="方正仿宋_GBK"/>
          <w:kern w:val="2"/>
          <w:sz w:val="32"/>
          <w:szCs w:val="32"/>
        </w:rPr>
        <w:t>559</w:t>
      </w:r>
      <w:r>
        <w:rPr>
          <w:rFonts w:hint="eastAsia" w:ascii="方正仿宋_GBK" w:hAnsi="方正仿宋_GBK" w:eastAsia="方正仿宋_GBK" w:cs="方正仿宋_GBK"/>
          <w:kern w:val="2"/>
          <w:sz w:val="32"/>
          <w:szCs w:val="32"/>
        </w:rPr>
        <w:t>万人次，比上年增长</w:t>
      </w:r>
      <w:r>
        <w:rPr>
          <w:rFonts w:ascii="方正仿宋_GBK" w:hAnsi="方正仿宋_GBK" w:eastAsia="方正仿宋_GBK" w:cs="方正仿宋_GBK"/>
          <w:kern w:val="2"/>
          <w:sz w:val="32"/>
          <w:szCs w:val="32"/>
        </w:rPr>
        <w:t>13</w:t>
      </w:r>
      <w:r>
        <w:rPr>
          <w:rFonts w:hint="eastAsia" w:ascii="方正仿宋_GBK" w:hAnsi="方正仿宋_GBK" w:eastAsia="方正仿宋_GBK" w:cs="方正仿宋_GBK"/>
          <w:kern w:val="2"/>
          <w:sz w:val="32"/>
          <w:szCs w:val="32"/>
        </w:rPr>
        <w:t>.6%；实现旅游总收入</w:t>
      </w:r>
      <w:r>
        <w:rPr>
          <w:rFonts w:ascii="方正仿宋_GBK" w:hAnsi="方正仿宋_GBK" w:eastAsia="方正仿宋_GBK" w:cs="方正仿宋_GBK"/>
          <w:kern w:val="2"/>
          <w:sz w:val="32"/>
          <w:szCs w:val="32"/>
        </w:rPr>
        <w:t>17.91</w:t>
      </w:r>
      <w:r>
        <w:rPr>
          <w:rFonts w:hint="eastAsia" w:ascii="方正仿宋_GBK" w:hAnsi="方正仿宋_GBK" w:eastAsia="方正仿宋_GBK" w:cs="方正仿宋_GBK"/>
          <w:kern w:val="2"/>
          <w:sz w:val="32"/>
          <w:szCs w:val="32"/>
        </w:rPr>
        <w:t>亿元，比上年增长</w:t>
      </w:r>
      <w:r>
        <w:rPr>
          <w:rFonts w:ascii="方正仿宋_GBK" w:hAnsi="方正仿宋_GBK" w:eastAsia="方正仿宋_GBK" w:cs="方正仿宋_GBK"/>
          <w:kern w:val="2"/>
          <w:sz w:val="32"/>
          <w:szCs w:val="32"/>
        </w:rPr>
        <w:t>30.0</w:t>
      </w:r>
      <w:r>
        <w:rPr>
          <w:rFonts w:hint="eastAsia" w:ascii="方正仿宋_GBK" w:hAnsi="方正仿宋_GBK" w:eastAsia="方正仿宋_GBK" w:cs="方正仿宋_GBK"/>
          <w:kern w:val="2"/>
          <w:sz w:val="32"/>
          <w:szCs w:val="32"/>
        </w:rPr>
        <w:t>％。年末全区拥有A级旅游景区4个，其中4A级景区1个，3A级景区3个。</w:t>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八、金融</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金融市场稳健运行。全年金融业实现增加值230842万元，比上年增长9.1%,占全区生产总值的4.6%。不良贷款率为0.42%。</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金融市场规模进一步扩大。年末全区金融机构各项存款余额达到3499354万元，比年初增加</w:t>
      </w:r>
      <w:r>
        <w:rPr>
          <w:rFonts w:ascii="方正仿宋_GBK" w:hAnsi="方正仿宋_GBK" w:eastAsia="方正仿宋_GBK" w:cs="方正仿宋_GBK"/>
          <w:kern w:val="0"/>
          <w:sz w:val="32"/>
          <w:szCs w:val="32"/>
        </w:rPr>
        <w:t>138344</w:t>
      </w:r>
      <w:r>
        <w:rPr>
          <w:rFonts w:hint="eastAsia" w:ascii="方正仿宋_GBK" w:hAnsi="方正仿宋_GBK" w:eastAsia="方正仿宋_GBK" w:cs="方正仿宋_GBK"/>
          <w:kern w:val="0"/>
          <w:sz w:val="32"/>
          <w:szCs w:val="32"/>
        </w:rPr>
        <w:t>万元，增长4.1%。其中，住户存款余额</w:t>
      </w:r>
      <w:r>
        <w:rPr>
          <w:rFonts w:ascii="方正仿宋_GBK" w:hAnsi="方正仿宋_GBK" w:eastAsia="方正仿宋_GBK" w:cs="方正仿宋_GBK"/>
          <w:kern w:val="0"/>
          <w:sz w:val="32"/>
          <w:szCs w:val="32"/>
        </w:rPr>
        <w:t>2646229</w:t>
      </w:r>
      <w:r>
        <w:rPr>
          <w:rFonts w:hint="eastAsia" w:ascii="方正仿宋_GBK" w:hAnsi="方正仿宋_GBK" w:eastAsia="方正仿宋_GBK" w:cs="方正仿宋_GBK"/>
          <w:kern w:val="0"/>
          <w:sz w:val="32"/>
          <w:szCs w:val="32"/>
        </w:rPr>
        <w:t>万元，比年初增长10.3%。年末金融机构贷款余额达到</w:t>
      </w:r>
      <w:r>
        <w:rPr>
          <w:rFonts w:ascii="方正仿宋_GBK" w:hAnsi="方正仿宋_GBK" w:eastAsia="方正仿宋_GBK" w:cs="方正仿宋_GBK"/>
          <w:kern w:val="0"/>
          <w:sz w:val="32"/>
          <w:szCs w:val="32"/>
        </w:rPr>
        <w:t>2715329</w:t>
      </w:r>
      <w:r>
        <w:rPr>
          <w:rFonts w:hint="eastAsia" w:ascii="方正仿宋_GBK" w:hAnsi="方正仿宋_GBK" w:eastAsia="方正仿宋_GBK" w:cs="方正仿宋_GBK"/>
          <w:kern w:val="0"/>
          <w:sz w:val="32"/>
          <w:szCs w:val="32"/>
        </w:rPr>
        <w:t>万元，比年初增加446489万元，增长19.7%。其中，个人消费贷款</w:t>
      </w:r>
      <w:r>
        <w:rPr>
          <w:rFonts w:ascii="方正仿宋_GBK" w:hAnsi="方正仿宋_GBK" w:eastAsia="方正仿宋_GBK" w:cs="方正仿宋_GBK"/>
          <w:kern w:val="0"/>
          <w:sz w:val="32"/>
          <w:szCs w:val="32"/>
        </w:rPr>
        <w:t>907830</w:t>
      </w:r>
      <w:r>
        <w:rPr>
          <w:rFonts w:hint="eastAsia" w:ascii="方正仿宋_GBK" w:hAnsi="方正仿宋_GBK" w:eastAsia="方正仿宋_GBK" w:cs="方正仿宋_GBK"/>
          <w:kern w:val="0"/>
          <w:sz w:val="32"/>
          <w:szCs w:val="32"/>
        </w:rPr>
        <w:t>万元，增长6.7%。</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表6　　2018年末金融机构存贷款余额</w:t>
      </w:r>
    </w:p>
    <w:tbl>
      <w:tblPr>
        <w:tblStyle w:val="9"/>
        <w:tblW w:w="7800" w:type="dxa"/>
        <w:tblInd w:w="648" w:type="dxa"/>
        <w:tblLayout w:type="fixed"/>
        <w:tblCellMar>
          <w:top w:w="0" w:type="dxa"/>
          <w:left w:w="108" w:type="dxa"/>
          <w:bottom w:w="0" w:type="dxa"/>
          <w:right w:w="108" w:type="dxa"/>
        </w:tblCellMar>
      </w:tblPr>
      <w:tblGrid>
        <w:gridCol w:w="3120"/>
        <w:gridCol w:w="2538"/>
        <w:gridCol w:w="2142"/>
      </w:tblGrid>
      <w:tr>
        <w:tblPrEx>
          <w:tblLayout w:type="fixed"/>
          <w:tblCellMar>
            <w:top w:w="0" w:type="dxa"/>
            <w:left w:w="108" w:type="dxa"/>
            <w:bottom w:w="0" w:type="dxa"/>
            <w:right w:w="108" w:type="dxa"/>
          </w:tblCellMar>
        </w:tblPrEx>
        <w:trPr>
          <w:trHeight w:val="1025" w:hRule="atLeast"/>
        </w:trPr>
        <w:tc>
          <w:tcPr>
            <w:tcW w:w="312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指标</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年末数（万元）</w:t>
            </w:r>
          </w:p>
        </w:tc>
        <w:tc>
          <w:tcPr>
            <w:tcW w:w="2142" w:type="dxa"/>
            <w:tcBorders>
              <w:top w:val="single" w:color="auto" w:sz="4" w:space="0"/>
              <w:left w:val="single" w:color="auto" w:sz="4" w:space="0"/>
              <w:bottom w:val="single" w:color="auto" w:sz="4" w:space="0"/>
              <w:right w:val="nil"/>
            </w:tcBorders>
            <w:vAlign w:val="center"/>
          </w:tcPr>
          <w:p>
            <w:pPr>
              <w:widowControl/>
              <w:shd w:val="clear" w:color="auto" w:fill="FFFFFF"/>
              <w:spacing w:line="360" w:lineRule="auto"/>
              <w:ind w:firstLine="482" w:firstLineChars="200"/>
              <w:jc w:val="center"/>
              <w:rPr>
                <w:rFonts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比年初±％</w:t>
            </w:r>
          </w:p>
        </w:tc>
      </w:tr>
      <w:tr>
        <w:tblPrEx>
          <w:tblLayout w:type="fixed"/>
          <w:tblCellMar>
            <w:top w:w="0" w:type="dxa"/>
            <w:left w:w="108" w:type="dxa"/>
            <w:bottom w:w="0" w:type="dxa"/>
            <w:right w:w="108" w:type="dxa"/>
          </w:tblCellMar>
        </w:tblPrEx>
        <w:trPr>
          <w:trHeight w:val="920" w:hRule="exact"/>
        </w:trPr>
        <w:tc>
          <w:tcPr>
            <w:tcW w:w="3120" w:type="dxa"/>
            <w:tcBorders>
              <w:top w:val="single" w:color="auto" w:sz="4" w:space="0"/>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金融机构存款余额</w:t>
            </w:r>
          </w:p>
        </w:tc>
        <w:tc>
          <w:tcPr>
            <w:tcW w:w="2538" w:type="dxa"/>
            <w:tcBorders>
              <w:top w:val="nil"/>
              <w:left w:val="nil"/>
              <w:bottom w:val="nil"/>
              <w:right w:val="nil"/>
            </w:tcBorders>
            <w:vAlign w:val="center"/>
          </w:tcPr>
          <w:p>
            <w:pPr>
              <w:widowControl/>
              <w:jc w:val="center"/>
              <w:rPr>
                <w:color w:val="000000"/>
                <w:kern w:val="0"/>
                <w:sz w:val="24"/>
              </w:rPr>
            </w:pPr>
            <w:r>
              <w:rPr>
                <w:rFonts w:hint="eastAsia"/>
                <w:color w:val="000000"/>
                <w:sz w:val="24"/>
              </w:rPr>
              <w:t>3499354</w:t>
            </w:r>
          </w:p>
        </w:tc>
        <w:tc>
          <w:tcPr>
            <w:tcW w:w="2142" w:type="dxa"/>
            <w:tcBorders>
              <w:top w:val="nil"/>
              <w:left w:val="nil"/>
              <w:bottom w:val="nil"/>
              <w:right w:val="nil"/>
            </w:tcBorders>
            <w:vAlign w:val="center"/>
          </w:tcPr>
          <w:p>
            <w:pPr>
              <w:jc w:val="center"/>
              <w:rPr>
                <w:color w:val="000000"/>
                <w:sz w:val="24"/>
              </w:rPr>
            </w:pPr>
            <w:r>
              <w:rPr>
                <w:rFonts w:hint="eastAsia"/>
                <w:color w:val="000000"/>
                <w:sz w:val="24"/>
              </w:rPr>
              <w:t>4.1</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＃企事业单位存款</w:t>
            </w:r>
          </w:p>
        </w:tc>
        <w:tc>
          <w:tcPr>
            <w:tcW w:w="2538" w:type="dxa"/>
            <w:tcBorders>
              <w:top w:val="nil"/>
              <w:left w:val="nil"/>
              <w:bottom w:val="nil"/>
              <w:right w:val="nil"/>
            </w:tcBorders>
            <w:vAlign w:val="center"/>
          </w:tcPr>
          <w:p>
            <w:pPr>
              <w:jc w:val="center"/>
              <w:rPr>
                <w:color w:val="000000"/>
                <w:sz w:val="24"/>
              </w:rPr>
            </w:pPr>
            <w:r>
              <w:rPr>
                <w:rFonts w:hint="eastAsia"/>
                <w:color w:val="000000"/>
                <w:sz w:val="24"/>
              </w:rPr>
              <w:t>792809</w:t>
            </w:r>
          </w:p>
        </w:tc>
        <w:tc>
          <w:tcPr>
            <w:tcW w:w="2142" w:type="dxa"/>
            <w:tcBorders>
              <w:top w:val="nil"/>
              <w:left w:val="nil"/>
              <w:bottom w:val="nil"/>
              <w:right w:val="nil"/>
            </w:tcBorders>
            <w:vAlign w:val="center"/>
          </w:tcPr>
          <w:p>
            <w:pPr>
              <w:jc w:val="center"/>
              <w:rPr>
                <w:color w:val="000000"/>
                <w:sz w:val="24"/>
              </w:rPr>
            </w:pPr>
            <w:r>
              <w:rPr>
                <w:rFonts w:hint="eastAsia"/>
                <w:color w:val="000000"/>
                <w:sz w:val="24"/>
              </w:rPr>
              <w:t>-14.0</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住户存款</w:t>
            </w:r>
          </w:p>
        </w:tc>
        <w:tc>
          <w:tcPr>
            <w:tcW w:w="2538" w:type="dxa"/>
            <w:tcBorders>
              <w:top w:val="nil"/>
              <w:left w:val="nil"/>
              <w:bottom w:val="nil"/>
              <w:right w:val="nil"/>
            </w:tcBorders>
            <w:vAlign w:val="center"/>
          </w:tcPr>
          <w:p>
            <w:pPr>
              <w:jc w:val="center"/>
              <w:rPr>
                <w:color w:val="000000"/>
                <w:sz w:val="24"/>
              </w:rPr>
            </w:pPr>
            <w:r>
              <w:rPr>
                <w:rFonts w:hint="eastAsia"/>
                <w:color w:val="000000"/>
                <w:sz w:val="24"/>
              </w:rPr>
              <w:t>2646229</w:t>
            </w:r>
          </w:p>
        </w:tc>
        <w:tc>
          <w:tcPr>
            <w:tcW w:w="2142" w:type="dxa"/>
            <w:tcBorders>
              <w:top w:val="nil"/>
              <w:left w:val="nil"/>
              <w:bottom w:val="nil"/>
              <w:right w:val="nil"/>
            </w:tcBorders>
            <w:vAlign w:val="center"/>
          </w:tcPr>
          <w:p>
            <w:pPr>
              <w:jc w:val="center"/>
              <w:rPr>
                <w:color w:val="000000"/>
                <w:sz w:val="24"/>
              </w:rPr>
            </w:pPr>
            <w:r>
              <w:rPr>
                <w:rFonts w:hint="eastAsia"/>
                <w:color w:val="000000"/>
                <w:sz w:val="24"/>
              </w:rPr>
              <w:t>10.3</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金融机构贷款余额</w:t>
            </w:r>
          </w:p>
        </w:tc>
        <w:tc>
          <w:tcPr>
            <w:tcW w:w="2538" w:type="dxa"/>
            <w:tcBorders>
              <w:top w:val="nil"/>
              <w:left w:val="nil"/>
              <w:bottom w:val="nil"/>
              <w:right w:val="nil"/>
            </w:tcBorders>
            <w:vAlign w:val="center"/>
          </w:tcPr>
          <w:p>
            <w:pPr>
              <w:jc w:val="center"/>
              <w:rPr>
                <w:color w:val="000000"/>
                <w:sz w:val="24"/>
              </w:rPr>
            </w:pPr>
            <w:r>
              <w:rPr>
                <w:rFonts w:hint="eastAsia"/>
                <w:color w:val="000000"/>
                <w:sz w:val="24"/>
              </w:rPr>
              <w:t>2715329</w:t>
            </w:r>
          </w:p>
        </w:tc>
        <w:tc>
          <w:tcPr>
            <w:tcW w:w="2142" w:type="dxa"/>
            <w:tcBorders>
              <w:top w:val="nil"/>
              <w:left w:val="nil"/>
              <w:bottom w:val="nil"/>
              <w:right w:val="nil"/>
            </w:tcBorders>
            <w:vAlign w:val="center"/>
          </w:tcPr>
          <w:p>
            <w:pPr>
              <w:jc w:val="center"/>
              <w:rPr>
                <w:color w:val="000000"/>
                <w:sz w:val="24"/>
              </w:rPr>
            </w:pPr>
            <w:r>
              <w:rPr>
                <w:rFonts w:hint="eastAsia"/>
                <w:color w:val="000000"/>
                <w:sz w:val="24"/>
              </w:rPr>
              <w:t>19.7</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shd w:val="clear" w:color="auto" w:fill="auto"/>
            <w:vAlign w:val="center"/>
          </w:tcPr>
          <w:p>
            <w:pPr>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＃短期贷款</w:t>
            </w:r>
          </w:p>
        </w:tc>
        <w:tc>
          <w:tcPr>
            <w:tcW w:w="2538" w:type="dxa"/>
            <w:tcBorders>
              <w:top w:val="nil"/>
              <w:left w:val="nil"/>
              <w:bottom w:val="nil"/>
              <w:right w:val="nil"/>
            </w:tcBorders>
            <w:shd w:val="clear" w:color="auto" w:fill="FFFFFF"/>
            <w:vAlign w:val="center"/>
          </w:tcPr>
          <w:p>
            <w:pPr>
              <w:jc w:val="center"/>
              <w:rPr>
                <w:color w:val="000000"/>
                <w:sz w:val="24"/>
              </w:rPr>
            </w:pPr>
            <w:r>
              <w:rPr>
                <w:rFonts w:hint="eastAsia"/>
                <w:color w:val="000000"/>
                <w:sz w:val="24"/>
              </w:rPr>
              <w:t>436197</w:t>
            </w:r>
          </w:p>
        </w:tc>
        <w:tc>
          <w:tcPr>
            <w:tcW w:w="2142" w:type="dxa"/>
            <w:tcBorders>
              <w:top w:val="nil"/>
              <w:left w:val="nil"/>
              <w:bottom w:val="nil"/>
              <w:right w:val="nil"/>
            </w:tcBorders>
            <w:vAlign w:val="center"/>
          </w:tcPr>
          <w:p>
            <w:pPr>
              <w:jc w:val="center"/>
              <w:rPr>
                <w:color w:val="000000"/>
                <w:sz w:val="24"/>
              </w:rPr>
            </w:pPr>
            <w:r>
              <w:rPr>
                <w:rFonts w:hint="eastAsia"/>
                <w:color w:val="000000"/>
                <w:sz w:val="24"/>
              </w:rPr>
              <w:t>1.9</w:t>
            </w:r>
          </w:p>
        </w:tc>
      </w:tr>
      <w:tr>
        <w:tblPrEx>
          <w:tblLayout w:type="fixed"/>
          <w:tblCellMar>
            <w:top w:w="0" w:type="dxa"/>
            <w:left w:w="108" w:type="dxa"/>
            <w:bottom w:w="0" w:type="dxa"/>
            <w:right w:w="108" w:type="dxa"/>
          </w:tblCellMar>
        </w:tblPrEx>
        <w:trPr>
          <w:trHeight w:val="920" w:hRule="exact"/>
        </w:trPr>
        <w:tc>
          <w:tcPr>
            <w:tcW w:w="3120" w:type="dxa"/>
            <w:tcBorders>
              <w:top w:val="nil"/>
              <w:left w:val="nil"/>
              <w:bottom w:val="nil"/>
              <w:right w:val="single" w:color="auto" w:sz="4" w:space="0"/>
            </w:tcBorders>
            <w:shd w:val="clear" w:color="auto" w:fill="auto"/>
            <w:vAlign w:val="center"/>
          </w:tcPr>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中长期贷款</w:t>
            </w:r>
          </w:p>
        </w:tc>
        <w:tc>
          <w:tcPr>
            <w:tcW w:w="2538" w:type="dxa"/>
            <w:tcBorders>
              <w:top w:val="nil"/>
              <w:left w:val="nil"/>
              <w:bottom w:val="nil"/>
              <w:right w:val="nil"/>
            </w:tcBorders>
            <w:shd w:val="clear" w:color="auto" w:fill="FFFFFF"/>
            <w:vAlign w:val="center"/>
          </w:tcPr>
          <w:p>
            <w:pPr>
              <w:jc w:val="center"/>
              <w:rPr>
                <w:color w:val="000000"/>
                <w:sz w:val="24"/>
              </w:rPr>
            </w:pPr>
            <w:r>
              <w:rPr>
                <w:rFonts w:hint="eastAsia"/>
                <w:color w:val="000000"/>
                <w:sz w:val="24"/>
              </w:rPr>
              <w:t>2261543</w:t>
            </w:r>
          </w:p>
        </w:tc>
        <w:tc>
          <w:tcPr>
            <w:tcW w:w="2142" w:type="dxa"/>
            <w:tcBorders>
              <w:top w:val="nil"/>
              <w:left w:val="nil"/>
              <w:bottom w:val="nil"/>
              <w:right w:val="nil"/>
            </w:tcBorders>
            <w:vAlign w:val="center"/>
          </w:tcPr>
          <w:p>
            <w:pPr>
              <w:jc w:val="center"/>
              <w:rPr>
                <w:color w:val="000000"/>
                <w:sz w:val="24"/>
              </w:rPr>
            </w:pPr>
            <w:r>
              <w:rPr>
                <w:rFonts w:hint="eastAsia"/>
                <w:color w:val="000000"/>
                <w:sz w:val="24"/>
              </w:rPr>
              <w:t>23.2</w:t>
            </w:r>
          </w:p>
        </w:tc>
      </w:tr>
      <w:tr>
        <w:tblPrEx>
          <w:tblLayout w:type="fixed"/>
          <w:tblCellMar>
            <w:top w:w="0" w:type="dxa"/>
            <w:left w:w="108" w:type="dxa"/>
            <w:bottom w:w="0" w:type="dxa"/>
            <w:right w:w="108" w:type="dxa"/>
          </w:tblCellMar>
        </w:tblPrEx>
        <w:trPr>
          <w:trHeight w:val="920" w:hRule="exact"/>
        </w:trPr>
        <w:tc>
          <w:tcPr>
            <w:tcW w:w="3120" w:type="dxa"/>
            <w:tcBorders>
              <w:top w:val="nil"/>
              <w:left w:val="nil"/>
              <w:right w:val="single" w:color="auto" w:sz="4" w:space="0"/>
            </w:tcBorders>
            <w:vAlign w:val="center"/>
          </w:tcPr>
          <w:p>
            <w:pPr>
              <w:ind w:firstLine="720" w:firstLineChars="300"/>
              <w:rPr>
                <w:rFonts w:ascii="方正仿宋_GBK" w:hAnsi="方正仿宋_GBK" w:eastAsia="方正仿宋_GBK" w:cs="方正仿宋_GBK"/>
                <w:sz w:val="24"/>
              </w:rPr>
            </w:pPr>
            <w:r>
              <w:rPr>
                <w:rFonts w:hint="eastAsia" w:ascii="方正仿宋_GBK" w:hAnsi="方正仿宋_GBK" w:eastAsia="方正仿宋_GBK" w:cs="方正仿宋_GBK"/>
                <w:sz w:val="24"/>
              </w:rPr>
              <w:t>＃个人消费贷款</w:t>
            </w:r>
          </w:p>
        </w:tc>
        <w:tc>
          <w:tcPr>
            <w:tcW w:w="2538" w:type="dxa"/>
            <w:tcBorders>
              <w:top w:val="nil"/>
              <w:left w:val="nil"/>
              <w:right w:val="nil"/>
            </w:tcBorders>
            <w:vAlign w:val="center"/>
          </w:tcPr>
          <w:p>
            <w:pPr>
              <w:jc w:val="center"/>
              <w:rPr>
                <w:color w:val="000000"/>
                <w:sz w:val="24"/>
              </w:rPr>
            </w:pPr>
            <w:r>
              <w:rPr>
                <w:rFonts w:hint="eastAsia"/>
                <w:color w:val="000000"/>
                <w:sz w:val="24"/>
              </w:rPr>
              <w:t>907830</w:t>
            </w:r>
          </w:p>
        </w:tc>
        <w:tc>
          <w:tcPr>
            <w:tcW w:w="2142" w:type="dxa"/>
            <w:tcBorders>
              <w:top w:val="nil"/>
              <w:left w:val="nil"/>
              <w:right w:val="nil"/>
            </w:tcBorders>
            <w:vAlign w:val="center"/>
          </w:tcPr>
          <w:p>
            <w:pPr>
              <w:jc w:val="center"/>
              <w:rPr>
                <w:color w:val="000000"/>
                <w:sz w:val="24"/>
              </w:rPr>
            </w:pPr>
            <w:r>
              <w:rPr>
                <w:rFonts w:hint="eastAsia"/>
                <w:color w:val="000000"/>
                <w:sz w:val="24"/>
              </w:rPr>
              <w:t>6.7</w:t>
            </w:r>
          </w:p>
        </w:tc>
      </w:tr>
      <w:tr>
        <w:tblPrEx>
          <w:tblLayout w:type="fixed"/>
          <w:tblCellMar>
            <w:top w:w="0" w:type="dxa"/>
            <w:left w:w="108" w:type="dxa"/>
            <w:bottom w:w="0" w:type="dxa"/>
            <w:right w:w="108" w:type="dxa"/>
          </w:tblCellMar>
        </w:tblPrEx>
        <w:trPr>
          <w:trHeight w:val="930" w:hRule="exact"/>
        </w:trPr>
        <w:tc>
          <w:tcPr>
            <w:tcW w:w="3120" w:type="dxa"/>
            <w:tcBorders>
              <w:top w:val="nil"/>
              <w:left w:val="nil"/>
              <w:bottom w:val="single" w:color="auto" w:sz="4" w:space="0"/>
              <w:right w:val="single" w:color="auto" w:sz="4" w:space="0"/>
            </w:tcBorders>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＃不良贷款</w:t>
            </w:r>
          </w:p>
        </w:tc>
        <w:tc>
          <w:tcPr>
            <w:tcW w:w="2538" w:type="dxa"/>
            <w:tcBorders>
              <w:top w:val="nil"/>
              <w:left w:val="nil"/>
              <w:bottom w:val="single" w:color="auto" w:sz="4" w:space="0"/>
              <w:right w:val="nil"/>
            </w:tcBorders>
            <w:vAlign w:val="center"/>
          </w:tcPr>
          <w:p>
            <w:pPr>
              <w:jc w:val="center"/>
              <w:rPr>
                <w:color w:val="000000"/>
                <w:sz w:val="24"/>
              </w:rPr>
            </w:pPr>
            <w:r>
              <w:rPr>
                <w:rFonts w:hint="eastAsia"/>
                <w:color w:val="000000"/>
                <w:sz w:val="24"/>
              </w:rPr>
              <w:t>11323</w:t>
            </w:r>
          </w:p>
        </w:tc>
        <w:tc>
          <w:tcPr>
            <w:tcW w:w="2142" w:type="dxa"/>
            <w:tcBorders>
              <w:top w:val="nil"/>
              <w:left w:val="nil"/>
              <w:bottom w:val="single" w:color="auto" w:sz="4" w:space="0"/>
              <w:right w:val="nil"/>
            </w:tcBorders>
            <w:vAlign w:val="center"/>
          </w:tcPr>
          <w:p>
            <w:pPr>
              <w:jc w:val="center"/>
              <w:rPr>
                <w:color w:val="000000"/>
                <w:sz w:val="24"/>
              </w:rPr>
            </w:pPr>
            <w:r>
              <w:rPr>
                <w:rFonts w:hint="eastAsia"/>
                <w:color w:val="000000"/>
                <w:sz w:val="24"/>
              </w:rPr>
              <w:t>-26.2</w:t>
            </w:r>
          </w:p>
        </w:tc>
      </w:tr>
    </w:tbl>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保险业稳定发展。全年保险机构实现保费收入88700万元，增长16.4%。理赔金额29795万元，下降8.4 %。</w:t>
      </w:r>
    </w:p>
    <w:p>
      <w:pPr>
        <w:jc w:val="left"/>
        <w:rPr>
          <w:rStyle w:val="7"/>
          <w:rFonts w:ascii="方正仿宋_GBK" w:hAnsi="方正仿宋_GBK" w:eastAsia="方正仿宋_GBK" w:cs="方正仿宋_GBK"/>
          <w:b w:val="0"/>
          <w:kern w:val="0"/>
          <w:sz w:val="32"/>
          <w:szCs w:val="32"/>
        </w:rPr>
      </w:pPr>
      <w:r>
        <w:drawing>
          <wp:inline distT="0" distB="0" distL="0" distR="0">
            <wp:extent cx="5153025" cy="357187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spacing w:before="0" w:beforeAutospacing="0" w:after="0" w:afterAutospacing="0"/>
        <w:ind w:left="44" w:right="44" w:firstLine="643" w:firstLineChars="200"/>
        <w:jc w:val="both"/>
        <w:rPr>
          <w:rStyle w:val="7"/>
          <w:rFonts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九、人民生活和社会保障</w:t>
      </w:r>
    </w:p>
    <w:p>
      <w:pPr>
        <w:pStyle w:val="5"/>
        <w:spacing w:before="0" w:beforeAutospacing="0" w:after="0" w:afterAutospacing="0"/>
        <w:ind w:left="44" w:right="44" w:firstLine="640" w:firstLineChars="200"/>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居民收入持续增加。全区常住居民人均可支配收入26926元，比上年增长10.2%。</w:t>
      </w:r>
    </w:p>
    <w:p>
      <w:pPr>
        <w:pStyle w:val="5"/>
        <w:spacing w:before="0" w:beforeAutospacing="0" w:after="0" w:afterAutospacing="0"/>
        <w:ind w:right="44"/>
        <w:jc w:val="both"/>
        <w:rPr>
          <w:rStyle w:val="7"/>
          <w:rFonts w:ascii="方正仿宋_GBK" w:hAnsi="方正仿宋_GBK" w:eastAsia="方正仿宋_GBK" w:cs="方正仿宋_GBK"/>
          <w:b w:val="0"/>
          <w:sz w:val="28"/>
        </w:rPr>
      </w:pPr>
    </w:p>
    <w:p>
      <w:pPr>
        <w:pStyle w:val="5"/>
        <w:spacing w:before="0" w:beforeAutospacing="0" w:after="0" w:afterAutospacing="0"/>
        <w:ind w:right="44"/>
        <w:jc w:val="both"/>
        <w:rPr>
          <w:rStyle w:val="7"/>
          <w:rFonts w:ascii="方正仿宋_GBK" w:hAnsi="方正仿宋_GBK" w:eastAsia="方正仿宋_GBK" w:cs="方正仿宋_GBK"/>
          <w:b w:val="0"/>
          <w:sz w:val="28"/>
        </w:rPr>
      </w:pPr>
      <w:r>
        <w:drawing>
          <wp:inline distT="0" distB="0" distL="0" distR="0">
            <wp:extent cx="5229225" cy="32861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城镇常住居民人均可支配收入35066元，增长8.8%。其中，人均工资性收入</w:t>
      </w:r>
      <w:r>
        <w:rPr>
          <w:rStyle w:val="7"/>
          <w:rFonts w:ascii="方正仿宋_GBK" w:hAnsi="方正仿宋_GBK" w:eastAsia="方正仿宋_GBK" w:cs="方正仿宋_GBK"/>
          <w:b w:val="0"/>
          <w:sz w:val="32"/>
          <w:szCs w:val="32"/>
        </w:rPr>
        <w:t>20749</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8.7</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3877</w:t>
      </w:r>
      <w:r>
        <w:rPr>
          <w:rStyle w:val="7"/>
          <w:rFonts w:hint="eastAsia" w:ascii="方正仿宋_GBK" w:hAnsi="方正仿宋_GBK" w:eastAsia="方正仿宋_GBK" w:cs="方正仿宋_GBK"/>
          <w:b w:val="0"/>
          <w:sz w:val="32"/>
          <w:szCs w:val="32"/>
        </w:rPr>
        <w:t>元，增长10.0%；人均财产净收入</w:t>
      </w:r>
      <w:r>
        <w:rPr>
          <w:rStyle w:val="7"/>
          <w:rFonts w:ascii="方正仿宋_GBK" w:hAnsi="方正仿宋_GBK" w:eastAsia="方正仿宋_GBK" w:cs="方正仿宋_GBK"/>
          <w:b w:val="0"/>
          <w:sz w:val="32"/>
          <w:szCs w:val="32"/>
        </w:rPr>
        <w:t>2440</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5.6</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8000</w:t>
      </w:r>
      <w:r>
        <w:rPr>
          <w:rStyle w:val="7"/>
          <w:rFonts w:hint="eastAsia" w:ascii="方正仿宋_GBK" w:hAnsi="方正仿宋_GBK" w:eastAsia="方正仿宋_GBK" w:cs="方正仿宋_GBK"/>
          <w:b w:val="0"/>
          <w:sz w:val="32"/>
          <w:szCs w:val="32"/>
        </w:rPr>
        <w:t>元，增长9.4%。城镇居民恩格尔系数</w:t>
      </w:r>
      <w:r>
        <w:rPr>
          <w:rStyle w:val="7"/>
          <w:rFonts w:ascii="方正仿宋_GBK" w:hAnsi="方正仿宋_GBK" w:eastAsia="方正仿宋_GBK" w:cs="方正仿宋_GBK"/>
          <w:b w:val="0"/>
          <w:sz w:val="32"/>
          <w:szCs w:val="32"/>
        </w:rPr>
        <w:t>31.93</w:t>
      </w:r>
      <w:r>
        <w:rPr>
          <w:rStyle w:val="7"/>
          <w:rFonts w:hint="eastAsia" w:ascii="方正仿宋_GBK" w:hAnsi="方正仿宋_GBK" w:eastAsia="方正仿宋_GBK" w:cs="方正仿宋_GBK"/>
          <w:b w:val="0"/>
          <w:sz w:val="32"/>
          <w:szCs w:val="32"/>
        </w:rPr>
        <w:t>%，比上年下降0.</w:t>
      </w:r>
      <w:r>
        <w:rPr>
          <w:rStyle w:val="7"/>
          <w:rFonts w:ascii="方正仿宋_GBK" w:hAnsi="方正仿宋_GBK" w:eastAsia="方正仿宋_GBK" w:cs="方正仿宋_GBK"/>
          <w:b w:val="0"/>
          <w:sz w:val="32"/>
          <w:szCs w:val="32"/>
        </w:rPr>
        <w:t>96</w:t>
      </w:r>
      <w:r>
        <w:rPr>
          <w:rStyle w:val="7"/>
          <w:rFonts w:hint="eastAsia" w:ascii="方正仿宋_GBK" w:hAnsi="方正仿宋_GBK" w:eastAsia="方正仿宋_GBK" w:cs="方正仿宋_GBK"/>
          <w:b w:val="0"/>
          <w:sz w:val="32"/>
          <w:szCs w:val="32"/>
        </w:rPr>
        <w:t>个百分点。城镇居民人均住房面积</w:t>
      </w:r>
      <w:r>
        <w:rPr>
          <w:rStyle w:val="7"/>
          <w:rFonts w:ascii="方正仿宋_GBK" w:hAnsi="方正仿宋_GBK" w:eastAsia="方正仿宋_GBK" w:cs="方正仿宋_GBK"/>
          <w:b w:val="0"/>
          <w:sz w:val="32"/>
          <w:szCs w:val="32"/>
        </w:rPr>
        <w:t>43.50</w:t>
      </w:r>
      <w:r>
        <w:rPr>
          <w:rStyle w:val="7"/>
          <w:rFonts w:hint="eastAsia" w:ascii="方正仿宋_GBK" w:hAnsi="方正仿宋_GBK" w:eastAsia="方正仿宋_GBK" w:cs="方正仿宋_GBK"/>
          <w:b w:val="0"/>
          <w:sz w:val="32"/>
          <w:szCs w:val="32"/>
        </w:rPr>
        <w:t>平方米，比上年增长6.0</w:t>
      </w:r>
      <w:r>
        <w:rPr>
          <w:rStyle w:val="7"/>
          <w:rFonts w:ascii="方正仿宋_GBK" w:hAnsi="方正仿宋_GBK" w:eastAsia="方正仿宋_GBK" w:cs="方正仿宋_GBK"/>
          <w:b w:val="0"/>
          <w:sz w:val="32"/>
          <w:szCs w:val="32"/>
        </w:rPr>
        <w:t>%</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农村常住居民人均可支配收入</w:t>
      </w:r>
      <w:r>
        <w:rPr>
          <w:rStyle w:val="7"/>
          <w:rFonts w:ascii="方正仿宋_GBK" w:hAnsi="方正仿宋_GBK" w:eastAsia="方正仿宋_GBK" w:cs="方正仿宋_GBK"/>
          <w:b w:val="0"/>
          <w:sz w:val="32"/>
          <w:szCs w:val="32"/>
        </w:rPr>
        <w:t>17051</w:t>
      </w:r>
      <w:r>
        <w:rPr>
          <w:rStyle w:val="7"/>
          <w:rFonts w:hint="eastAsia" w:ascii="方正仿宋_GBK" w:hAnsi="方正仿宋_GBK" w:eastAsia="方正仿宋_GBK" w:cs="方正仿宋_GBK"/>
          <w:b w:val="0"/>
          <w:sz w:val="32"/>
          <w:szCs w:val="32"/>
        </w:rPr>
        <w:t>元，增长8.7%。其中，人均工资性收入</w:t>
      </w:r>
      <w:r>
        <w:rPr>
          <w:rStyle w:val="7"/>
          <w:rFonts w:ascii="方正仿宋_GBK" w:hAnsi="方正仿宋_GBK" w:eastAsia="方正仿宋_GBK" w:cs="方正仿宋_GBK"/>
          <w:b w:val="0"/>
          <w:sz w:val="32"/>
          <w:szCs w:val="32"/>
        </w:rPr>
        <w:t>5899</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8.9</w:t>
      </w:r>
      <w:r>
        <w:rPr>
          <w:rStyle w:val="7"/>
          <w:rFonts w:hint="eastAsia" w:ascii="方正仿宋_GBK" w:hAnsi="方正仿宋_GBK" w:eastAsia="方正仿宋_GBK" w:cs="方正仿宋_GBK"/>
          <w:b w:val="0"/>
          <w:sz w:val="32"/>
          <w:szCs w:val="32"/>
        </w:rPr>
        <w:t>%；人均经营净收入</w:t>
      </w:r>
      <w:r>
        <w:rPr>
          <w:rStyle w:val="7"/>
          <w:rFonts w:ascii="方正仿宋_GBK" w:hAnsi="方正仿宋_GBK" w:eastAsia="方正仿宋_GBK" w:cs="方正仿宋_GBK"/>
          <w:b w:val="0"/>
          <w:sz w:val="32"/>
          <w:szCs w:val="32"/>
        </w:rPr>
        <w:t>5854</w:t>
      </w:r>
      <w:r>
        <w:rPr>
          <w:rStyle w:val="7"/>
          <w:rFonts w:hint="eastAsia" w:ascii="方正仿宋_GBK" w:hAnsi="方正仿宋_GBK" w:eastAsia="方正仿宋_GBK" w:cs="方正仿宋_GBK"/>
          <w:b w:val="0"/>
          <w:sz w:val="32"/>
          <w:szCs w:val="32"/>
        </w:rPr>
        <w:t>元，增长8.0%；人均财产净收入</w:t>
      </w:r>
      <w:r>
        <w:rPr>
          <w:rStyle w:val="7"/>
          <w:rFonts w:ascii="方正仿宋_GBK" w:hAnsi="方正仿宋_GBK" w:eastAsia="方正仿宋_GBK" w:cs="方正仿宋_GBK"/>
          <w:b w:val="0"/>
          <w:sz w:val="32"/>
          <w:szCs w:val="32"/>
        </w:rPr>
        <w:t>236</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8.3</w:t>
      </w:r>
      <w:r>
        <w:rPr>
          <w:rStyle w:val="7"/>
          <w:rFonts w:hint="eastAsia" w:ascii="方正仿宋_GBK" w:hAnsi="方正仿宋_GBK" w:eastAsia="方正仿宋_GBK" w:cs="方正仿宋_GBK"/>
          <w:b w:val="0"/>
          <w:sz w:val="32"/>
          <w:szCs w:val="32"/>
        </w:rPr>
        <w:t>%；人均转移净收入</w:t>
      </w:r>
      <w:r>
        <w:rPr>
          <w:rStyle w:val="7"/>
          <w:rFonts w:ascii="方正仿宋_GBK" w:hAnsi="方正仿宋_GBK" w:eastAsia="方正仿宋_GBK" w:cs="方正仿宋_GBK"/>
          <w:b w:val="0"/>
          <w:sz w:val="32"/>
          <w:szCs w:val="32"/>
        </w:rPr>
        <w:t>5062</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9.3</w:t>
      </w:r>
      <w:r>
        <w:rPr>
          <w:rStyle w:val="7"/>
          <w:rFonts w:hint="eastAsia" w:ascii="方正仿宋_GBK" w:hAnsi="方正仿宋_GBK" w:eastAsia="方正仿宋_GBK" w:cs="方正仿宋_GBK"/>
          <w:b w:val="0"/>
          <w:sz w:val="32"/>
          <w:szCs w:val="32"/>
        </w:rPr>
        <w:t>％。农村常住居民人均生活消费支出</w:t>
      </w:r>
      <w:r>
        <w:rPr>
          <w:rStyle w:val="7"/>
          <w:rFonts w:ascii="方正仿宋_GBK" w:hAnsi="方正仿宋_GBK" w:eastAsia="方正仿宋_GBK" w:cs="方正仿宋_GBK"/>
          <w:b w:val="0"/>
          <w:sz w:val="32"/>
          <w:szCs w:val="32"/>
        </w:rPr>
        <w:t>10824</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3.7</w:t>
      </w:r>
      <w:r>
        <w:rPr>
          <w:rStyle w:val="7"/>
          <w:rFonts w:hint="eastAsia" w:ascii="方正仿宋_GBK" w:hAnsi="方正仿宋_GBK" w:eastAsia="方正仿宋_GBK" w:cs="方正仿宋_GBK"/>
          <w:b w:val="0"/>
          <w:sz w:val="32"/>
          <w:szCs w:val="32"/>
        </w:rPr>
        <w:t>%；其中，衣着</w:t>
      </w:r>
      <w:r>
        <w:rPr>
          <w:rStyle w:val="7"/>
          <w:rFonts w:ascii="方正仿宋_GBK" w:hAnsi="方正仿宋_GBK" w:eastAsia="方正仿宋_GBK" w:cs="方正仿宋_GBK"/>
          <w:b w:val="0"/>
          <w:sz w:val="32"/>
          <w:szCs w:val="32"/>
        </w:rPr>
        <w:t>681</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5.2</w:t>
      </w:r>
      <w:r>
        <w:rPr>
          <w:rStyle w:val="7"/>
          <w:rFonts w:hint="eastAsia" w:ascii="方正仿宋_GBK" w:hAnsi="方正仿宋_GBK" w:eastAsia="方正仿宋_GBK" w:cs="方正仿宋_GBK"/>
          <w:b w:val="0"/>
          <w:sz w:val="32"/>
          <w:szCs w:val="32"/>
        </w:rPr>
        <w:t>%；居住19</w:t>
      </w:r>
      <w:r>
        <w:rPr>
          <w:rStyle w:val="7"/>
          <w:rFonts w:ascii="方正仿宋_GBK" w:hAnsi="方正仿宋_GBK" w:eastAsia="方正仿宋_GBK" w:cs="方正仿宋_GBK"/>
          <w:b w:val="0"/>
          <w:sz w:val="32"/>
          <w:szCs w:val="32"/>
        </w:rPr>
        <w:t>97</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2.3</w:t>
      </w:r>
      <w:r>
        <w:rPr>
          <w:rStyle w:val="7"/>
          <w:rFonts w:hint="eastAsia" w:ascii="方正仿宋_GBK" w:hAnsi="方正仿宋_GBK" w:eastAsia="方正仿宋_GBK" w:cs="方正仿宋_GBK"/>
          <w:b w:val="0"/>
          <w:sz w:val="32"/>
          <w:szCs w:val="32"/>
        </w:rPr>
        <w:t>%；生活用品及服务</w:t>
      </w:r>
      <w:r>
        <w:rPr>
          <w:rStyle w:val="7"/>
          <w:rFonts w:ascii="方正仿宋_GBK" w:hAnsi="方正仿宋_GBK" w:eastAsia="方正仿宋_GBK" w:cs="方正仿宋_GBK"/>
          <w:b w:val="0"/>
          <w:sz w:val="32"/>
          <w:szCs w:val="32"/>
        </w:rPr>
        <w:t>955</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1.5</w:t>
      </w:r>
      <w:r>
        <w:rPr>
          <w:rStyle w:val="7"/>
          <w:rFonts w:hint="eastAsia" w:ascii="方正仿宋_GBK" w:hAnsi="方正仿宋_GBK" w:eastAsia="方正仿宋_GBK" w:cs="方正仿宋_GBK"/>
          <w:b w:val="0"/>
          <w:sz w:val="32"/>
          <w:szCs w:val="32"/>
        </w:rPr>
        <w:t>%；交通通信</w:t>
      </w:r>
      <w:r>
        <w:rPr>
          <w:rStyle w:val="7"/>
          <w:rFonts w:ascii="方正仿宋_GBK" w:hAnsi="方正仿宋_GBK" w:eastAsia="方正仿宋_GBK" w:cs="方正仿宋_GBK"/>
          <w:b w:val="0"/>
          <w:sz w:val="32"/>
          <w:szCs w:val="32"/>
        </w:rPr>
        <w:t>1251</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6.1</w:t>
      </w:r>
      <w:r>
        <w:rPr>
          <w:rStyle w:val="7"/>
          <w:rFonts w:hint="eastAsia" w:ascii="方正仿宋_GBK" w:hAnsi="方正仿宋_GBK" w:eastAsia="方正仿宋_GBK" w:cs="方正仿宋_GBK"/>
          <w:b w:val="0"/>
          <w:sz w:val="32"/>
          <w:szCs w:val="32"/>
        </w:rPr>
        <w:t>%；教育文化娱乐</w:t>
      </w:r>
      <w:r>
        <w:rPr>
          <w:rStyle w:val="7"/>
          <w:rFonts w:ascii="方正仿宋_GBK" w:hAnsi="方正仿宋_GBK" w:eastAsia="方正仿宋_GBK" w:cs="方正仿宋_GBK"/>
          <w:b w:val="0"/>
          <w:sz w:val="32"/>
          <w:szCs w:val="32"/>
        </w:rPr>
        <w:t>1023</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6.7</w:t>
      </w:r>
      <w:r>
        <w:rPr>
          <w:rStyle w:val="7"/>
          <w:rFonts w:hint="eastAsia" w:ascii="方正仿宋_GBK" w:hAnsi="方正仿宋_GBK" w:eastAsia="方正仿宋_GBK" w:cs="方正仿宋_GBK"/>
          <w:b w:val="0"/>
          <w:sz w:val="32"/>
          <w:szCs w:val="32"/>
        </w:rPr>
        <w:t>%；医疗保健</w:t>
      </w:r>
      <w:r>
        <w:rPr>
          <w:rStyle w:val="7"/>
          <w:rFonts w:ascii="方正仿宋_GBK" w:hAnsi="方正仿宋_GBK" w:eastAsia="方正仿宋_GBK" w:cs="方正仿宋_GBK"/>
          <w:b w:val="0"/>
          <w:sz w:val="32"/>
          <w:szCs w:val="32"/>
        </w:rPr>
        <w:t>825</w:t>
      </w:r>
      <w:r>
        <w:rPr>
          <w:rStyle w:val="7"/>
          <w:rFonts w:hint="eastAsia" w:ascii="方正仿宋_GBK" w:hAnsi="方正仿宋_GBK" w:eastAsia="方正仿宋_GBK" w:cs="方正仿宋_GBK"/>
          <w:b w:val="0"/>
          <w:sz w:val="32"/>
          <w:szCs w:val="32"/>
        </w:rPr>
        <w:t>元，增长</w:t>
      </w:r>
      <w:r>
        <w:rPr>
          <w:rStyle w:val="7"/>
          <w:rFonts w:ascii="方正仿宋_GBK" w:hAnsi="方正仿宋_GBK" w:eastAsia="方正仿宋_GBK" w:cs="方正仿宋_GBK"/>
          <w:b w:val="0"/>
          <w:sz w:val="32"/>
          <w:szCs w:val="32"/>
        </w:rPr>
        <w:t>2.5</w:t>
      </w:r>
      <w:r>
        <w:rPr>
          <w:rStyle w:val="7"/>
          <w:rFonts w:hint="eastAsia" w:ascii="方正仿宋_GBK" w:hAnsi="方正仿宋_GBK" w:eastAsia="方正仿宋_GBK" w:cs="方正仿宋_GBK"/>
          <w:b w:val="0"/>
          <w:sz w:val="32"/>
          <w:szCs w:val="32"/>
        </w:rPr>
        <w:t>%。农村居民恩格尔系数</w:t>
      </w:r>
      <w:r>
        <w:rPr>
          <w:rStyle w:val="7"/>
          <w:rFonts w:ascii="方正仿宋_GBK" w:hAnsi="方正仿宋_GBK" w:eastAsia="方正仿宋_GBK" w:cs="方正仿宋_GBK"/>
          <w:b w:val="0"/>
          <w:sz w:val="32"/>
          <w:szCs w:val="32"/>
        </w:rPr>
        <w:t>36.52</w:t>
      </w:r>
      <w:r>
        <w:rPr>
          <w:rStyle w:val="7"/>
          <w:rFonts w:hint="eastAsia" w:ascii="方正仿宋_GBK" w:hAnsi="方正仿宋_GBK" w:eastAsia="方正仿宋_GBK" w:cs="方正仿宋_GBK"/>
          <w:b w:val="0"/>
          <w:sz w:val="32"/>
          <w:szCs w:val="32"/>
        </w:rPr>
        <w:t>%，比上年下降</w:t>
      </w:r>
      <w:r>
        <w:rPr>
          <w:rStyle w:val="7"/>
          <w:rFonts w:ascii="方正仿宋_GBK" w:hAnsi="方正仿宋_GBK" w:eastAsia="方正仿宋_GBK" w:cs="方正仿宋_GBK"/>
          <w:b w:val="0"/>
          <w:sz w:val="32"/>
          <w:szCs w:val="32"/>
        </w:rPr>
        <w:t>0.13</w:t>
      </w:r>
      <w:r>
        <w:rPr>
          <w:rStyle w:val="7"/>
          <w:rFonts w:hint="eastAsia" w:ascii="方正仿宋_GBK" w:hAnsi="方正仿宋_GBK" w:eastAsia="方正仿宋_GBK" w:cs="方正仿宋_GBK"/>
          <w:b w:val="0"/>
          <w:sz w:val="32"/>
          <w:szCs w:val="32"/>
        </w:rPr>
        <w:t>个百分点。农村居民人均住房面积</w:t>
      </w:r>
      <w:r>
        <w:rPr>
          <w:rStyle w:val="7"/>
          <w:rFonts w:ascii="方正仿宋_GBK" w:hAnsi="方正仿宋_GBK" w:eastAsia="方正仿宋_GBK" w:cs="方正仿宋_GBK"/>
          <w:b w:val="0"/>
          <w:sz w:val="32"/>
          <w:szCs w:val="32"/>
        </w:rPr>
        <w:t>45.33</w:t>
      </w:r>
      <w:r>
        <w:rPr>
          <w:rStyle w:val="7"/>
          <w:rFonts w:hint="eastAsia" w:ascii="方正仿宋_GBK" w:hAnsi="方正仿宋_GBK" w:eastAsia="方正仿宋_GBK" w:cs="方正仿宋_GBK"/>
          <w:b w:val="0"/>
          <w:sz w:val="32"/>
          <w:szCs w:val="32"/>
        </w:rPr>
        <w:t>平方米，比上年减少</w:t>
      </w:r>
      <w:r>
        <w:rPr>
          <w:rStyle w:val="7"/>
          <w:rFonts w:ascii="方正仿宋_GBK" w:hAnsi="方正仿宋_GBK" w:eastAsia="方正仿宋_GBK" w:cs="方正仿宋_GBK"/>
          <w:b w:val="0"/>
          <w:sz w:val="32"/>
          <w:szCs w:val="32"/>
        </w:rPr>
        <w:t>0.86%</w:t>
      </w:r>
      <w:r>
        <w:rPr>
          <w:rStyle w:val="7"/>
          <w:rFonts w:hint="eastAsia" w:ascii="方正仿宋_GBK" w:hAnsi="方正仿宋_GBK" w:eastAsia="方正仿宋_GBK" w:cs="方正仿宋_GBK"/>
          <w:b w:val="0"/>
          <w:sz w:val="32"/>
          <w:szCs w:val="32"/>
        </w:rPr>
        <w:t>。</w:t>
      </w:r>
    </w:p>
    <w:p>
      <w:pPr>
        <w:ind w:firstLine="562" w:firstLineChars="200"/>
        <w:jc w:val="cente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表7  2018年常住居民人均可支配收入</w:t>
      </w:r>
    </w:p>
    <w:tbl>
      <w:tblPr>
        <w:tblStyle w:val="9"/>
        <w:tblW w:w="8140" w:type="dxa"/>
        <w:tblInd w:w="0" w:type="dxa"/>
        <w:tblLayout w:type="fixed"/>
        <w:tblCellMar>
          <w:top w:w="15" w:type="dxa"/>
          <w:left w:w="15" w:type="dxa"/>
          <w:bottom w:w="15" w:type="dxa"/>
          <w:right w:w="15" w:type="dxa"/>
        </w:tblCellMar>
      </w:tblPr>
      <w:tblGrid>
        <w:gridCol w:w="1890"/>
        <w:gridCol w:w="985"/>
        <w:gridCol w:w="1087"/>
        <w:gridCol w:w="985"/>
        <w:gridCol w:w="1118"/>
        <w:gridCol w:w="985"/>
        <w:gridCol w:w="1090"/>
      </w:tblGrid>
      <w:tr>
        <w:tblPrEx>
          <w:tblLayout w:type="fixed"/>
          <w:tblCellMar>
            <w:top w:w="15" w:type="dxa"/>
            <w:left w:w="15" w:type="dxa"/>
            <w:bottom w:w="15" w:type="dxa"/>
            <w:right w:w="15" w:type="dxa"/>
          </w:tblCellMar>
        </w:tblPrEx>
        <w:trPr>
          <w:trHeight w:val="555" w:hRule="atLeast"/>
        </w:trPr>
        <w:tc>
          <w:tcPr>
            <w:tcW w:w="1890"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207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全区常住居民 </w:t>
            </w:r>
          </w:p>
        </w:tc>
        <w:tc>
          <w:tcPr>
            <w:tcW w:w="21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城镇常住居民</w:t>
            </w:r>
          </w:p>
        </w:tc>
        <w:tc>
          <w:tcPr>
            <w:tcW w:w="2075"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农村常住居民 </w:t>
            </w:r>
          </w:p>
        </w:tc>
      </w:tr>
      <w:tr>
        <w:tblPrEx>
          <w:tblLayout w:type="fixed"/>
          <w:tblCellMar>
            <w:top w:w="15" w:type="dxa"/>
            <w:left w:w="15" w:type="dxa"/>
            <w:bottom w:w="15" w:type="dxa"/>
            <w:right w:w="15" w:type="dxa"/>
          </w:tblCellMar>
        </w:tblPrEx>
        <w:trPr>
          <w:trHeight w:val="936" w:hRule="atLeast"/>
        </w:trPr>
        <w:tc>
          <w:tcPr>
            <w:tcW w:w="1890" w:type="dxa"/>
            <w:vMerge w:val="continue"/>
            <w:tcBorders>
              <w:top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118"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c>
          <w:tcPr>
            <w:tcW w:w="9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绝对量（元）</w:t>
            </w:r>
          </w:p>
        </w:tc>
        <w:tc>
          <w:tcPr>
            <w:tcW w:w="1090" w:type="dxa"/>
            <w:tcBorders>
              <w:top w:val="single" w:color="000000" w:sz="4" w:space="0"/>
              <w:left w:val="single" w:color="000000" w:sz="4" w:space="0"/>
              <w:bottom w:val="single" w:color="auto" w:sz="4" w:space="0"/>
            </w:tcBorders>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比上年增长（%）</w:t>
            </w:r>
          </w:p>
        </w:tc>
      </w:tr>
      <w:tr>
        <w:tblPrEx>
          <w:tblLayout w:type="fixed"/>
          <w:tblCellMar>
            <w:top w:w="15" w:type="dxa"/>
            <w:left w:w="15" w:type="dxa"/>
            <w:bottom w:w="15" w:type="dxa"/>
            <w:right w:w="15" w:type="dxa"/>
          </w:tblCellMar>
        </w:tblPrEx>
        <w:trPr>
          <w:trHeight w:val="555" w:hRule="atLeast"/>
        </w:trPr>
        <w:tc>
          <w:tcPr>
            <w:tcW w:w="1890" w:type="dxa"/>
            <w:tcBorders>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人均可支配收入</w:t>
            </w:r>
          </w:p>
        </w:tc>
        <w:tc>
          <w:tcPr>
            <w:tcW w:w="985" w:type="dxa"/>
            <w:tcBorders>
              <w:top w:val="single" w:color="auto" w:sz="4" w:space="0"/>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26926</w:t>
            </w:r>
          </w:p>
        </w:tc>
        <w:tc>
          <w:tcPr>
            <w:tcW w:w="1087" w:type="dxa"/>
            <w:tcBorders>
              <w:top w:val="single" w:color="auto" w:sz="4" w:space="0"/>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10.2</w:t>
            </w:r>
          </w:p>
        </w:tc>
        <w:tc>
          <w:tcPr>
            <w:tcW w:w="985" w:type="dxa"/>
            <w:tcBorders>
              <w:top w:val="single" w:color="auto" w:sz="4" w:space="0"/>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35066</w:t>
            </w:r>
          </w:p>
        </w:tc>
        <w:tc>
          <w:tcPr>
            <w:tcW w:w="1118" w:type="dxa"/>
            <w:tcBorders>
              <w:top w:val="single" w:color="auto" w:sz="4" w:space="0"/>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8.8</w:t>
            </w:r>
          </w:p>
        </w:tc>
        <w:tc>
          <w:tcPr>
            <w:tcW w:w="985" w:type="dxa"/>
            <w:tcBorders>
              <w:top w:val="single" w:color="auto" w:sz="4" w:space="0"/>
              <w:left w:val="nil"/>
              <w:bottom w:val="nil"/>
              <w:right w:val="nil"/>
            </w:tcBorders>
            <w:shd w:val="clear" w:color="auto" w:fill="auto"/>
            <w:vAlign w:val="center"/>
          </w:tcPr>
          <w:p>
            <w:pPr>
              <w:widowControl/>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17051</w:t>
            </w:r>
          </w:p>
        </w:tc>
        <w:tc>
          <w:tcPr>
            <w:tcW w:w="1090" w:type="dxa"/>
            <w:tcBorders>
              <w:top w:val="single" w:color="auto" w:sz="4" w:space="0"/>
              <w:left w:val="nil"/>
              <w:bottom w:val="nil"/>
            </w:tcBorders>
            <w:shd w:val="clear" w:color="auto" w:fill="FFFFFF"/>
            <w:vAlign w:val="center"/>
          </w:tcPr>
          <w:p>
            <w:pPr>
              <w:widowControl/>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8.7</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工资性收入</w:t>
            </w:r>
          </w:p>
        </w:tc>
        <w:tc>
          <w:tcPr>
            <w:tcW w:w="985" w:type="dxa"/>
            <w:tcBorders>
              <w:top w:val="nil"/>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14039</w:t>
            </w:r>
          </w:p>
        </w:tc>
        <w:tc>
          <w:tcPr>
            <w:tcW w:w="1087"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11.0</w:t>
            </w:r>
          </w:p>
        </w:tc>
        <w:tc>
          <w:tcPr>
            <w:tcW w:w="98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20749</w:t>
            </w:r>
          </w:p>
        </w:tc>
        <w:tc>
          <w:tcPr>
            <w:tcW w:w="111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8.7</w:t>
            </w:r>
          </w:p>
        </w:tc>
        <w:tc>
          <w:tcPr>
            <w:tcW w:w="985" w:type="dxa"/>
            <w:tcBorders>
              <w:top w:val="nil"/>
              <w:left w:val="nil"/>
              <w:bottom w:val="nil"/>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5899</w:t>
            </w:r>
          </w:p>
        </w:tc>
        <w:tc>
          <w:tcPr>
            <w:tcW w:w="1090" w:type="dxa"/>
            <w:tcBorders>
              <w:top w:val="nil"/>
              <w:left w:val="nil"/>
              <w:bottom w:val="nil"/>
            </w:tcBorders>
            <w:shd w:val="clear" w:color="auto" w:fill="FFFFFF"/>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8.9</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  经营净收入</w:t>
            </w:r>
          </w:p>
        </w:tc>
        <w:tc>
          <w:tcPr>
            <w:tcW w:w="985" w:type="dxa"/>
            <w:tcBorders>
              <w:top w:val="nil"/>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4770</w:t>
            </w:r>
          </w:p>
        </w:tc>
        <w:tc>
          <w:tcPr>
            <w:tcW w:w="1087"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8.0</w:t>
            </w:r>
          </w:p>
        </w:tc>
        <w:tc>
          <w:tcPr>
            <w:tcW w:w="98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3877</w:t>
            </w:r>
          </w:p>
        </w:tc>
        <w:tc>
          <w:tcPr>
            <w:tcW w:w="111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10.0</w:t>
            </w:r>
          </w:p>
        </w:tc>
        <w:tc>
          <w:tcPr>
            <w:tcW w:w="985" w:type="dxa"/>
            <w:tcBorders>
              <w:top w:val="nil"/>
              <w:left w:val="nil"/>
              <w:bottom w:val="nil"/>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5854</w:t>
            </w:r>
          </w:p>
        </w:tc>
        <w:tc>
          <w:tcPr>
            <w:tcW w:w="1090" w:type="dxa"/>
            <w:tcBorders>
              <w:top w:val="nil"/>
              <w:left w:val="nil"/>
              <w:bottom w:val="nil"/>
            </w:tcBorders>
            <w:shd w:val="clear" w:color="auto" w:fill="FFFFFF"/>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8.0</w:t>
            </w:r>
          </w:p>
        </w:tc>
      </w:tr>
      <w:tr>
        <w:tblPrEx>
          <w:tblLayout w:type="fixed"/>
          <w:tblCellMar>
            <w:top w:w="15" w:type="dxa"/>
            <w:left w:w="15" w:type="dxa"/>
            <w:bottom w:w="15" w:type="dxa"/>
            <w:right w:w="15" w:type="dxa"/>
          </w:tblCellMar>
        </w:tblPrEx>
        <w:trPr>
          <w:trHeight w:val="555"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财产净收入</w:t>
            </w:r>
          </w:p>
        </w:tc>
        <w:tc>
          <w:tcPr>
            <w:tcW w:w="985" w:type="dxa"/>
            <w:tcBorders>
              <w:top w:val="nil"/>
              <w:left w:val="single" w:color="auto" w:sz="4" w:space="0"/>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1444</w:t>
            </w:r>
          </w:p>
        </w:tc>
        <w:tc>
          <w:tcPr>
            <w:tcW w:w="1087"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9.0</w:t>
            </w:r>
          </w:p>
        </w:tc>
        <w:tc>
          <w:tcPr>
            <w:tcW w:w="98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2440</w:t>
            </w:r>
          </w:p>
        </w:tc>
        <w:tc>
          <w:tcPr>
            <w:tcW w:w="1118" w:type="dxa"/>
            <w:tcBorders>
              <w:top w:val="nil"/>
              <w:left w:val="nil"/>
              <w:bottom w:val="nil"/>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5.6</w:t>
            </w:r>
          </w:p>
        </w:tc>
        <w:tc>
          <w:tcPr>
            <w:tcW w:w="985" w:type="dxa"/>
            <w:tcBorders>
              <w:top w:val="nil"/>
              <w:left w:val="nil"/>
              <w:bottom w:val="nil"/>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236</w:t>
            </w:r>
          </w:p>
        </w:tc>
        <w:tc>
          <w:tcPr>
            <w:tcW w:w="1090" w:type="dxa"/>
            <w:tcBorders>
              <w:top w:val="nil"/>
              <w:left w:val="nil"/>
              <w:bottom w:val="nil"/>
            </w:tcBorders>
            <w:shd w:val="clear" w:color="auto" w:fill="FFFFFF"/>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8.3</w:t>
            </w:r>
          </w:p>
        </w:tc>
      </w:tr>
      <w:tr>
        <w:tblPrEx>
          <w:tblLayout w:type="fixed"/>
          <w:tblCellMar>
            <w:top w:w="15" w:type="dxa"/>
            <w:left w:w="15" w:type="dxa"/>
            <w:bottom w:w="15" w:type="dxa"/>
            <w:right w:w="15" w:type="dxa"/>
          </w:tblCellMar>
        </w:tblPrEx>
        <w:trPr>
          <w:trHeight w:val="582" w:hRule="atLeast"/>
        </w:trPr>
        <w:tc>
          <w:tcPr>
            <w:tcW w:w="1890" w:type="dxa"/>
            <w:tcBorders>
              <w:top w:val="single" w:color="000000" w:sz="4" w:space="0"/>
              <w:bottom w:val="single" w:color="000000" w:sz="4" w:space="0"/>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 xml:space="preserve">  转移净收入</w:t>
            </w:r>
          </w:p>
        </w:tc>
        <w:tc>
          <w:tcPr>
            <w:tcW w:w="985"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6673</w:t>
            </w:r>
          </w:p>
        </w:tc>
        <w:tc>
          <w:tcPr>
            <w:tcW w:w="1087" w:type="dxa"/>
            <w:tcBorders>
              <w:top w:val="nil"/>
              <w:left w:val="nil"/>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10.3</w:t>
            </w:r>
          </w:p>
        </w:tc>
        <w:tc>
          <w:tcPr>
            <w:tcW w:w="985" w:type="dxa"/>
            <w:tcBorders>
              <w:top w:val="nil"/>
              <w:left w:val="nil"/>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8000</w:t>
            </w:r>
          </w:p>
        </w:tc>
        <w:tc>
          <w:tcPr>
            <w:tcW w:w="1118" w:type="dxa"/>
            <w:tcBorders>
              <w:top w:val="nil"/>
              <w:left w:val="nil"/>
              <w:bottom w:val="single" w:color="auto" w:sz="4" w:space="0"/>
              <w:right w:val="nil"/>
            </w:tcBorders>
            <w:shd w:val="clear" w:color="auto" w:fill="FFFFFF"/>
            <w:vAlign w:val="center"/>
          </w:tcPr>
          <w:p>
            <w:pPr>
              <w:widowControl/>
              <w:jc w:val="center"/>
              <w:textAlignment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9.4</w:t>
            </w:r>
          </w:p>
        </w:tc>
        <w:tc>
          <w:tcPr>
            <w:tcW w:w="985" w:type="dxa"/>
            <w:tcBorders>
              <w:top w:val="nil"/>
              <w:left w:val="nil"/>
              <w:bottom w:val="single" w:color="auto" w:sz="4" w:space="0"/>
              <w:right w:val="nil"/>
            </w:tcBorders>
            <w:shd w:val="clear" w:color="auto" w:fill="auto"/>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5062</w:t>
            </w:r>
          </w:p>
        </w:tc>
        <w:tc>
          <w:tcPr>
            <w:tcW w:w="1090" w:type="dxa"/>
            <w:tcBorders>
              <w:top w:val="nil"/>
              <w:left w:val="nil"/>
              <w:bottom w:val="single" w:color="auto" w:sz="4" w:space="0"/>
            </w:tcBorders>
            <w:shd w:val="clear" w:color="auto" w:fill="FFFFFF"/>
            <w:vAlign w:val="center"/>
          </w:tcPr>
          <w:p>
            <w:pPr>
              <w:jc w:val="center"/>
              <w:rPr>
                <w:rFonts w:ascii="方正仿宋_GBK" w:hAnsi="方正仿宋_GBK" w:eastAsia="方正仿宋_GBK" w:cs="方正仿宋_GBK"/>
                <w:color w:val="000000"/>
                <w:kern w:val="0"/>
                <w:sz w:val="24"/>
              </w:rPr>
            </w:pPr>
            <w:r>
              <w:rPr>
                <w:rFonts w:ascii="方正仿宋_GBK" w:hAnsi="方正仿宋_GBK" w:eastAsia="方正仿宋_GBK" w:cs="方正仿宋_GBK"/>
                <w:color w:val="000000"/>
                <w:kern w:val="0"/>
                <w:sz w:val="24"/>
              </w:rPr>
              <w:t>9.3</w:t>
            </w:r>
          </w:p>
        </w:tc>
      </w:tr>
    </w:tbl>
    <w:p>
      <w:pPr>
        <w:pStyle w:val="5"/>
        <w:tabs>
          <w:tab w:val="left" w:pos="1081"/>
        </w:tabs>
        <w:spacing w:before="0" w:beforeAutospacing="0" w:after="0" w:afterAutospacing="0"/>
        <w:ind w:right="44" w:firstLine="640" w:firstLineChars="200"/>
        <w:jc w:val="both"/>
        <w:rPr>
          <w:rStyle w:val="7"/>
          <w:rFonts w:ascii="方正仿宋_GBK" w:hAnsi="方正仿宋_GBK" w:eastAsia="方正仿宋_GBK" w:cs="方正仿宋_GBK"/>
          <w:b w:val="0"/>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社会保障建设稳步推进。全区城镇企业职工基本养老保险参保人数为</w:t>
      </w:r>
      <w:r>
        <w:rPr>
          <w:rStyle w:val="7"/>
          <w:rFonts w:ascii="方正仿宋_GBK" w:hAnsi="方正仿宋_GBK" w:eastAsia="方正仿宋_GBK" w:cs="方正仿宋_GBK"/>
          <w:b w:val="0"/>
          <w:color w:val="000000" w:themeColor="text1"/>
          <w:sz w:val="32"/>
          <w:szCs w:val="32"/>
          <w14:textFill>
            <w14:solidFill>
              <w14:schemeClr w14:val="tx1"/>
            </w14:solidFill>
          </w14:textFill>
        </w:rPr>
        <w:t>107193</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人，比上年增长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8.5</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%。参加城乡居民基本养老保险人数34.32万人，比上年增长0.2%。城镇职工基本医疗保险参保人数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91226</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5.9</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%；城乡居民合作医疗保险参保人数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678779</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人，下降</w:t>
      </w:r>
      <w:r>
        <w:rPr>
          <w:rStyle w:val="7"/>
          <w:rFonts w:ascii="方正仿宋_GBK" w:hAnsi="方正仿宋_GBK" w:eastAsia="方正仿宋_GBK" w:cs="方正仿宋_GBK"/>
          <w:b w:val="0"/>
          <w:color w:val="000000" w:themeColor="text1"/>
          <w:sz w:val="32"/>
          <w:szCs w:val="32"/>
          <w14:textFill>
            <w14:solidFill>
              <w14:schemeClr w14:val="tx1"/>
            </w14:solidFill>
          </w14:textFill>
        </w:rPr>
        <w:t>0.3</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%，全年城乡居民合作医疗基金总支出</w:t>
      </w:r>
      <w:r>
        <w:rPr>
          <w:rStyle w:val="7"/>
          <w:rFonts w:ascii="方正仿宋_GBK" w:hAnsi="方正仿宋_GBK" w:eastAsia="方正仿宋_GBK" w:cs="方正仿宋_GBK"/>
          <w:b w:val="0"/>
          <w:color w:val="000000" w:themeColor="text1"/>
          <w:sz w:val="32"/>
          <w:szCs w:val="32"/>
          <w14:textFill>
            <w14:solidFill>
              <w14:schemeClr w14:val="tx1"/>
            </w14:solidFill>
          </w14:textFill>
        </w:rPr>
        <w:t>44834</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万元。工伤保险参保人数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91801</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3.9</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％；生育保险参保人数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48407</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人，增长</w:t>
      </w:r>
      <w:r>
        <w:rPr>
          <w:rStyle w:val="7"/>
          <w:rFonts w:ascii="方正仿宋_GBK" w:hAnsi="方正仿宋_GBK" w:eastAsia="方正仿宋_GBK" w:cs="方正仿宋_GBK"/>
          <w:b w:val="0"/>
          <w:color w:val="000000" w:themeColor="text1"/>
          <w:sz w:val="32"/>
          <w:szCs w:val="32"/>
          <w14:textFill>
            <w14:solidFill>
              <w14:schemeClr w14:val="tx1"/>
            </w14:solidFill>
          </w14:textFill>
        </w:rPr>
        <w:t>6.1</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％。领取失业保险金人数</w:t>
      </w:r>
      <w:r>
        <w:rPr>
          <w:rStyle w:val="7"/>
          <w:rFonts w:ascii="方正仿宋_GBK" w:hAnsi="方正仿宋_GBK" w:eastAsia="方正仿宋_GBK" w:cs="方正仿宋_GBK"/>
          <w:b w:val="0"/>
          <w:color w:val="000000" w:themeColor="text1"/>
          <w:sz w:val="32"/>
          <w:szCs w:val="32"/>
          <w14:textFill>
            <w14:solidFill>
              <w14:schemeClr w14:val="tx1"/>
            </w14:solidFill>
          </w14:textFill>
        </w:rPr>
        <w:t>1546</w:t>
      </w:r>
      <w:r>
        <w:rPr>
          <w:rStyle w:val="7"/>
          <w:rFonts w:hint="eastAsia" w:ascii="方正仿宋_GBK" w:hAnsi="方正仿宋_GBK" w:eastAsia="方正仿宋_GBK" w:cs="方正仿宋_GBK"/>
          <w:b w:val="0"/>
          <w:color w:val="000000" w:themeColor="text1"/>
          <w:sz w:val="32"/>
          <w:szCs w:val="32"/>
          <w14:textFill>
            <w14:solidFill>
              <w14:schemeClr w14:val="tx1"/>
            </w14:solidFill>
          </w14:textFill>
        </w:rPr>
        <w:t>人，下降13.1 %。</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十、教育、科学技术和文化</w:t>
      </w:r>
    </w:p>
    <w:p>
      <w:pPr>
        <w:pStyle w:val="5"/>
        <w:spacing w:before="0" w:beforeAutospacing="0" w:after="0" w:afterAutospacing="0"/>
        <w:ind w:left="44" w:right="44"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全区共有区属各类学校291所。其中，普通中学 20所（含4所高完中），中等职业学校2 所，小学 124所，幼儿园144所，特殊学校１所。普通初中招生8544人，在校生</w:t>
      </w:r>
      <w:r>
        <w:rPr>
          <w:rFonts w:ascii="方正仿宋_GBK" w:hAnsi="方正仿宋_GBK" w:eastAsia="方正仿宋_GBK" w:cs="方正仿宋_GBK"/>
          <w:kern w:val="2"/>
          <w:sz w:val="32"/>
          <w:szCs w:val="32"/>
        </w:rPr>
        <w:t>25025</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7309</w:t>
      </w:r>
      <w:r>
        <w:rPr>
          <w:rFonts w:hint="eastAsia" w:ascii="方正仿宋_GBK" w:hAnsi="方正仿宋_GBK" w:eastAsia="方正仿宋_GBK" w:cs="方正仿宋_GBK"/>
          <w:kern w:val="2"/>
          <w:sz w:val="32"/>
          <w:szCs w:val="32"/>
        </w:rPr>
        <w:t>人；普通高中招生</w:t>
      </w:r>
      <w:r>
        <w:rPr>
          <w:rFonts w:ascii="方正仿宋_GBK" w:hAnsi="方正仿宋_GBK" w:eastAsia="方正仿宋_GBK" w:cs="方正仿宋_GBK"/>
          <w:kern w:val="2"/>
          <w:sz w:val="32"/>
          <w:szCs w:val="32"/>
        </w:rPr>
        <w:t>4525</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13546</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4525</w:t>
      </w:r>
      <w:r>
        <w:rPr>
          <w:rFonts w:hint="eastAsia" w:ascii="方正仿宋_GBK" w:hAnsi="方正仿宋_GBK" w:eastAsia="方正仿宋_GBK" w:cs="方正仿宋_GBK"/>
          <w:kern w:val="2"/>
          <w:sz w:val="32"/>
          <w:szCs w:val="32"/>
        </w:rPr>
        <w:t>人；小学招生</w:t>
      </w:r>
      <w:r>
        <w:rPr>
          <w:rFonts w:ascii="方正仿宋_GBK" w:hAnsi="方正仿宋_GBK" w:eastAsia="方正仿宋_GBK" w:cs="方正仿宋_GBK"/>
          <w:kern w:val="2"/>
          <w:sz w:val="32"/>
          <w:szCs w:val="32"/>
        </w:rPr>
        <w:t>6862</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47239</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8504</w:t>
      </w:r>
      <w:r>
        <w:rPr>
          <w:rFonts w:hint="eastAsia" w:ascii="方正仿宋_GBK" w:hAnsi="方正仿宋_GBK" w:eastAsia="方正仿宋_GBK" w:cs="方正仿宋_GBK"/>
          <w:kern w:val="2"/>
          <w:sz w:val="32"/>
          <w:szCs w:val="32"/>
        </w:rPr>
        <w:t>人；中等职业学校招生</w:t>
      </w:r>
      <w:r>
        <w:rPr>
          <w:rFonts w:ascii="方正仿宋_GBK" w:hAnsi="方正仿宋_GBK" w:eastAsia="方正仿宋_GBK" w:cs="方正仿宋_GBK"/>
          <w:kern w:val="2"/>
          <w:sz w:val="32"/>
          <w:szCs w:val="32"/>
        </w:rPr>
        <w:t>2033</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5191</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1378</w:t>
      </w:r>
      <w:r>
        <w:rPr>
          <w:rFonts w:hint="eastAsia" w:ascii="方正仿宋_GBK" w:hAnsi="方正仿宋_GBK" w:eastAsia="方正仿宋_GBK" w:cs="方正仿宋_GBK"/>
          <w:kern w:val="2"/>
          <w:sz w:val="32"/>
          <w:szCs w:val="32"/>
        </w:rPr>
        <w:t>人；学前教育招生</w:t>
      </w:r>
      <w:r>
        <w:rPr>
          <w:rFonts w:ascii="方正仿宋_GBK" w:hAnsi="方正仿宋_GBK" w:eastAsia="方正仿宋_GBK" w:cs="方正仿宋_GBK"/>
          <w:kern w:val="2"/>
          <w:sz w:val="32"/>
          <w:szCs w:val="32"/>
        </w:rPr>
        <w:t>8475</w:t>
      </w:r>
      <w:r>
        <w:rPr>
          <w:rFonts w:hint="eastAsia" w:ascii="方正仿宋_GBK" w:hAnsi="方正仿宋_GBK" w:eastAsia="方正仿宋_GBK" w:cs="方正仿宋_GBK"/>
          <w:kern w:val="2"/>
          <w:sz w:val="32"/>
          <w:szCs w:val="32"/>
        </w:rPr>
        <w:t>人，在校生</w:t>
      </w:r>
      <w:r>
        <w:rPr>
          <w:rFonts w:ascii="方正仿宋_GBK" w:hAnsi="方正仿宋_GBK" w:eastAsia="方正仿宋_GBK" w:cs="方正仿宋_GBK"/>
          <w:kern w:val="2"/>
          <w:sz w:val="32"/>
          <w:szCs w:val="32"/>
        </w:rPr>
        <w:t>20399</w:t>
      </w:r>
      <w:r>
        <w:rPr>
          <w:rFonts w:hint="eastAsia" w:ascii="方正仿宋_GBK" w:hAnsi="方正仿宋_GBK" w:eastAsia="方正仿宋_GBK" w:cs="方正仿宋_GBK"/>
          <w:kern w:val="2"/>
          <w:sz w:val="32"/>
          <w:szCs w:val="32"/>
        </w:rPr>
        <w:t>人，毕业生8400人；特殊学校招生16人，在校生</w:t>
      </w:r>
      <w:r>
        <w:rPr>
          <w:rFonts w:ascii="方正仿宋_GBK" w:hAnsi="方正仿宋_GBK" w:eastAsia="方正仿宋_GBK" w:cs="方正仿宋_GBK"/>
          <w:kern w:val="2"/>
          <w:sz w:val="32"/>
          <w:szCs w:val="32"/>
        </w:rPr>
        <w:t>182</w:t>
      </w:r>
      <w:r>
        <w:rPr>
          <w:rFonts w:hint="eastAsia" w:ascii="方正仿宋_GBK" w:hAnsi="方正仿宋_GBK" w:eastAsia="方正仿宋_GBK" w:cs="方正仿宋_GBK"/>
          <w:kern w:val="2"/>
          <w:sz w:val="32"/>
          <w:szCs w:val="32"/>
        </w:rPr>
        <w:t>人，毕业生</w:t>
      </w:r>
      <w:r>
        <w:rPr>
          <w:rFonts w:ascii="方正仿宋_GBK" w:hAnsi="方正仿宋_GBK" w:eastAsia="方正仿宋_GBK" w:cs="方正仿宋_GBK"/>
          <w:kern w:val="2"/>
          <w:sz w:val="32"/>
          <w:szCs w:val="32"/>
        </w:rPr>
        <w:t>17</w:t>
      </w:r>
      <w:r>
        <w:rPr>
          <w:rFonts w:hint="eastAsia" w:ascii="方正仿宋_GBK" w:hAnsi="方正仿宋_GBK" w:eastAsia="方正仿宋_GBK" w:cs="方正仿宋_GBK"/>
          <w:kern w:val="2"/>
          <w:sz w:val="32"/>
          <w:szCs w:val="32"/>
        </w:rPr>
        <w:t>人。2018年全年全区初中入学率为100%，小学的入学率为100%。</w:t>
      </w:r>
    </w:p>
    <w:p>
      <w:pPr>
        <w:pStyle w:val="5"/>
        <w:spacing w:before="0" w:beforeAutospacing="0" w:after="0" w:afterAutospacing="0"/>
        <w:ind w:right="44"/>
        <w:jc w:val="both"/>
        <w:rPr>
          <w:rFonts w:ascii="方正仿宋_GBK" w:hAnsi="方正仿宋_GBK" w:eastAsia="方正仿宋_GBK" w:cs="方正仿宋_GBK"/>
          <w:kern w:val="2"/>
          <w:sz w:val="32"/>
          <w:szCs w:val="32"/>
        </w:rPr>
      </w:pPr>
      <w:r>
        <w:drawing>
          <wp:inline distT="0" distB="0" distL="0" distR="0">
            <wp:extent cx="5057775" cy="2819400"/>
            <wp:effectExtent l="0" t="0" r="9525"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
        <w:tabs>
          <w:tab w:val="left" w:pos="796"/>
        </w:tabs>
        <w:spacing w:before="0" w:beforeAutospacing="0" w:after="0" w:afterAutospacing="0"/>
        <w:ind w:left="45" w:right="45" w:firstLine="560" w:firstLineChars="200"/>
        <w:jc w:val="both"/>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ab/>
      </w:r>
      <w:r>
        <w:rPr>
          <w:rFonts w:hint="eastAsia" w:ascii="方正仿宋_GBK" w:hAnsi="方正仿宋_GBK" w:eastAsia="方正仿宋_GBK" w:cs="方正仿宋_GBK"/>
          <w:kern w:val="2"/>
          <w:sz w:val="28"/>
          <w:szCs w:val="28"/>
        </w:rPr>
        <w:tab/>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全年高新技术企业44家，</w:t>
      </w:r>
      <w:r>
        <w:rPr>
          <w:rFonts w:ascii="方正仿宋_GBK" w:hAnsi="方正仿宋_GBK" w:eastAsia="方正仿宋_GBK" w:cs="方正仿宋_GBK"/>
          <w:kern w:val="2"/>
          <w:sz w:val="32"/>
          <w:szCs w:val="32"/>
        </w:rPr>
        <w:t>市级科技型企业</w:t>
      </w:r>
      <w:r>
        <w:rPr>
          <w:rFonts w:hint="eastAsia" w:ascii="方正仿宋_GBK" w:hAnsi="方正仿宋_GBK" w:eastAsia="方正仿宋_GBK" w:cs="方正仿宋_GBK"/>
          <w:kern w:val="2"/>
          <w:sz w:val="32"/>
          <w:szCs w:val="32"/>
        </w:rPr>
        <w:t>280家；高新技术产品200个。全年获得专利授权491件。</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全区共有中国驰名商标3件；地理标志量5件。</w:t>
      </w:r>
    </w:p>
    <w:p>
      <w:pPr>
        <w:pStyle w:val="5"/>
        <w:spacing w:before="0" w:beforeAutospacing="0" w:after="0" w:afterAutospacing="0"/>
        <w:ind w:left="45" w:right="45" w:firstLine="640" w:firstLineChars="200"/>
        <w:jc w:val="both"/>
        <w:rPr>
          <w:rFonts w:ascii="方正仿宋_GBK" w:hAnsi="方正仿宋_GBK" w:eastAsia="方正仿宋_GBK" w:cs="方正仿宋_GBK"/>
          <w:color w:val="0000FF"/>
          <w:kern w:val="2"/>
          <w:sz w:val="32"/>
          <w:szCs w:val="32"/>
        </w:rPr>
      </w:pPr>
      <w:r>
        <w:rPr>
          <w:rFonts w:hint="eastAsia" w:ascii="方正仿宋_GBK" w:hAnsi="方正仿宋_GBK" w:eastAsia="方正仿宋_GBK" w:cs="方正仿宋_GBK"/>
          <w:kern w:val="2"/>
          <w:sz w:val="32"/>
          <w:szCs w:val="32"/>
        </w:rPr>
        <w:t>全区共有文化馆1个，图书馆1个。有线电视用户</w:t>
      </w:r>
      <w:r>
        <w:rPr>
          <w:rFonts w:ascii="方正仿宋_GBK" w:hAnsi="方正仿宋_GBK" w:eastAsia="方正仿宋_GBK" w:cs="方正仿宋_GBK"/>
          <w:kern w:val="2"/>
          <w:sz w:val="32"/>
          <w:szCs w:val="32"/>
        </w:rPr>
        <w:t>12.53</w:t>
      </w:r>
      <w:r>
        <w:rPr>
          <w:rFonts w:hint="eastAsia" w:ascii="方正仿宋_GBK" w:hAnsi="方正仿宋_GBK" w:eastAsia="方正仿宋_GBK" w:cs="方正仿宋_GBK"/>
          <w:kern w:val="2"/>
          <w:sz w:val="32"/>
          <w:szCs w:val="32"/>
        </w:rPr>
        <w:t>万户，其中数字电视用户</w:t>
      </w:r>
      <w:r>
        <w:rPr>
          <w:rFonts w:ascii="方正仿宋_GBK" w:hAnsi="方正仿宋_GBK" w:eastAsia="方正仿宋_GBK" w:cs="方正仿宋_GBK"/>
          <w:kern w:val="2"/>
          <w:sz w:val="32"/>
          <w:szCs w:val="32"/>
        </w:rPr>
        <w:t>8.93</w:t>
      </w:r>
      <w:r>
        <w:rPr>
          <w:rFonts w:hint="eastAsia" w:ascii="方正仿宋_GBK" w:hAnsi="方正仿宋_GBK" w:eastAsia="方正仿宋_GBK" w:cs="方正仿宋_GBK"/>
          <w:kern w:val="2"/>
          <w:sz w:val="32"/>
          <w:szCs w:val="32"/>
        </w:rPr>
        <w:t>万户。乡镇文化站21个。</w:t>
      </w:r>
    </w:p>
    <w:p>
      <w:pPr>
        <w:pStyle w:val="5"/>
        <w:spacing w:before="0" w:beforeAutospacing="0" w:after="0" w:afterAutospacing="0"/>
        <w:ind w:left="45" w:right="45"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十一、卫生和社会服务</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各级各类医疗卫生机构446个（含村卫生室），其中，医院13个，乡镇卫生院15个，社区卫生服务中心6个，诊所（门诊部、医务室）137个，村卫生室271个，疾病预防控制中心1个，卫生监督局1个，中心血库1个，卫生计生培训学校1所。共有医疗卫生机构实有床位数4499张。全区共有卫生技术人员4689人，其中执业医师和执业助理医师1858人，注册护士1930人。</w:t>
      </w:r>
    </w:p>
    <w:p>
      <w:pPr>
        <w:pStyle w:val="5"/>
        <w:spacing w:before="0" w:beforeAutospacing="0" w:after="0" w:afterAutospacing="0"/>
        <w:ind w:left="45" w:right="45"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年末全区共有</w:t>
      </w:r>
      <w:r>
        <w:rPr>
          <w:rFonts w:ascii="方正仿宋_GBK" w:hAnsi="方正仿宋_GBK" w:eastAsia="方正仿宋_GBK" w:cs="方正仿宋_GBK"/>
          <w:kern w:val="2"/>
          <w:sz w:val="32"/>
          <w:szCs w:val="32"/>
        </w:rPr>
        <w:t>8671</w:t>
      </w:r>
      <w:r>
        <w:rPr>
          <w:rFonts w:hint="eastAsia" w:ascii="方正仿宋_GBK" w:hAnsi="方正仿宋_GBK" w:eastAsia="方正仿宋_GBK" w:cs="方正仿宋_GBK"/>
          <w:kern w:val="2"/>
          <w:sz w:val="32"/>
          <w:szCs w:val="32"/>
        </w:rPr>
        <w:t>户</w:t>
      </w:r>
      <w:r>
        <w:rPr>
          <w:rFonts w:ascii="方正仿宋_GBK" w:hAnsi="方正仿宋_GBK" w:eastAsia="方正仿宋_GBK" w:cs="方正仿宋_GBK"/>
          <w:kern w:val="2"/>
          <w:sz w:val="32"/>
          <w:szCs w:val="32"/>
        </w:rPr>
        <w:t>14694</w:t>
      </w:r>
      <w:r>
        <w:rPr>
          <w:rFonts w:hint="eastAsia" w:ascii="方正仿宋_GBK" w:hAnsi="方正仿宋_GBK" w:eastAsia="方正仿宋_GBK" w:cs="方正仿宋_GBK"/>
          <w:kern w:val="2"/>
          <w:sz w:val="32"/>
          <w:szCs w:val="32"/>
        </w:rPr>
        <w:t>人享受城乡居民最低生活保障，比上年增加</w:t>
      </w:r>
      <w:r>
        <w:rPr>
          <w:rFonts w:ascii="方正仿宋_GBK" w:hAnsi="方正仿宋_GBK" w:eastAsia="方正仿宋_GBK" w:cs="方正仿宋_GBK"/>
          <w:kern w:val="2"/>
          <w:sz w:val="32"/>
          <w:szCs w:val="32"/>
        </w:rPr>
        <w:t>1144</w:t>
      </w:r>
      <w:r>
        <w:rPr>
          <w:rFonts w:hint="eastAsia" w:ascii="方正仿宋_GBK" w:hAnsi="方正仿宋_GBK" w:eastAsia="方正仿宋_GBK" w:cs="方正仿宋_GBK"/>
          <w:kern w:val="2"/>
          <w:sz w:val="32"/>
          <w:szCs w:val="32"/>
        </w:rPr>
        <w:t>人，增长</w:t>
      </w:r>
      <w:r>
        <w:rPr>
          <w:rFonts w:ascii="方正仿宋_GBK" w:hAnsi="方正仿宋_GBK" w:eastAsia="方正仿宋_GBK" w:cs="方正仿宋_GBK"/>
          <w:kern w:val="2"/>
          <w:sz w:val="32"/>
          <w:szCs w:val="32"/>
        </w:rPr>
        <w:t>8.4</w:t>
      </w:r>
      <w:r>
        <w:rPr>
          <w:rFonts w:hint="eastAsia" w:ascii="方正仿宋_GBK" w:hAnsi="方正仿宋_GBK" w:eastAsia="方正仿宋_GBK" w:cs="方正仿宋_GBK"/>
          <w:kern w:val="2"/>
          <w:sz w:val="32"/>
          <w:szCs w:val="32"/>
        </w:rPr>
        <w:t>%，其中城镇居民最低生活保障人数为</w:t>
      </w:r>
      <w:r>
        <w:rPr>
          <w:rFonts w:ascii="方正仿宋_GBK" w:hAnsi="方正仿宋_GBK" w:eastAsia="方正仿宋_GBK" w:cs="方正仿宋_GBK"/>
          <w:kern w:val="2"/>
          <w:sz w:val="32"/>
          <w:szCs w:val="32"/>
        </w:rPr>
        <w:t>6162</w:t>
      </w:r>
      <w:r>
        <w:rPr>
          <w:rFonts w:hint="eastAsia" w:ascii="方正仿宋_GBK" w:hAnsi="方正仿宋_GBK" w:eastAsia="方正仿宋_GBK" w:cs="方正仿宋_GBK"/>
          <w:kern w:val="2"/>
          <w:sz w:val="32"/>
          <w:szCs w:val="32"/>
        </w:rPr>
        <w:t>人，比上年增加</w:t>
      </w:r>
      <w:r>
        <w:rPr>
          <w:rFonts w:ascii="方正仿宋_GBK" w:hAnsi="方正仿宋_GBK" w:eastAsia="方正仿宋_GBK" w:cs="方正仿宋_GBK"/>
          <w:kern w:val="2"/>
          <w:sz w:val="32"/>
          <w:szCs w:val="32"/>
        </w:rPr>
        <w:t>279</w:t>
      </w:r>
      <w:r>
        <w:rPr>
          <w:rFonts w:hint="eastAsia" w:ascii="方正仿宋_GBK" w:hAnsi="方正仿宋_GBK" w:eastAsia="方正仿宋_GBK" w:cs="方正仿宋_GBK"/>
          <w:kern w:val="2"/>
          <w:sz w:val="32"/>
          <w:szCs w:val="32"/>
        </w:rPr>
        <w:t>人，城镇居民最低生活保障</w:t>
      </w:r>
      <w:r>
        <w:rPr>
          <w:rFonts w:ascii="方正仿宋_GBK" w:hAnsi="方正仿宋_GBK" w:eastAsia="方正仿宋_GBK" w:cs="方正仿宋_GBK"/>
          <w:kern w:val="2"/>
          <w:sz w:val="32"/>
          <w:szCs w:val="32"/>
        </w:rPr>
        <w:t>3893</w:t>
      </w:r>
      <w:r>
        <w:rPr>
          <w:rFonts w:hint="eastAsia" w:ascii="方正仿宋_GBK" w:hAnsi="方正仿宋_GBK" w:eastAsia="方正仿宋_GBK" w:cs="方正仿宋_GBK"/>
          <w:kern w:val="2"/>
          <w:sz w:val="32"/>
          <w:szCs w:val="32"/>
        </w:rPr>
        <w:t>户，比上年增加</w:t>
      </w:r>
      <w:r>
        <w:rPr>
          <w:rFonts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rPr>
        <w:t>户；农村居民最低生活保障人数为</w:t>
      </w:r>
      <w:r>
        <w:rPr>
          <w:rFonts w:ascii="方正仿宋_GBK" w:hAnsi="方正仿宋_GBK" w:eastAsia="方正仿宋_GBK" w:cs="方正仿宋_GBK"/>
          <w:kern w:val="2"/>
          <w:sz w:val="32"/>
          <w:szCs w:val="32"/>
        </w:rPr>
        <w:t>8532</w:t>
      </w:r>
      <w:r>
        <w:rPr>
          <w:rFonts w:hint="eastAsia" w:ascii="方正仿宋_GBK" w:hAnsi="方正仿宋_GBK" w:eastAsia="方正仿宋_GBK" w:cs="方正仿宋_GBK"/>
          <w:kern w:val="2"/>
          <w:sz w:val="32"/>
          <w:szCs w:val="32"/>
        </w:rPr>
        <w:t>人，比上年增加</w:t>
      </w:r>
      <w:r>
        <w:rPr>
          <w:rFonts w:ascii="方正仿宋_GBK" w:hAnsi="方正仿宋_GBK" w:eastAsia="方正仿宋_GBK" w:cs="方正仿宋_GBK"/>
          <w:kern w:val="2"/>
          <w:sz w:val="32"/>
          <w:szCs w:val="32"/>
        </w:rPr>
        <w:t>865</w:t>
      </w:r>
      <w:r>
        <w:rPr>
          <w:rFonts w:hint="eastAsia" w:ascii="方正仿宋_GBK" w:hAnsi="方正仿宋_GBK" w:eastAsia="方正仿宋_GBK" w:cs="方正仿宋_GBK"/>
          <w:kern w:val="2"/>
          <w:sz w:val="32"/>
          <w:szCs w:val="32"/>
        </w:rPr>
        <w:t>人，农村居民最低生活保障</w:t>
      </w:r>
      <w:r>
        <w:rPr>
          <w:rFonts w:ascii="方正仿宋_GBK" w:hAnsi="方正仿宋_GBK" w:eastAsia="方正仿宋_GBK" w:cs="方正仿宋_GBK"/>
          <w:kern w:val="2"/>
          <w:sz w:val="32"/>
          <w:szCs w:val="32"/>
        </w:rPr>
        <w:t>4778</w:t>
      </w:r>
      <w:r>
        <w:rPr>
          <w:rFonts w:hint="eastAsia" w:ascii="方正仿宋_GBK" w:hAnsi="方正仿宋_GBK" w:eastAsia="方正仿宋_GBK" w:cs="方正仿宋_GBK"/>
          <w:kern w:val="2"/>
          <w:sz w:val="32"/>
          <w:szCs w:val="32"/>
        </w:rPr>
        <w:t>户，比上年增加</w:t>
      </w:r>
      <w:r>
        <w:rPr>
          <w:rFonts w:ascii="方正仿宋_GBK" w:hAnsi="方正仿宋_GBK" w:eastAsia="方正仿宋_GBK" w:cs="方正仿宋_GBK"/>
          <w:kern w:val="2"/>
          <w:sz w:val="32"/>
          <w:szCs w:val="32"/>
        </w:rPr>
        <w:t>510</w:t>
      </w:r>
      <w:r>
        <w:rPr>
          <w:rFonts w:hint="eastAsia" w:ascii="方正仿宋_GBK" w:hAnsi="方正仿宋_GBK" w:eastAsia="方正仿宋_GBK" w:cs="方正仿宋_GBK"/>
          <w:kern w:val="2"/>
          <w:sz w:val="32"/>
          <w:szCs w:val="32"/>
        </w:rPr>
        <w:t>户。全年共救助城乡低保对象</w:t>
      </w:r>
      <w:r>
        <w:rPr>
          <w:rFonts w:ascii="方正仿宋_GBK" w:hAnsi="方正仿宋_GBK" w:eastAsia="方正仿宋_GBK" w:cs="方正仿宋_GBK"/>
          <w:kern w:val="2"/>
          <w:sz w:val="32"/>
          <w:szCs w:val="32"/>
        </w:rPr>
        <w:t>14694</w:t>
      </w:r>
      <w:r>
        <w:rPr>
          <w:rFonts w:hint="eastAsia" w:ascii="方正仿宋_GBK" w:hAnsi="方正仿宋_GBK" w:eastAsia="方正仿宋_GBK" w:cs="方正仿宋_GBK"/>
          <w:kern w:val="2"/>
          <w:sz w:val="32"/>
          <w:szCs w:val="32"/>
        </w:rPr>
        <w:t>人，发放低保金</w:t>
      </w:r>
      <w:r>
        <w:rPr>
          <w:rFonts w:ascii="方正仿宋_GBK" w:hAnsi="方正仿宋_GBK" w:eastAsia="方正仿宋_GBK" w:cs="方正仿宋_GBK"/>
          <w:kern w:val="2"/>
          <w:sz w:val="32"/>
          <w:szCs w:val="32"/>
        </w:rPr>
        <w:t>7066</w:t>
      </w:r>
      <w:r>
        <w:rPr>
          <w:rFonts w:hint="eastAsia" w:ascii="方正仿宋_GBK" w:hAnsi="方正仿宋_GBK" w:eastAsia="方正仿宋_GBK" w:cs="方正仿宋_GBK"/>
          <w:kern w:val="2"/>
          <w:sz w:val="32"/>
          <w:szCs w:val="32"/>
        </w:rPr>
        <w:t>万元，其中农村低保发放</w:t>
      </w:r>
      <w:r>
        <w:rPr>
          <w:rFonts w:ascii="方正仿宋_GBK" w:hAnsi="方正仿宋_GBK" w:eastAsia="方正仿宋_GBK" w:cs="方正仿宋_GBK"/>
          <w:kern w:val="2"/>
          <w:sz w:val="32"/>
          <w:szCs w:val="32"/>
        </w:rPr>
        <w:t>3689</w:t>
      </w:r>
      <w:r>
        <w:rPr>
          <w:rFonts w:hint="eastAsia" w:ascii="方正仿宋_GBK" w:hAnsi="方正仿宋_GBK" w:eastAsia="方正仿宋_GBK" w:cs="方正仿宋_GBK"/>
          <w:kern w:val="2"/>
          <w:sz w:val="32"/>
          <w:szCs w:val="32"/>
        </w:rPr>
        <w:t>万元，城镇低保发放</w:t>
      </w:r>
      <w:r>
        <w:rPr>
          <w:rFonts w:ascii="方正仿宋_GBK" w:hAnsi="方正仿宋_GBK" w:eastAsia="方正仿宋_GBK" w:cs="方正仿宋_GBK"/>
          <w:kern w:val="2"/>
          <w:sz w:val="32"/>
          <w:szCs w:val="32"/>
        </w:rPr>
        <w:t>3377</w:t>
      </w:r>
      <w:r>
        <w:rPr>
          <w:rFonts w:hint="eastAsia" w:ascii="方正仿宋_GBK" w:hAnsi="方正仿宋_GBK" w:eastAsia="方正仿宋_GBK" w:cs="方正仿宋_GBK"/>
          <w:kern w:val="2"/>
          <w:sz w:val="32"/>
          <w:szCs w:val="32"/>
        </w:rPr>
        <w:t>万元。农村特困人员救助供养人数</w:t>
      </w:r>
      <w:r>
        <w:rPr>
          <w:rFonts w:ascii="方正仿宋_GBK" w:hAnsi="方正仿宋_GBK" w:eastAsia="方正仿宋_GBK" w:cs="方正仿宋_GBK"/>
          <w:kern w:val="2"/>
          <w:sz w:val="32"/>
          <w:szCs w:val="32"/>
        </w:rPr>
        <w:t>5322</w:t>
      </w:r>
      <w:r>
        <w:rPr>
          <w:rFonts w:hint="eastAsia" w:ascii="方正仿宋_GBK" w:hAnsi="方正仿宋_GBK" w:eastAsia="方正仿宋_GBK" w:cs="方正仿宋_GBK"/>
          <w:kern w:val="2"/>
          <w:sz w:val="32"/>
          <w:szCs w:val="32"/>
        </w:rPr>
        <w:t>人。</w:t>
      </w:r>
    </w:p>
    <w:p>
      <w:pPr>
        <w:pStyle w:val="5"/>
        <w:spacing w:before="0" w:beforeAutospacing="0" w:after="0" w:afterAutospacing="0"/>
        <w:ind w:left="45" w:right="45"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城市居民最低生活保障标准为</w:t>
      </w:r>
      <w:r>
        <w:rPr>
          <w:rFonts w:ascii="方正仿宋_GBK" w:hAnsi="方正仿宋_GBK" w:eastAsia="方正仿宋_GBK" w:cs="方正仿宋_GBK"/>
          <w:kern w:val="2"/>
          <w:sz w:val="32"/>
          <w:szCs w:val="32"/>
        </w:rPr>
        <w:t>546</w:t>
      </w:r>
      <w:r>
        <w:rPr>
          <w:rFonts w:hint="eastAsia" w:ascii="方正仿宋_GBK" w:hAnsi="方正仿宋_GBK" w:eastAsia="方正仿宋_GBK" w:cs="方正仿宋_GBK"/>
          <w:kern w:val="2"/>
          <w:sz w:val="32"/>
          <w:szCs w:val="32"/>
        </w:rPr>
        <w:t>元/月，农村居民最低生活保障标准为</w:t>
      </w:r>
      <w:r>
        <w:rPr>
          <w:rFonts w:ascii="方正仿宋_GBK" w:hAnsi="方正仿宋_GBK" w:eastAsia="方正仿宋_GBK" w:cs="方正仿宋_GBK"/>
          <w:kern w:val="2"/>
          <w:sz w:val="32"/>
          <w:szCs w:val="32"/>
        </w:rPr>
        <w:t>410</w:t>
      </w:r>
      <w:r>
        <w:rPr>
          <w:rFonts w:hint="eastAsia" w:ascii="方正仿宋_GBK" w:hAnsi="方正仿宋_GBK" w:eastAsia="方正仿宋_GBK" w:cs="方正仿宋_GBK"/>
          <w:kern w:val="2"/>
          <w:sz w:val="32"/>
          <w:szCs w:val="32"/>
        </w:rPr>
        <w:t>元/月，分别比上年增长</w:t>
      </w:r>
      <w:r>
        <w:rPr>
          <w:rFonts w:ascii="方正仿宋_GBK" w:hAnsi="方正仿宋_GBK" w:eastAsia="方正仿宋_GBK" w:cs="方正仿宋_GBK"/>
          <w:kern w:val="2"/>
          <w:sz w:val="32"/>
          <w:szCs w:val="32"/>
        </w:rPr>
        <w:t>9.2</w:t>
      </w:r>
      <w:r>
        <w:rPr>
          <w:rFonts w:hint="eastAsia" w:ascii="方正仿宋_GBK" w:hAnsi="方正仿宋_GBK" w:eastAsia="方正仿宋_GBK" w:cs="方正仿宋_GBK"/>
          <w:kern w:val="2"/>
          <w:sz w:val="32"/>
          <w:szCs w:val="32"/>
        </w:rPr>
        <w:t>%和</w:t>
      </w:r>
      <w:r>
        <w:rPr>
          <w:rFonts w:ascii="方正仿宋_GBK" w:hAnsi="方正仿宋_GBK" w:eastAsia="方正仿宋_GBK" w:cs="方正仿宋_GBK"/>
          <w:kern w:val="2"/>
          <w:sz w:val="32"/>
          <w:szCs w:val="32"/>
        </w:rPr>
        <w:t>17.1</w:t>
      </w:r>
      <w:r>
        <w:rPr>
          <w:rFonts w:hint="eastAsia" w:ascii="方正仿宋_GBK" w:hAnsi="方正仿宋_GBK" w:eastAsia="方正仿宋_GBK" w:cs="方正仿宋_GBK"/>
          <w:kern w:val="2"/>
          <w:sz w:val="32"/>
          <w:szCs w:val="32"/>
        </w:rPr>
        <w:t>%。</w:t>
      </w:r>
    </w:p>
    <w:p>
      <w:pPr>
        <w:pStyle w:val="5"/>
        <w:spacing w:before="0" w:beforeAutospacing="0" w:after="0" w:afterAutospacing="0"/>
        <w:ind w:left="44" w:right="44" w:firstLine="643" w:firstLineChars="200"/>
        <w:jc w:val="both"/>
        <w:rPr>
          <w:rFonts w:ascii="方正黑体_GBK" w:hAnsi="方正黑体_GBK" w:eastAsia="方正黑体_GBK" w:cs="方正黑体_GBK"/>
          <w:b/>
          <w:kern w:val="2"/>
          <w:sz w:val="32"/>
          <w:szCs w:val="32"/>
        </w:rPr>
      </w:pPr>
      <w:r>
        <w:rPr>
          <w:rFonts w:hint="eastAsia" w:ascii="方正黑体_GBK" w:hAnsi="方正黑体_GBK" w:eastAsia="方正黑体_GBK" w:cs="方正黑体_GBK"/>
          <w:b/>
          <w:kern w:val="2"/>
          <w:sz w:val="32"/>
          <w:szCs w:val="32"/>
        </w:rPr>
        <w:t>十二、资源和安全生产</w:t>
      </w:r>
    </w:p>
    <w:p>
      <w:pPr>
        <w:pStyle w:val="5"/>
        <w:spacing w:before="0" w:beforeAutospacing="0" w:after="0" w:afterAutospacing="0"/>
        <w:ind w:left="44" w:right="44" w:firstLine="640" w:firstLineChars="200"/>
        <w:jc w:val="both"/>
        <w:rPr>
          <w:rFonts w:ascii="方正仿宋_GBK" w:hAnsi="方正黑体_GBK" w:eastAsia="方正仿宋_GBK" w:cs="方正黑体_GBK"/>
          <w:kern w:val="2"/>
          <w:sz w:val="32"/>
          <w:szCs w:val="32"/>
        </w:rPr>
      </w:pPr>
      <w:r>
        <w:rPr>
          <w:rFonts w:hint="eastAsia" w:ascii="方正仿宋_GBK" w:hAnsi="方正黑体_GBK" w:eastAsia="方正仿宋_GBK" w:cs="方正黑体_GBK"/>
          <w:kern w:val="2"/>
          <w:sz w:val="32"/>
          <w:szCs w:val="32"/>
        </w:rPr>
        <w:t>当年降水量1063</w:t>
      </w:r>
      <w:r>
        <w:rPr>
          <w:rFonts w:ascii="方正仿宋_GBK" w:hAnsi="方正黑体_GBK" w:eastAsia="方正仿宋_GBK" w:cs="方正黑体_GBK"/>
          <w:kern w:val="2"/>
          <w:sz w:val="32"/>
          <w:szCs w:val="32"/>
        </w:rPr>
        <w:t>毫米，</w:t>
      </w:r>
      <w:r>
        <w:rPr>
          <w:rFonts w:hint="eastAsia" w:ascii="方正仿宋_GBK" w:hAnsi="方正黑体_GBK" w:eastAsia="方正仿宋_GBK" w:cs="方正黑体_GBK"/>
          <w:kern w:val="2"/>
          <w:sz w:val="32"/>
          <w:szCs w:val="32"/>
        </w:rPr>
        <w:t>比</w:t>
      </w:r>
      <w:r>
        <w:rPr>
          <w:rFonts w:ascii="方正仿宋_GBK" w:hAnsi="方正黑体_GBK" w:eastAsia="方正仿宋_GBK" w:cs="方正黑体_GBK"/>
          <w:kern w:val="2"/>
          <w:sz w:val="32"/>
          <w:szCs w:val="32"/>
        </w:rPr>
        <w:t>上年</w:t>
      </w:r>
      <w:r>
        <w:rPr>
          <w:rFonts w:hint="eastAsia" w:ascii="方正仿宋_GBK" w:hAnsi="方正黑体_GBK" w:eastAsia="方正仿宋_GBK" w:cs="方正黑体_GBK"/>
          <w:kern w:val="2"/>
          <w:sz w:val="32"/>
          <w:szCs w:val="32"/>
        </w:rPr>
        <w:t>增长42.8</w:t>
      </w:r>
      <w:r>
        <w:rPr>
          <w:rFonts w:ascii="方正仿宋_GBK" w:hAnsi="方正黑体_GBK" w:eastAsia="方正仿宋_GBK" w:cs="方正黑体_GBK"/>
          <w:kern w:val="2"/>
          <w:sz w:val="32"/>
          <w:szCs w:val="32"/>
        </w:rPr>
        <w:t>%。全年</w:t>
      </w:r>
      <w:r>
        <w:rPr>
          <w:rFonts w:hint="eastAsia" w:ascii="方正仿宋_GBK" w:hAnsi="方正黑体_GBK" w:eastAsia="方正仿宋_GBK" w:cs="方正黑体_GBK"/>
          <w:kern w:val="2"/>
          <w:sz w:val="32"/>
          <w:szCs w:val="32"/>
        </w:rPr>
        <w:t>用水</w:t>
      </w:r>
      <w:r>
        <w:rPr>
          <w:rFonts w:ascii="方正仿宋_GBK" w:hAnsi="方正黑体_GBK" w:eastAsia="方正仿宋_GBK" w:cs="方正黑体_GBK"/>
          <w:kern w:val="2"/>
          <w:sz w:val="32"/>
          <w:szCs w:val="32"/>
        </w:rPr>
        <w:t>总量</w:t>
      </w:r>
      <w:r>
        <w:rPr>
          <w:rFonts w:hint="eastAsia" w:ascii="方正仿宋_GBK" w:hAnsi="方正黑体_GBK" w:eastAsia="方正仿宋_GBK" w:cs="方正黑体_GBK"/>
          <w:kern w:val="2"/>
          <w:sz w:val="32"/>
          <w:szCs w:val="32"/>
        </w:rPr>
        <w:t>1.</w:t>
      </w:r>
      <w:r>
        <w:rPr>
          <w:rFonts w:ascii="方正仿宋_GBK" w:hAnsi="方正黑体_GBK" w:eastAsia="方正仿宋_GBK" w:cs="方正黑体_GBK"/>
          <w:kern w:val="2"/>
          <w:sz w:val="32"/>
          <w:szCs w:val="32"/>
        </w:rPr>
        <w:t>7197</w:t>
      </w:r>
      <w:r>
        <w:rPr>
          <w:rFonts w:hint="eastAsia" w:ascii="方正仿宋_GBK" w:hAnsi="方正黑体_GBK" w:eastAsia="方正仿宋_GBK" w:cs="方正黑体_GBK"/>
          <w:kern w:val="2"/>
          <w:sz w:val="32"/>
          <w:szCs w:val="32"/>
        </w:rPr>
        <w:t>亿立方米</w:t>
      </w:r>
      <w:r>
        <w:rPr>
          <w:rFonts w:ascii="方正仿宋_GBK" w:hAnsi="方正黑体_GBK" w:eastAsia="方正仿宋_GBK" w:cs="方正黑体_GBK"/>
          <w:kern w:val="2"/>
          <w:sz w:val="32"/>
          <w:szCs w:val="32"/>
        </w:rPr>
        <w:t>，比上年下降0.7%</w:t>
      </w:r>
      <w:r>
        <w:rPr>
          <w:rFonts w:hint="eastAsia" w:ascii="方正仿宋_GBK" w:hAnsi="方正黑体_GBK" w:eastAsia="方正仿宋_GBK" w:cs="方正黑体_GBK"/>
          <w:kern w:val="2"/>
          <w:sz w:val="32"/>
          <w:szCs w:val="32"/>
        </w:rPr>
        <w:t>。</w:t>
      </w:r>
    </w:p>
    <w:p>
      <w:pPr>
        <w:widowControl/>
        <w:ind w:firstLine="640" w:firstLineChars="200"/>
        <w:jc w:val="left"/>
        <w:rPr>
          <w:rStyle w:val="7"/>
          <w:rFonts w:ascii="方正仿宋_GBK" w:hAnsi="方正仿宋_GBK" w:eastAsia="方正仿宋_GBK" w:cs="方正仿宋_GBK"/>
          <w:b w:val="0"/>
          <w:bCs/>
          <w:kern w:val="0"/>
          <w:sz w:val="32"/>
          <w:szCs w:val="32"/>
        </w:rPr>
      </w:pPr>
      <w:r>
        <w:rPr>
          <w:rStyle w:val="7"/>
          <w:rFonts w:hint="eastAsia" w:ascii="方正仿宋_GBK" w:hAnsi="方正仿宋_GBK" w:eastAsia="方正仿宋_GBK" w:cs="方正仿宋_GBK"/>
          <w:b w:val="0"/>
          <w:bCs/>
          <w:kern w:val="0"/>
          <w:sz w:val="32"/>
          <w:szCs w:val="32"/>
        </w:rPr>
        <w:t>全区森林面积59.12万亩，森林覆盖率36.7%。</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bCs/>
          <w:sz w:val="32"/>
          <w:szCs w:val="32"/>
        </w:rPr>
        <w:t>建成区园林绿化覆盖面积</w:t>
      </w:r>
      <w:r>
        <w:rPr>
          <w:rStyle w:val="7"/>
          <w:rFonts w:ascii="方正仿宋_GBK" w:hAnsi="方正仿宋_GBK" w:eastAsia="方正仿宋_GBK" w:cs="方正仿宋_GBK"/>
          <w:b w:val="0"/>
          <w:bCs/>
          <w:sz w:val="32"/>
          <w:szCs w:val="32"/>
        </w:rPr>
        <w:t>1419</w:t>
      </w:r>
      <w:r>
        <w:rPr>
          <w:rStyle w:val="7"/>
          <w:rFonts w:hint="eastAsia" w:ascii="方正仿宋_GBK" w:hAnsi="方正仿宋_GBK" w:eastAsia="方正仿宋_GBK" w:cs="方正仿宋_GBK"/>
          <w:b w:val="0"/>
          <w:bCs/>
          <w:sz w:val="32"/>
          <w:szCs w:val="32"/>
        </w:rPr>
        <w:t>公顷，</w:t>
      </w:r>
      <w:r>
        <w:rPr>
          <w:rStyle w:val="7"/>
          <w:rFonts w:hint="eastAsia" w:ascii="方正仿宋_GBK" w:hAnsi="方正仿宋_GBK" w:eastAsia="方正仿宋_GBK" w:cs="方正仿宋_GBK"/>
          <w:b w:val="0"/>
          <w:sz w:val="32"/>
          <w:szCs w:val="32"/>
        </w:rPr>
        <w:t>建成区绿化覆盖率</w:t>
      </w:r>
      <w:r>
        <w:rPr>
          <w:rStyle w:val="7"/>
          <w:rFonts w:ascii="方正仿宋_GBK" w:hAnsi="方正仿宋_GBK" w:eastAsia="方正仿宋_GBK" w:cs="方正仿宋_GBK"/>
          <w:b w:val="0"/>
          <w:sz w:val="32"/>
          <w:szCs w:val="32"/>
        </w:rPr>
        <w:t>44.3</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rFonts w:ascii="方正仿宋_GBK" w:hAnsi="方正仿宋_GBK" w:eastAsia="方正仿宋_GBK" w:cs="方正仿宋_GBK"/>
          <w:b w:val="0"/>
          <w:sz w:val="32"/>
          <w:szCs w:val="32"/>
        </w:rPr>
      </w:pPr>
      <w:r>
        <w:rPr>
          <w:rStyle w:val="7"/>
          <w:rFonts w:hint="eastAsia" w:ascii="方正仿宋_GBK" w:hAnsi="方正仿宋_GBK" w:eastAsia="方正仿宋_GBK" w:cs="方正仿宋_GBK"/>
          <w:b w:val="0"/>
          <w:sz w:val="32"/>
          <w:szCs w:val="32"/>
        </w:rPr>
        <w:t>全年全区全社会用电量</w:t>
      </w:r>
      <w:r>
        <w:rPr>
          <w:rStyle w:val="7"/>
          <w:rFonts w:ascii="方正仿宋_GBK" w:hAnsi="方正仿宋_GBK" w:eastAsia="方正仿宋_GBK" w:cs="方正仿宋_GBK"/>
          <w:b w:val="0"/>
          <w:sz w:val="32"/>
          <w:szCs w:val="32"/>
        </w:rPr>
        <w:t>118362</w:t>
      </w:r>
      <w:r>
        <w:rPr>
          <w:rStyle w:val="7"/>
          <w:rFonts w:hint="eastAsia" w:ascii="方正仿宋_GBK" w:hAnsi="方正仿宋_GBK" w:eastAsia="方正仿宋_GBK" w:cs="方正仿宋_GBK"/>
          <w:b w:val="0"/>
          <w:sz w:val="32"/>
          <w:szCs w:val="32"/>
        </w:rPr>
        <w:t>万千瓦时，增长</w:t>
      </w:r>
      <w:r>
        <w:rPr>
          <w:rStyle w:val="7"/>
          <w:rFonts w:ascii="方正仿宋_GBK" w:hAnsi="方正仿宋_GBK" w:eastAsia="方正仿宋_GBK" w:cs="方正仿宋_GBK"/>
          <w:b w:val="0"/>
          <w:sz w:val="32"/>
          <w:szCs w:val="32"/>
        </w:rPr>
        <w:t>15.9</w:t>
      </w:r>
      <w:r>
        <w:rPr>
          <w:rStyle w:val="7"/>
          <w:rFonts w:hint="eastAsia" w:ascii="方正仿宋_GBK" w:hAnsi="方正仿宋_GBK" w:eastAsia="方正仿宋_GBK" w:cs="方正仿宋_GBK"/>
          <w:b w:val="0"/>
          <w:sz w:val="32"/>
          <w:szCs w:val="32"/>
        </w:rPr>
        <w:t>%；其中城乡居民生活用电</w:t>
      </w:r>
      <w:r>
        <w:rPr>
          <w:rStyle w:val="7"/>
          <w:rFonts w:ascii="方正仿宋_GBK" w:hAnsi="方正仿宋_GBK" w:eastAsia="方正仿宋_GBK" w:cs="方正仿宋_GBK"/>
          <w:b w:val="0"/>
          <w:sz w:val="32"/>
          <w:szCs w:val="32"/>
        </w:rPr>
        <w:t>40585</w:t>
      </w:r>
      <w:r>
        <w:rPr>
          <w:rStyle w:val="7"/>
          <w:rFonts w:hint="eastAsia" w:ascii="方正仿宋_GBK" w:hAnsi="方正仿宋_GBK" w:eastAsia="方正仿宋_GBK" w:cs="方正仿宋_GBK"/>
          <w:b w:val="0"/>
          <w:sz w:val="32"/>
          <w:szCs w:val="32"/>
        </w:rPr>
        <w:t>万千瓦时，增长</w:t>
      </w:r>
      <w:r>
        <w:rPr>
          <w:rStyle w:val="7"/>
          <w:rFonts w:ascii="方正仿宋_GBK" w:hAnsi="方正仿宋_GBK" w:eastAsia="方正仿宋_GBK" w:cs="方正仿宋_GBK"/>
          <w:b w:val="0"/>
          <w:sz w:val="32"/>
          <w:szCs w:val="32"/>
        </w:rPr>
        <w:t>10.5</w:t>
      </w:r>
      <w:r>
        <w:rPr>
          <w:rStyle w:val="7"/>
          <w:rFonts w:hint="eastAsia" w:ascii="方正仿宋_GBK" w:hAnsi="方正仿宋_GBK" w:eastAsia="方正仿宋_GBK" w:cs="方正仿宋_GBK"/>
          <w:b w:val="0"/>
          <w:sz w:val="32"/>
          <w:szCs w:val="32"/>
        </w:rPr>
        <w:t>%。</w:t>
      </w:r>
    </w:p>
    <w:p>
      <w:pPr>
        <w:pStyle w:val="5"/>
        <w:spacing w:before="0" w:beforeAutospacing="0" w:after="0" w:afterAutospacing="0"/>
        <w:ind w:left="44" w:right="44" w:firstLine="640" w:firstLineChars="200"/>
        <w:jc w:val="both"/>
        <w:rPr>
          <w:rStyle w:val="7"/>
          <w:b w:val="0"/>
          <w:sz w:val="32"/>
          <w:szCs w:val="32"/>
        </w:rPr>
      </w:pPr>
      <w:r>
        <w:rPr>
          <w:rStyle w:val="7"/>
          <w:rFonts w:hint="eastAsia" w:ascii="方正仿宋_GBK" w:hAnsi="方正仿宋_GBK" w:eastAsia="方正仿宋_GBK" w:cs="方正仿宋_GBK"/>
          <w:b w:val="0"/>
          <w:sz w:val="32"/>
          <w:szCs w:val="32"/>
        </w:rPr>
        <w:t>全年生产安全事故死亡人数10人，比上年下降44.5%。其中，工矿商贸企业事故死亡人数</w:t>
      </w:r>
      <w:r>
        <w:rPr>
          <w:rStyle w:val="7"/>
          <w:rFonts w:ascii="方正仿宋_GBK" w:hAnsi="方正仿宋_GBK" w:eastAsia="方正仿宋_GBK" w:cs="方正仿宋_GBK"/>
          <w:b w:val="0"/>
          <w:sz w:val="32"/>
          <w:szCs w:val="32"/>
        </w:rPr>
        <w:t>5</w:t>
      </w:r>
      <w:r>
        <w:rPr>
          <w:rStyle w:val="7"/>
          <w:rFonts w:hint="eastAsia" w:ascii="方正仿宋_GBK" w:hAnsi="方正仿宋_GBK" w:eastAsia="方正仿宋_GBK" w:cs="方正仿宋_GBK"/>
          <w:b w:val="0"/>
          <w:sz w:val="32"/>
          <w:szCs w:val="32"/>
        </w:rPr>
        <w:t>人，道路交通事故死亡</w:t>
      </w:r>
      <w:r>
        <w:rPr>
          <w:rStyle w:val="7"/>
          <w:rFonts w:ascii="方正仿宋_GBK" w:hAnsi="方正仿宋_GBK" w:eastAsia="方正仿宋_GBK" w:cs="方正仿宋_GBK"/>
          <w:b w:val="0"/>
          <w:sz w:val="32"/>
          <w:szCs w:val="32"/>
        </w:rPr>
        <w:t>5</w:t>
      </w:r>
      <w:r>
        <w:rPr>
          <w:rStyle w:val="7"/>
          <w:rFonts w:hint="eastAsia" w:ascii="方正仿宋_GBK" w:hAnsi="方正仿宋_GBK" w:eastAsia="方正仿宋_GBK" w:cs="方正仿宋_GBK"/>
          <w:b w:val="0"/>
          <w:sz w:val="32"/>
          <w:szCs w:val="32"/>
        </w:rPr>
        <w:t>人。</w:t>
      </w:r>
    </w:p>
    <w:p>
      <w:pPr>
        <w:pStyle w:val="5"/>
        <w:spacing w:before="0" w:beforeAutospacing="0" w:after="0" w:afterAutospacing="0"/>
        <w:ind w:left="130" w:leftChars="62" w:right="45" w:firstLine="640" w:firstLineChars="200"/>
        <w:rPr>
          <w:rFonts w:ascii="仿宋_GB2312" w:eastAsia="仿宋_GB2312"/>
          <w:color w:val="FF0000"/>
          <w:sz w:val="32"/>
          <w:szCs w:val="32"/>
        </w:rPr>
      </w:pPr>
    </w:p>
    <w:p>
      <w:pPr>
        <w:pStyle w:val="5"/>
        <w:spacing w:before="0" w:beforeAutospacing="0" w:after="0" w:afterAutospacing="0"/>
        <w:ind w:left="130" w:leftChars="62" w:right="45" w:firstLine="640" w:firstLineChars="200"/>
        <w:rPr>
          <w:rFonts w:ascii="仿宋_GB2312" w:eastAsia="仿宋_GB2312"/>
          <w:color w:val="000000"/>
          <w:sz w:val="32"/>
          <w:szCs w:val="32"/>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r>
        <w:rPr>
          <w:rFonts w:ascii="仿宋_GB2312" w:eastAsia="仿宋_GB2312"/>
          <w:color w:val="000000"/>
          <w:sz w:val="21"/>
          <w:szCs w:val="21"/>
        </w:rPr>
        <w:t>注：</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1、本公报中2018年的数据均为初步统计数，最终数据以《2019荣昌统计年鉴》为准。油料和肉类产量为上报数。部分数据因四舍五入的原因，存在着与分项不等的情况。</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2、地区生产总值、人均生产总值、各产业增加值绝对数按现价计算，增长速度按可比价计算。</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3、规模以上工业、有资质的建筑业、限额以上批发零售业、限额以上住宿和餐饮业、全部房地产开发经营业、规模以上服务业等行业统计标准：</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规模以上工业：</w:t>
      </w:r>
      <w:r>
        <w:rPr>
          <w:rFonts w:hint="eastAsia" w:ascii="仿宋" w:hAnsi="仿宋" w:eastAsia="仿宋" w:cs="仿宋"/>
          <w:sz w:val="21"/>
          <w:szCs w:val="21"/>
        </w:rPr>
        <w:t>年主营业务收入2000万元及以上的工业法人企业。</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有资质的建筑业：</w:t>
      </w:r>
      <w:r>
        <w:rPr>
          <w:rFonts w:hint="eastAsia" w:ascii="仿宋" w:hAnsi="仿宋" w:eastAsia="仿宋" w:cs="仿宋"/>
          <w:sz w:val="21"/>
          <w:szCs w:val="21"/>
        </w:rPr>
        <w:t>有总承包、专业承包和劳务分包资质的建筑业法人单位。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限额以上批发和零售业：</w:t>
      </w:r>
      <w:r>
        <w:rPr>
          <w:rFonts w:hint="eastAsia" w:ascii="仿宋" w:hAnsi="仿宋" w:eastAsia="仿宋" w:cs="仿宋"/>
          <w:sz w:val="21"/>
          <w:szCs w:val="21"/>
        </w:rPr>
        <w:t>年主营业务收入2000万元及以上的批发业、年主营业务收入500万元及以上的零售业法人单位。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限额以上住宿和餐饮业：</w:t>
      </w:r>
      <w:r>
        <w:rPr>
          <w:rFonts w:hint="eastAsia" w:ascii="仿宋" w:hAnsi="仿宋" w:eastAsia="仿宋" w:cs="仿宋"/>
          <w:sz w:val="21"/>
          <w:szCs w:val="21"/>
        </w:rPr>
        <w:t>年主营业务收入200万元及以上的住宿和餐饮业法人单位。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房地产开发经营业：</w:t>
      </w:r>
      <w:r>
        <w:rPr>
          <w:rFonts w:hint="eastAsia" w:ascii="仿宋" w:hAnsi="仿宋" w:eastAsia="仿宋" w:cs="仿宋"/>
          <w:sz w:val="21"/>
          <w:szCs w:val="21"/>
        </w:rPr>
        <w:t>全部房地产开发经营业法人单位。</w:t>
      </w:r>
    </w:p>
    <w:p>
      <w:pPr>
        <w:pStyle w:val="5"/>
        <w:spacing w:before="0" w:beforeAutospacing="0" w:after="0" w:afterAutospacing="0"/>
        <w:ind w:left="130" w:leftChars="62" w:right="45" w:firstLine="422" w:firstLineChars="200"/>
        <w:rPr>
          <w:rFonts w:ascii="仿宋" w:hAnsi="仿宋" w:eastAsia="仿宋" w:cs="仿宋"/>
          <w:sz w:val="21"/>
          <w:szCs w:val="21"/>
        </w:rPr>
      </w:pPr>
      <w:r>
        <w:rPr>
          <w:rFonts w:hint="eastAsia" w:ascii="仿宋" w:hAnsi="仿宋" w:eastAsia="仿宋" w:cs="仿宋"/>
          <w:b/>
          <w:sz w:val="21"/>
          <w:szCs w:val="21"/>
        </w:rPr>
        <w:t>规模以上服务业：</w:t>
      </w:r>
      <w:r>
        <w:rPr>
          <w:rFonts w:hint="eastAsia" w:ascii="仿宋" w:hAnsi="仿宋" w:eastAsia="仿宋" w:cs="仿宋"/>
          <w:sz w:val="21"/>
          <w:szCs w:val="21"/>
        </w:rPr>
        <w:t>一定规模以上的服务业法人单位。包括：交通运输、仓储和邮政业，信息传输、软件和信息技术服务服务业，租赁和商务服务业，科学研究和技术服务业，水利、环境和公共设施管理业，居民服务、修理和其他服务业，教育，卫生和社会工作，文化、体育和娱乐业，物业管理、房地产中介服务等行业。</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4、基础设施投资指用于电力、燃气及水的生产和供应业，交通运输和邮政业，电信和其他信息传输服务业，水利、环境和公共设施管理业等的投资。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b/>
          <w:sz w:val="21"/>
          <w:szCs w:val="21"/>
        </w:rPr>
        <w:t>常住人口</w:t>
      </w:r>
      <w:r>
        <w:rPr>
          <w:rFonts w:hint="eastAsia" w:ascii="仿宋" w:hAnsi="仿宋" w:eastAsia="仿宋" w:cs="仿宋"/>
          <w:sz w:val="21"/>
          <w:szCs w:val="21"/>
        </w:rPr>
        <w:t xml:space="preserve"> 是指在本乡镇（街道）居住半年以上的人口，或虽居住不满半年但离开户口登记地半年以上人口以及户口待定人口。</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b/>
          <w:sz w:val="21"/>
          <w:szCs w:val="21"/>
        </w:rPr>
        <w:t>户籍人口</w:t>
      </w:r>
      <w:r>
        <w:rPr>
          <w:rFonts w:hint="eastAsia" w:ascii="仿宋" w:hAnsi="仿宋" w:eastAsia="仿宋" w:cs="仿宋"/>
          <w:sz w:val="21"/>
          <w:szCs w:val="21"/>
        </w:rPr>
        <w:t xml:space="preserve"> 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b/>
          <w:sz w:val="21"/>
          <w:szCs w:val="21"/>
        </w:rPr>
        <w:t>可支配收入</w:t>
      </w:r>
      <w:r>
        <w:rPr>
          <w:rFonts w:hint="eastAsia" w:ascii="仿宋" w:hAnsi="仿宋" w:eastAsia="仿宋" w:cs="仿宋"/>
          <w:sz w:val="21"/>
          <w:szCs w:val="21"/>
        </w:rPr>
        <w:t xml:space="preserve"> 是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可支配收入=工资性收入+经营净收入+财产净收入+转移净收入</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其中：经营净收入=经营收入-经营费用-生产性固定资产折旧-生产税净额（生产税-生产补贴）</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财产净收入=财产性收入-财产性支出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转移净收入=转移性收入-转移性支出</w:t>
      </w:r>
    </w:p>
    <w:p>
      <w:pPr>
        <w:pStyle w:val="5"/>
        <w:spacing w:before="0" w:beforeAutospacing="0" w:after="0" w:afterAutospacing="0"/>
        <w:ind w:left="130" w:leftChars="62" w:right="45" w:firstLine="420" w:firstLineChars="200"/>
        <w:rPr>
          <w:rFonts w:ascii="仿宋" w:hAnsi="仿宋" w:eastAsia="仿宋" w:cs="仿宋"/>
          <w:sz w:val="21"/>
          <w:szCs w:val="21"/>
        </w:rPr>
      </w:pPr>
      <w:r>
        <w:rPr>
          <w:rFonts w:hint="eastAsia" w:ascii="仿宋" w:hAnsi="仿宋" w:eastAsia="仿宋" w:cs="仿宋"/>
          <w:sz w:val="21"/>
          <w:szCs w:val="21"/>
        </w:rPr>
        <w:t>8、经国务院批准,我国对城乡住户调查实施了一体化改革,在现行统计制度下的城乡居民收支指标,在口径和内涵上与原有制度相比均有一定差别,其增减变动幅度亦是根据现行统计制度按同口径计算所得, 对此,使用时须加以斟酌和区别。重庆市居民可支配收入数据于2014年按照新口径正式发布。荣昌区发布可支配收入数据执行新口径时间延后1年，于2015年正式执行。</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b/>
          <w:sz w:val="21"/>
          <w:szCs w:val="21"/>
        </w:rPr>
        <w:t xml:space="preserve">    9、恩格尔系数</w:t>
      </w:r>
      <w:r>
        <w:rPr>
          <w:rFonts w:hint="eastAsia" w:ascii="仿宋" w:hAnsi="仿宋" w:eastAsia="仿宋" w:cs="仿宋"/>
          <w:sz w:val="21"/>
          <w:szCs w:val="21"/>
        </w:rPr>
        <w:t xml:space="preserve"> 是指居民食品消费支出占全部消费支出的比重。</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10、公报中水资源数据为初步数据。</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11、教育数据中没有包括西南大学荣昌校区、益民技校、永荣技校。</w:t>
      </w:r>
    </w:p>
    <w:p>
      <w:pPr>
        <w:pStyle w:val="5"/>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12、部</w:t>
      </w:r>
      <w:r>
        <w:rPr>
          <w:rFonts w:hint="eastAsia" w:ascii="仿宋" w:hAnsi="仿宋" w:eastAsia="仿宋" w:cs="仿宋"/>
          <w:sz w:val="21"/>
          <w:szCs w:val="21"/>
          <w:lang w:eastAsia="zh-CN"/>
        </w:rPr>
        <w:t>分</w:t>
      </w:r>
      <w:r>
        <w:rPr>
          <w:rFonts w:hint="eastAsia" w:ascii="仿宋" w:hAnsi="仿宋" w:eastAsia="仿宋" w:cs="仿宋"/>
          <w:sz w:val="21"/>
          <w:szCs w:val="21"/>
        </w:rPr>
        <w:t>数据由于计</w:t>
      </w:r>
      <w:bookmarkStart w:id="0" w:name="_GoBack"/>
      <w:bookmarkEnd w:id="0"/>
      <w:r>
        <w:rPr>
          <w:rFonts w:hint="eastAsia" w:ascii="仿宋" w:hAnsi="仿宋" w:eastAsia="仿宋" w:cs="仿宋"/>
          <w:sz w:val="21"/>
          <w:szCs w:val="21"/>
        </w:rPr>
        <w:t>量单位取舍不同而产生的计算误差未作机械调整。</w:t>
      </w:r>
    </w:p>
    <w:p>
      <w:pPr>
        <w:pStyle w:val="5"/>
        <w:tabs>
          <w:tab w:val="left" w:pos="316"/>
        </w:tabs>
        <w:spacing w:before="0" w:beforeAutospacing="0" w:after="0" w:afterAutospacing="0"/>
        <w:ind w:right="45"/>
        <w:rPr>
          <w:rFonts w:ascii="仿宋" w:hAnsi="仿宋" w:eastAsia="仿宋" w:cs="仿宋"/>
          <w:sz w:val="21"/>
          <w:szCs w:val="21"/>
        </w:rPr>
      </w:pPr>
      <w:r>
        <w:rPr>
          <w:rFonts w:hint="eastAsia" w:ascii="仿宋" w:hAnsi="仿宋" w:eastAsia="仿宋" w:cs="仿宋"/>
          <w:sz w:val="21"/>
          <w:szCs w:val="21"/>
        </w:rPr>
        <w:t xml:space="preserve">    13、资料来源：</w:t>
      </w:r>
    </w:p>
    <w:p>
      <w:pPr>
        <w:pStyle w:val="5"/>
        <w:spacing w:before="0" w:beforeAutospacing="0" w:after="0" w:afterAutospacing="0"/>
        <w:ind w:right="45" w:firstLine="420" w:firstLineChars="200"/>
        <w:rPr>
          <w:rFonts w:ascii="仿宋" w:hAnsi="仿宋" w:eastAsia="仿宋" w:cs="仿宋"/>
          <w:sz w:val="21"/>
          <w:szCs w:val="21"/>
        </w:rPr>
      </w:pPr>
      <w:r>
        <w:rPr>
          <w:rFonts w:hint="eastAsia" w:ascii="仿宋" w:hAnsi="仿宋" w:eastAsia="仿宋" w:cs="仿宋"/>
          <w:sz w:val="21"/>
          <w:szCs w:val="21"/>
        </w:rPr>
        <w:t>本公报中户籍人口、交通运输事故死亡数据来自区公安局；就业、失业、社会保障数据来自区人力社保局和区医疗保障局；各类市场主体、商标数据来自区工商分局；财政、金融、保险数据来自区财政局；教育数据来自区教委；农村危旧房改造、城市棚户区数据来自区住房</w:t>
      </w:r>
      <w:r>
        <w:rPr>
          <w:rFonts w:ascii="仿宋" w:hAnsi="仿宋" w:eastAsia="仿宋" w:cs="仿宋"/>
          <w:sz w:val="21"/>
          <w:szCs w:val="21"/>
        </w:rPr>
        <w:t>和</w:t>
      </w:r>
      <w:r>
        <w:rPr>
          <w:rFonts w:hint="eastAsia" w:ascii="仿宋" w:hAnsi="仿宋" w:eastAsia="仿宋" w:cs="仿宋"/>
          <w:sz w:val="21"/>
          <w:szCs w:val="21"/>
        </w:rPr>
        <w:t>城乡建委；进出口、利用外资数据来自区商委；交通运输数据来自区交通局；邮政数据来自区邮政管理局；用电量、通信数据来自区经信委；旅游数据来自区旅游景区管委会；科技、专利数据来自区科学技术局；文化数据来自区文化和</w:t>
      </w:r>
      <w:r>
        <w:rPr>
          <w:rFonts w:ascii="仿宋" w:hAnsi="仿宋" w:eastAsia="仿宋" w:cs="仿宋"/>
          <w:sz w:val="21"/>
          <w:szCs w:val="21"/>
        </w:rPr>
        <w:t>旅游发展</w:t>
      </w:r>
      <w:r>
        <w:rPr>
          <w:rFonts w:hint="eastAsia" w:ascii="仿宋" w:hAnsi="仿宋" w:eastAsia="仿宋" w:cs="仿宋"/>
          <w:sz w:val="21"/>
          <w:szCs w:val="21"/>
        </w:rPr>
        <w:t>委员</w:t>
      </w:r>
      <w:r>
        <w:rPr>
          <w:rFonts w:ascii="仿宋" w:hAnsi="仿宋" w:eastAsia="仿宋" w:cs="仿宋"/>
          <w:sz w:val="21"/>
          <w:szCs w:val="21"/>
        </w:rPr>
        <w:t>会</w:t>
      </w:r>
      <w:r>
        <w:rPr>
          <w:rFonts w:hint="eastAsia" w:ascii="仿宋" w:hAnsi="仿宋" w:eastAsia="仿宋" w:cs="仿宋"/>
          <w:sz w:val="21"/>
          <w:szCs w:val="21"/>
        </w:rPr>
        <w:t>；卫生数据来自区卫生</w:t>
      </w:r>
      <w:r>
        <w:rPr>
          <w:rFonts w:ascii="仿宋" w:hAnsi="仿宋" w:eastAsia="仿宋" w:cs="仿宋"/>
          <w:sz w:val="21"/>
          <w:szCs w:val="21"/>
        </w:rPr>
        <w:t>健康</w:t>
      </w:r>
      <w:r>
        <w:rPr>
          <w:rFonts w:hint="eastAsia" w:ascii="仿宋" w:hAnsi="仿宋" w:eastAsia="仿宋" w:cs="仿宋"/>
          <w:sz w:val="21"/>
          <w:szCs w:val="21"/>
        </w:rPr>
        <w:t>委员</w:t>
      </w:r>
      <w:r>
        <w:rPr>
          <w:rFonts w:ascii="仿宋" w:hAnsi="仿宋" w:eastAsia="仿宋" w:cs="仿宋"/>
          <w:sz w:val="21"/>
          <w:szCs w:val="21"/>
        </w:rPr>
        <w:t>会</w:t>
      </w:r>
      <w:r>
        <w:rPr>
          <w:rFonts w:hint="eastAsia" w:ascii="仿宋" w:hAnsi="仿宋" w:eastAsia="仿宋" w:cs="仿宋"/>
          <w:sz w:val="21"/>
          <w:szCs w:val="21"/>
        </w:rPr>
        <w:t>；最低生活保障标准数据来自区民政局；水资源数据来自区水利局；林业数据来自区林业局；部分</w:t>
      </w:r>
      <w:r>
        <w:rPr>
          <w:rFonts w:ascii="仿宋" w:hAnsi="仿宋" w:eastAsia="仿宋" w:cs="仿宋"/>
          <w:sz w:val="21"/>
          <w:szCs w:val="21"/>
        </w:rPr>
        <w:t>资源</w:t>
      </w:r>
      <w:r>
        <w:rPr>
          <w:rFonts w:hint="eastAsia" w:ascii="仿宋" w:hAnsi="仿宋" w:eastAsia="仿宋" w:cs="仿宋"/>
          <w:sz w:val="21"/>
          <w:szCs w:val="21"/>
        </w:rPr>
        <w:t>数据来自区城市管理局；安全生产事故数据来自区应急管理局；其他数据来自区统计局。</w:t>
      </w:r>
    </w:p>
    <w:p>
      <w:pPr>
        <w:pStyle w:val="5"/>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28"/>
    <w:rsid w:val="00004A20"/>
    <w:rsid w:val="0002056F"/>
    <w:rsid w:val="00020DA6"/>
    <w:rsid w:val="00020EFD"/>
    <w:rsid w:val="000261AD"/>
    <w:rsid w:val="00030B05"/>
    <w:rsid w:val="0004040D"/>
    <w:rsid w:val="00074FB4"/>
    <w:rsid w:val="000757BB"/>
    <w:rsid w:val="0008299D"/>
    <w:rsid w:val="00086926"/>
    <w:rsid w:val="00092800"/>
    <w:rsid w:val="000941F2"/>
    <w:rsid w:val="000A1F33"/>
    <w:rsid w:val="000A24DB"/>
    <w:rsid w:val="000A36BD"/>
    <w:rsid w:val="000C420B"/>
    <w:rsid w:val="000E2CD8"/>
    <w:rsid w:val="000F549A"/>
    <w:rsid w:val="0010048F"/>
    <w:rsid w:val="0010119F"/>
    <w:rsid w:val="001031FB"/>
    <w:rsid w:val="0010753A"/>
    <w:rsid w:val="001170CC"/>
    <w:rsid w:val="00117764"/>
    <w:rsid w:val="001214DE"/>
    <w:rsid w:val="001248B7"/>
    <w:rsid w:val="00145C36"/>
    <w:rsid w:val="00165F6C"/>
    <w:rsid w:val="001767F4"/>
    <w:rsid w:val="00176A74"/>
    <w:rsid w:val="001A09EE"/>
    <w:rsid w:val="001A4758"/>
    <w:rsid w:val="001B1460"/>
    <w:rsid w:val="001B1B7C"/>
    <w:rsid w:val="001B7716"/>
    <w:rsid w:val="001C5D40"/>
    <w:rsid w:val="001D0C5A"/>
    <w:rsid w:val="001D3762"/>
    <w:rsid w:val="001D7941"/>
    <w:rsid w:val="001F6A7D"/>
    <w:rsid w:val="001F776B"/>
    <w:rsid w:val="00200B70"/>
    <w:rsid w:val="00232855"/>
    <w:rsid w:val="002341C1"/>
    <w:rsid w:val="00234F7E"/>
    <w:rsid w:val="0023727C"/>
    <w:rsid w:val="00240BB9"/>
    <w:rsid w:val="00242260"/>
    <w:rsid w:val="00243241"/>
    <w:rsid w:val="00243CA8"/>
    <w:rsid w:val="0025024F"/>
    <w:rsid w:val="002553C1"/>
    <w:rsid w:val="00257CCF"/>
    <w:rsid w:val="00263991"/>
    <w:rsid w:val="002741AD"/>
    <w:rsid w:val="002761FB"/>
    <w:rsid w:val="00276304"/>
    <w:rsid w:val="002918A8"/>
    <w:rsid w:val="002943D8"/>
    <w:rsid w:val="00295526"/>
    <w:rsid w:val="002B360A"/>
    <w:rsid w:val="002B62F5"/>
    <w:rsid w:val="002C1117"/>
    <w:rsid w:val="002C76FA"/>
    <w:rsid w:val="002C79CC"/>
    <w:rsid w:val="002D2AE4"/>
    <w:rsid w:val="002D590F"/>
    <w:rsid w:val="002E097E"/>
    <w:rsid w:val="002E5A45"/>
    <w:rsid w:val="00304EDE"/>
    <w:rsid w:val="003069FE"/>
    <w:rsid w:val="0031231B"/>
    <w:rsid w:val="00312CE1"/>
    <w:rsid w:val="00312EE1"/>
    <w:rsid w:val="00315DBC"/>
    <w:rsid w:val="00316FA6"/>
    <w:rsid w:val="003319FD"/>
    <w:rsid w:val="00334542"/>
    <w:rsid w:val="00346C01"/>
    <w:rsid w:val="00347084"/>
    <w:rsid w:val="00347929"/>
    <w:rsid w:val="00347D92"/>
    <w:rsid w:val="00352BF0"/>
    <w:rsid w:val="003578F2"/>
    <w:rsid w:val="00366E6A"/>
    <w:rsid w:val="003742BF"/>
    <w:rsid w:val="00377065"/>
    <w:rsid w:val="0038365F"/>
    <w:rsid w:val="00383BE7"/>
    <w:rsid w:val="003D3394"/>
    <w:rsid w:val="003D701D"/>
    <w:rsid w:val="003E5984"/>
    <w:rsid w:val="003F1305"/>
    <w:rsid w:val="003F3552"/>
    <w:rsid w:val="00400E97"/>
    <w:rsid w:val="0040197A"/>
    <w:rsid w:val="00402243"/>
    <w:rsid w:val="0040673A"/>
    <w:rsid w:val="00411604"/>
    <w:rsid w:val="0041240D"/>
    <w:rsid w:val="004138EA"/>
    <w:rsid w:val="00425527"/>
    <w:rsid w:val="00433C84"/>
    <w:rsid w:val="00433F50"/>
    <w:rsid w:val="00441337"/>
    <w:rsid w:val="004555D9"/>
    <w:rsid w:val="00455F73"/>
    <w:rsid w:val="0045672D"/>
    <w:rsid w:val="004625ED"/>
    <w:rsid w:val="0048756E"/>
    <w:rsid w:val="00496407"/>
    <w:rsid w:val="004A4D5D"/>
    <w:rsid w:val="004A4EB1"/>
    <w:rsid w:val="004A58CD"/>
    <w:rsid w:val="004B3DEB"/>
    <w:rsid w:val="004B5519"/>
    <w:rsid w:val="004C710F"/>
    <w:rsid w:val="004E238C"/>
    <w:rsid w:val="00501229"/>
    <w:rsid w:val="00550066"/>
    <w:rsid w:val="0055059F"/>
    <w:rsid w:val="00551733"/>
    <w:rsid w:val="00555170"/>
    <w:rsid w:val="0057192A"/>
    <w:rsid w:val="00575EF0"/>
    <w:rsid w:val="005A282E"/>
    <w:rsid w:val="005A7228"/>
    <w:rsid w:val="005C5CBC"/>
    <w:rsid w:val="005F0CA4"/>
    <w:rsid w:val="005F2B27"/>
    <w:rsid w:val="00611992"/>
    <w:rsid w:val="00631529"/>
    <w:rsid w:val="00634B2D"/>
    <w:rsid w:val="00656B48"/>
    <w:rsid w:val="00662EB0"/>
    <w:rsid w:val="006634CF"/>
    <w:rsid w:val="00666122"/>
    <w:rsid w:val="00672368"/>
    <w:rsid w:val="0068676F"/>
    <w:rsid w:val="006941A5"/>
    <w:rsid w:val="006948F0"/>
    <w:rsid w:val="006A4C8E"/>
    <w:rsid w:val="006A64F7"/>
    <w:rsid w:val="006B1335"/>
    <w:rsid w:val="006C1D93"/>
    <w:rsid w:val="006C248E"/>
    <w:rsid w:val="006C3AD5"/>
    <w:rsid w:val="006D080D"/>
    <w:rsid w:val="006D4B81"/>
    <w:rsid w:val="006D76CF"/>
    <w:rsid w:val="006F74F5"/>
    <w:rsid w:val="00706C4C"/>
    <w:rsid w:val="0072214F"/>
    <w:rsid w:val="007276BA"/>
    <w:rsid w:val="00730D1B"/>
    <w:rsid w:val="00736690"/>
    <w:rsid w:val="007429E3"/>
    <w:rsid w:val="007512D2"/>
    <w:rsid w:val="00763D50"/>
    <w:rsid w:val="00766AC1"/>
    <w:rsid w:val="00774531"/>
    <w:rsid w:val="00774629"/>
    <w:rsid w:val="007763C0"/>
    <w:rsid w:val="0078016C"/>
    <w:rsid w:val="007A2760"/>
    <w:rsid w:val="007C1E1D"/>
    <w:rsid w:val="007C719C"/>
    <w:rsid w:val="007D470E"/>
    <w:rsid w:val="007E21B7"/>
    <w:rsid w:val="007E3239"/>
    <w:rsid w:val="007F3161"/>
    <w:rsid w:val="007F6A3A"/>
    <w:rsid w:val="007F7834"/>
    <w:rsid w:val="0080307B"/>
    <w:rsid w:val="00804B12"/>
    <w:rsid w:val="00810047"/>
    <w:rsid w:val="00810424"/>
    <w:rsid w:val="008108DF"/>
    <w:rsid w:val="00815C2D"/>
    <w:rsid w:val="00816157"/>
    <w:rsid w:val="00816D2A"/>
    <w:rsid w:val="008269B4"/>
    <w:rsid w:val="00833A6A"/>
    <w:rsid w:val="00837726"/>
    <w:rsid w:val="008435FF"/>
    <w:rsid w:val="00845628"/>
    <w:rsid w:val="00845F08"/>
    <w:rsid w:val="00847F4B"/>
    <w:rsid w:val="0086038F"/>
    <w:rsid w:val="008613E4"/>
    <w:rsid w:val="008642EA"/>
    <w:rsid w:val="00871593"/>
    <w:rsid w:val="008716A8"/>
    <w:rsid w:val="00893CAF"/>
    <w:rsid w:val="008A0EBF"/>
    <w:rsid w:val="008A2BB2"/>
    <w:rsid w:val="008A2C2F"/>
    <w:rsid w:val="008A550D"/>
    <w:rsid w:val="008D25B6"/>
    <w:rsid w:val="008D3227"/>
    <w:rsid w:val="008D4132"/>
    <w:rsid w:val="008D4613"/>
    <w:rsid w:val="009036E2"/>
    <w:rsid w:val="00917360"/>
    <w:rsid w:val="0092693C"/>
    <w:rsid w:val="00930145"/>
    <w:rsid w:val="00931CFB"/>
    <w:rsid w:val="009320ED"/>
    <w:rsid w:val="00941E31"/>
    <w:rsid w:val="0095034B"/>
    <w:rsid w:val="00956823"/>
    <w:rsid w:val="00961AEF"/>
    <w:rsid w:val="00964416"/>
    <w:rsid w:val="0097095F"/>
    <w:rsid w:val="00971FB6"/>
    <w:rsid w:val="00982424"/>
    <w:rsid w:val="009A34DD"/>
    <w:rsid w:val="009A5ADD"/>
    <w:rsid w:val="009A7644"/>
    <w:rsid w:val="009C0A0D"/>
    <w:rsid w:val="009C3CB0"/>
    <w:rsid w:val="009C5848"/>
    <w:rsid w:val="009C5C6A"/>
    <w:rsid w:val="009D3B74"/>
    <w:rsid w:val="009D6452"/>
    <w:rsid w:val="009E07E8"/>
    <w:rsid w:val="009F7246"/>
    <w:rsid w:val="00A01FF1"/>
    <w:rsid w:val="00A072C4"/>
    <w:rsid w:val="00A07786"/>
    <w:rsid w:val="00A110DA"/>
    <w:rsid w:val="00A15F7A"/>
    <w:rsid w:val="00A24110"/>
    <w:rsid w:val="00A26C13"/>
    <w:rsid w:val="00A33527"/>
    <w:rsid w:val="00A36C0A"/>
    <w:rsid w:val="00A3738D"/>
    <w:rsid w:val="00A55226"/>
    <w:rsid w:val="00A5737E"/>
    <w:rsid w:val="00A60178"/>
    <w:rsid w:val="00A76F69"/>
    <w:rsid w:val="00A91CC0"/>
    <w:rsid w:val="00A97F59"/>
    <w:rsid w:val="00AA1F1C"/>
    <w:rsid w:val="00AA51A2"/>
    <w:rsid w:val="00AA67D2"/>
    <w:rsid w:val="00AC05C8"/>
    <w:rsid w:val="00AC08EC"/>
    <w:rsid w:val="00AC3794"/>
    <w:rsid w:val="00AD00A6"/>
    <w:rsid w:val="00AD0197"/>
    <w:rsid w:val="00AD6037"/>
    <w:rsid w:val="00AF7D85"/>
    <w:rsid w:val="00B02BB5"/>
    <w:rsid w:val="00B12E68"/>
    <w:rsid w:val="00B12EC0"/>
    <w:rsid w:val="00B17BEE"/>
    <w:rsid w:val="00B251DC"/>
    <w:rsid w:val="00B25F2D"/>
    <w:rsid w:val="00B33C67"/>
    <w:rsid w:val="00B4383A"/>
    <w:rsid w:val="00B6365E"/>
    <w:rsid w:val="00B72CC7"/>
    <w:rsid w:val="00B72D36"/>
    <w:rsid w:val="00B86A1C"/>
    <w:rsid w:val="00B9514E"/>
    <w:rsid w:val="00BC11F2"/>
    <w:rsid w:val="00BC4357"/>
    <w:rsid w:val="00BD0082"/>
    <w:rsid w:val="00BD1169"/>
    <w:rsid w:val="00BD2FEF"/>
    <w:rsid w:val="00BD5E2E"/>
    <w:rsid w:val="00BE054A"/>
    <w:rsid w:val="00BF130E"/>
    <w:rsid w:val="00BF205B"/>
    <w:rsid w:val="00BF681C"/>
    <w:rsid w:val="00C00668"/>
    <w:rsid w:val="00C03F9E"/>
    <w:rsid w:val="00C060FD"/>
    <w:rsid w:val="00C168EA"/>
    <w:rsid w:val="00C2218B"/>
    <w:rsid w:val="00C463DE"/>
    <w:rsid w:val="00C66C26"/>
    <w:rsid w:val="00C70379"/>
    <w:rsid w:val="00C70619"/>
    <w:rsid w:val="00C70A62"/>
    <w:rsid w:val="00C86F9A"/>
    <w:rsid w:val="00C94E31"/>
    <w:rsid w:val="00CB5C4C"/>
    <w:rsid w:val="00CC4D11"/>
    <w:rsid w:val="00CC68D6"/>
    <w:rsid w:val="00CD7A99"/>
    <w:rsid w:val="00CE5D1A"/>
    <w:rsid w:val="00CF6DDE"/>
    <w:rsid w:val="00D06A42"/>
    <w:rsid w:val="00D07F92"/>
    <w:rsid w:val="00D10983"/>
    <w:rsid w:val="00D148B4"/>
    <w:rsid w:val="00D251E8"/>
    <w:rsid w:val="00D33DE7"/>
    <w:rsid w:val="00D36135"/>
    <w:rsid w:val="00D44271"/>
    <w:rsid w:val="00D4527E"/>
    <w:rsid w:val="00D63A09"/>
    <w:rsid w:val="00D721C8"/>
    <w:rsid w:val="00D83325"/>
    <w:rsid w:val="00D873F7"/>
    <w:rsid w:val="00D94814"/>
    <w:rsid w:val="00DB4070"/>
    <w:rsid w:val="00DD2BD8"/>
    <w:rsid w:val="00DD4242"/>
    <w:rsid w:val="00DE263F"/>
    <w:rsid w:val="00DE2A86"/>
    <w:rsid w:val="00DE40C2"/>
    <w:rsid w:val="00DF5067"/>
    <w:rsid w:val="00E046BD"/>
    <w:rsid w:val="00E17596"/>
    <w:rsid w:val="00E200E0"/>
    <w:rsid w:val="00E264E8"/>
    <w:rsid w:val="00E44BB3"/>
    <w:rsid w:val="00E478CB"/>
    <w:rsid w:val="00E563B8"/>
    <w:rsid w:val="00E63F9A"/>
    <w:rsid w:val="00E6713D"/>
    <w:rsid w:val="00E754FD"/>
    <w:rsid w:val="00E8160A"/>
    <w:rsid w:val="00E8797D"/>
    <w:rsid w:val="00E93EFA"/>
    <w:rsid w:val="00E95EE1"/>
    <w:rsid w:val="00EA1D51"/>
    <w:rsid w:val="00EB6E9D"/>
    <w:rsid w:val="00EB7904"/>
    <w:rsid w:val="00ED0F61"/>
    <w:rsid w:val="00EE2C7D"/>
    <w:rsid w:val="00EF11FD"/>
    <w:rsid w:val="00F05587"/>
    <w:rsid w:val="00F1400C"/>
    <w:rsid w:val="00F333E7"/>
    <w:rsid w:val="00F37265"/>
    <w:rsid w:val="00F45A3F"/>
    <w:rsid w:val="00F6117F"/>
    <w:rsid w:val="00F612D2"/>
    <w:rsid w:val="00F65F2D"/>
    <w:rsid w:val="00F67C14"/>
    <w:rsid w:val="00F67C19"/>
    <w:rsid w:val="00F73FB0"/>
    <w:rsid w:val="00F75D86"/>
    <w:rsid w:val="00F76DE1"/>
    <w:rsid w:val="00F843B6"/>
    <w:rsid w:val="00FA3F14"/>
    <w:rsid w:val="00FB042B"/>
    <w:rsid w:val="00FB7180"/>
    <w:rsid w:val="00FC7A00"/>
    <w:rsid w:val="00FD7028"/>
    <w:rsid w:val="00FD7CF9"/>
    <w:rsid w:val="00FE04E3"/>
    <w:rsid w:val="00FF62DF"/>
    <w:rsid w:val="01C9417B"/>
    <w:rsid w:val="033433CD"/>
    <w:rsid w:val="04C50528"/>
    <w:rsid w:val="06E728E4"/>
    <w:rsid w:val="092F14AC"/>
    <w:rsid w:val="0A2552B4"/>
    <w:rsid w:val="0BE61692"/>
    <w:rsid w:val="0C0444C5"/>
    <w:rsid w:val="0E5258B9"/>
    <w:rsid w:val="0F5848BD"/>
    <w:rsid w:val="0FB278A4"/>
    <w:rsid w:val="10FC16EA"/>
    <w:rsid w:val="13021E3F"/>
    <w:rsid w:val="13465DAC"/>
    <w:rsid w:val="139513AE"/>
    <w:rsid w:val="14962256"/>
    <w:rsid w:val="14C804A6"/>
    <w:rsid w:val="162E3271"/>
    <w:rsid w:val="16F83DC9"/>
    <w:rsid w:val="198C19F9"/>
    <w:rsid w:val="1B0F4F57"/>
    <w:rsid w:val="1F1220B1"/>
    <w:rsid w:val="1F375EA0"/>
    <w:rsid w:val="1FD707C9"/>
    <w:rsid w:val="200545EF"/>
    <w:rsid w:val="20664BB5"/>
    <w:rsid w:val="208A18F1"/>
    <w:rsid w:val="2222290C"/>
    <w:rsid w:val="23700030"/>
    <w:rsid w:val="259E0645"/>
    <w:rsid w:val="25F200CF"/>
    <w:rsid w:val="26537D14"/>
    <w:rsid w:val="285F54CF"/>
    <w:rsid w:val="2BA94BE7"/>
    <w:rsid w:val="2CE618B6"/>
    <w:rsid w:val="2DC76CFD"/>
    <w:rsid w:val="2E2F2B52"/>
    <w:rsid w:val="308F4C3A"/>
    <w:rsid w:val="31F61B87"/>
    <w:rsid w:val="323E2ACC"/>
    <w:rsid w:val="33251AE9"/>
    <w:rsid w:val="363C4E06"/>
    <w:rsid w:val="36C21BE7"/>
    <w:rsid w:val="37820D4F"/>
    <w:rsid w:val="389B1F46"/>
    <w:rsid w:val="38E70267"/>
    <w:rsid w:val="39CE7FA1"/>
    <w:rsid w:val="3B732625"/>
    <w:rsid w:val="3BC14218"/>
    <w:rsid w:val="3CD134FA"/>
    <w:rsid w:val="41A6493B"/>
    <w:rsid w:val="450042C0"/>
    <w:rsid w:val="460E2D77"/>
    <w:rsid w:val="47CF49F6"/>
    <w:rsid w:val="48A40ED8"/>
    <w:rsid w:val="496F6108"/>
    <w:rsid w:val="4A5C030F"/>
    <w:rsid w:val="4A8F03B7"/>
    <w:rsid w:val="4AAA260D"/>
    <w:rsid w:val="4AF22A01"/>
    <w:rsid w:val="4D41354B"/>
    <w:rsid w:val="50795316"/>
    <w:rsid w:val="50887BD7"/>
    <w:rsid w:val="52935D52"/>
    <w:rsid w:val="52CA5AE0"/>
    <w:rsid w:val="5329368F"/>
    <w:rsid w:val="5340173E"/>
    <w:rsid w:val="53932FAA"/>
    <w:rsid w:val="53C16078"/>
    <w:rsid w:val="54680BE2"/>
    <w:rsid w:val="54CC782F"/>
    <w:rsid w:val="55B77B04"/>
    <w:rsid w:val="58A911FA"/>
    <w:rsid w:val="59243E89"/>
    <w:rsid w:val="59CB7C73"/>
    <w:rsid w:val="5B9B465A"/>
    <w:rsid w:val="5E2A018B"/>
    <w:rsid w:val="5F172392"/>
    <w:rsid w:val="62444AC8"/>
    <w:rsid w:val="641254F8"/>
    <w:rsid w:val="65790D87"/>
    <w:rsid w:val="68A60B90"/>
    <w:rsid w:val="705F10F1"/>
    <w:rsid w:val="72A662C9"/>
    <w:rsid w:val="73730B78"/>
    <w:rsid w:val="7490224A"/>
    <w:rsid w:val="77904DB5"/>
    <w:rsid w:val="77C2468B"/>
    <w:rsid w:val="7CF0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styleId="8">
    <w:name w:val="page number"/>
    <w:basedOn w:val="6"/>
    <w:uiPriority w:val="0"/>
  </w:style>
  <w:style w:type="character" w:customStyle="1" w:styleId="10">
    <w:name w:val="页眉 Char"/>
    <w:link w:val="4"/>
    <w:qFormat/>
    <w:uiPriority w:val="0"/>
    <w:rPr>
      <w:sz w:val="18"/>
      <w:szCs w:val="18"/>
    </w:rPr>
  </w:style>
  <w:style w:type="character" w:customStyle="1" w:styleId="11">
    <w:name w:val="页脚 Char"/>
    <w:link w:val="3"/>
    <w:uiPriority w:val="0"/>
    <w:rPr>
      <w:sz w:val="18"/>
      <w:szCs w:val="18"/>
    </w:rPr>
  </w:style>
  <w:style w:type="character" w:customStyle="1" w:styleId="12">
    <w:name w:val="批注框文本 Char"/>
    <w:link w:val="2"/>
    <w:semiHidden/>
    <w:qFormat/>
    <w:uiPriority w:val="99"/>
    <w:rPr>
      <w:rFonts w:ascii="Times New Roman" w:hAnsi="Times New Roman" w:eastAsia="宋体" w:cs="Times New Roman"/>
      <w:sz w:val="18"/>
      <w:szCs w:val="18"/>
    </w:rPr>
  </w:style>
  <w:style w:type="character" w:customStyle="1" w:styleId="13">
    <w:name w:val="font01"/>
    <w:uiPriority w:val="0"/>
    <w:rPr>
      <w:rFonts w:hint="default" w:ascii="Times New Roman" w:hAnsi="Times New Roman" w:cs="Times New Roman"/>
      <w:b/>
      <w:color w:val="000000"/>
      <w:sz w:val="18"/>
      <w:szCs w:val="18"/>
      <w:u w:val="none"/>
    </w:rPr>
  </w:style>
  <w:style w:type="character" w:customStyle="1" w:styleId="14">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32508;&#21512;\&#37096;&#38376;&#25968;&#25454;\2018\2018&#24180;GDP.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32508;&#21512;\&#37096;&#38376;&#25968;&#25454;\2018\2018&#24180;GDP.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32508;&#21512;\&#20844;&#25253;\2018&#24180;&#20844;&#25253;&#25968;&#25454;\&#21508;&#19987;&#19994;&#25968;&#25454;\&#20844;&#25253;&#38656;&#35201;&#24314;&#31569;&#21644;&#25151;&#22320;&#20135;&#26041;&#38754;&#30340;&#25968;&#2545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32508;&#21512;\&#37096;&#38376;&#25968;&#25454;\2018\12&#26376;&#25237;&#36164;&#25151;&#22320;&#20135;.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32508;&#21512;\&#37096;&#38376;&#25968;&#25454;\2018\12&#26376;&#36152;&#2613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32508;&#21512;\&#37096;&#38376;&#25968;&#25454;\2018\2018.12&#38134;&#34892;&#19994;&#36816;&#34892;&#24773;&#20917;&#26376;&#25253;&#27719;&#24635;&#34920;(&#25253;&#32479;&#35745;&#23616;).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H:\&#32508;&#21512;\&#20844;&#25253;\2018&#24180;&#20844;&#25253;&#25968;&#25454;\&#37096;&#38376;&#25968;&#25454;\&#25945;&#22996;\&#25945;&#32946;&#25968;&#25454;&#35745;&#31639;201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320" b="0" i="0" u="none" strike="noStrike" kern="1200" spc="0" baseline="0">
                <a:solidFill>
                  <a:schemeClr val="tx1">
                    <a:lumMod val="65000"/>
                    <a:lumOff val="35000"/>
                  </a:schemeClr>
                </a:solidFill>
                <a:latin typeface="+mn-lt"/>
                <a:ea typeface="+mn-ea"/>
                <a:cs typeface="+mn-cs"/>
              </a:defRPr>
            </a:pPr>
            <a:r>
              <a:rPr lang="zh-CN"/>
              <a:t>图</a:t>
            </a:r>
            <a:r>
              <a:rPr lang="en-US"/>
              <a:t>1    2014-2018</a:t>
            </a:r>
            <a:r>
              <a:rPr lang="zh-CN"/>
              <a:t>年地区生产总值及其增长速度</a:t>
            </a:r>
            <a:endParaRPr lang="zh-CN"/>
          </a:p>
        </c:rich>
      </c:tx>
      <c:layout/>
      <c:overlay val="0"/>
      <c:spPr>
        <a:noFill/>
        <a:ln>
          <a:noFill/>
        </a:ln>
        <a:effectLst/>
      </c:spPr>
    </c:title>
    <c:autoTitleDeleted val="0"/>
    <c:plotArea>
      <c:layout/>
      <c:barChart>
        <c:barDir val="col"/>
        <c:grouping val="clustered"/>
        <c:varyColors val="0"/>
        <c:ser>
          <c:idx val="0"/>
          <c:order val="0"/>
          <c:tx>
            <c:strRef>
              <c:f>Sheet2!$B$2</c:f>
              <c:strCache>
                <c:ptCount val="1"/>
                <c:pt idx="0">
                  <c:v>地区生产总值（万元）</c:v>
                </c:pt>
              </c:strCache>
            </c:strRef>
          </c:tx>
          <c:spPr>
            <a:solidFill>
              <a:schemeClr val="accent1"/>
            </a:solidFill>
            <a:ln>
              <a:noFill/>
            </a:ln>
            <a:effectLst/>
          </c:spPr>
          <c:invertIfNegative val="0"/>
          <c:dLbls>
            <c:delete val="1"/>
          </c:dLbls>
          <c:cat>
            <c:numRef>
              <c:f>Sheet2!$A$3:$A$7</c:f>
              <c:numCache>
                <c:formatCode>General</c:formatCode>
                <c:ptCount val="5"/>
                <c:pt idx="0">
                  <c:v>2014</c:v>
                </c:pt>
                <c:pt idx="1">
                  <c:v>2015</c:v>
                </c:pt>
                <c:pt idx="2">
                  <c:v>2016</c:v>
                </c:pt>
                <c:pt idx="3">
                  <c:v>2017</c:v>
                </c:pt>
                <c:pt idx="4">
                  <c:v>2018</c:v>
                </c:pt>
              </c:numCache>
            </c:numRef>
          </c:cat>
          <c:val>
            <c:numRef>
              <c:f>Sheet2!$B$3:$B$7</c:f>
              <c:numCache>
                <c:formatCode>General</c:formatCode>
                <c:ptCount val="5"/>
                <c:pt idx="0">
                  <c:v>3004235</c:v>
                </c:pt>
                <c:pt idx="1">
                  <c:v>3298733</c:v>
                </c:pt>
                <c:pt idx="2">
                  <c:v>3681237</c:v>
                </c:pt>
                <c:pt idx="3">
                  <c:v>4147947</c:v>
                </c:pt>
                <c:pt idx="4">
                  <c:v>5048801</c:v>
                </c:pt>
              </c:numCache>
            </c:numRef>
          </c:val>
        </c:ser>
        <c:dLbls>
          <c:showLegendKey val="0"/>
          <c:showVal val="0"/>
          <c:showCatName val="0"/>
          <c:showSerName val="0"/>
          <c:showPercent val="0"/>
          <c:showBubbleSize val="0"/>
        </c:dLbls>
        <c:gapWidth val="219"/>
        <c:axId val="373993104"/>
        <c:axId val="373993496"/>
      </c:barChart>
      <c:lineChart>
        <c:grouping val="standard"/>
        <c:varyColors val="0"/>
        <c:ser>
          <c:idx val="1"/>
          <c:order val="1"/>
          <c:tx>
            <c:strRef>
              <c:f>Sheet2!$C$2</c:f>
              <c:strCache>
                <c:ptCount val="1"/>
                <c:pt idx="0">
                  <c:v>比上年增长（%）</c:v>
                </c:pt>
              </c:strCache>
            </c:strRef>
          </c:tx>
          <c:spPr>
            <a:ln w="28575" cap="rnd">
              <a:solidFill>
                <a:schemeClr val="accent2"/>
              </a:solidFill>
              <a:round/>
            </a:ln>
            <a:effectLst/>
          </c:spPr>
          <c:marker>
            <c:symbol val="none"/>
          </c:marker>
          <c:dLbls>
            <c:delete val="1"/>
          </c:dLbls>
          <c:cat>
            <c:numRef>
              <c:f>Sheet2!$A$3:$A$7</c:f>
              <c:numCache>
                <c:formatCode>General</c:formatCode>
                <c:ptCount val="5"/>
                <c:pt idx="0">
                  <c:v>2014</c:v>
                </c:pt>
                <c:pt idx="1">
                  <c:v>2015</c:v>
                </c:pt>
                <c:pt idx="2">
                  <c:v>2016</c:v>
                </c:pt>
                <c:pt idx="3">
                  <c:v>2017</c:v>
                </c:pt>
                <c:pt idx="4">
                  <c:v>2018</c:v>
                </c:pt>
              </c:numCache>
            </c:numRef>
          </c:cat>
          <c:val>
            <c:numRef>
              <c:f>Sheet2!$C$3:$C$7</c:f>
              <c:numCache>
                <c:formatCode>General</c:formatCode>
                <c:ptCount val="5"/>
                <c:pt idx="0">
                  <c:v>12</c:v>
                </c:pt>
                <c:pt idx="1">
                  <c:v>11.7</c:v>
                </c:pt>
                <c:pt idx="2">
                  <c:v>10.8</c:v>
                </c:pt>
                <c:pt idx="3">
                  <c:v>9.2</c:v>
                </c:pt>
                <c:pt idx="4">
                  <c:v>9.5</c:v>
                </c:pt>
              </c:numCache>
            </c:numRef>
          </c:val>
          <c:smooth val="0"/>
        </c:ser>
        <c:dLbls>
          <c:showLegendKey val="0"/>
          <c:showVal val="0"/>
          <c:showCatName val="0"/>
          <c:showSerName val="0"/>
          <c:showPercent val="0"/>
          <c:showBubbleSize val="0"/>
        </c:dLbls>
        <c:marker val="0"/>
        <c:smooth val="0"/>
        <c:axId val="542812200"/>
        <c:axId val="542811808"/>
      </c:lineChart>
      <c:catAx>
        <c:axId val="37399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373993496"/>
        <c:crosses val="autoZero"/>
        <c:auto val="1"/>
        <c:lblAlgn val="ctr"/>
        <c:lblOffset val="100"/>
        <c:noMultiLvlLbl val="0"/>
      </c:catAx>
      <c:valAx>
        <c:axId val="37399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373993104"/>
        <c:crosses val="autoZero"/>
        <c:crossBetween val="between"/>
      </c:valAx>
      <c:catAx>
        <c:axId val="54281220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42811808"/>
        <c:crosses val="autoZero"/>
        <c:auto val="1"/>
        <c:lblAlgn val="ctr"/>
        <c:lblOffset val="100"/>
        <c:noMultiLvlLbl val="0"/>
      </c:catAx>
      <c:valAx>
        <c:axId val="54281180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42812200"/>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100" baseline="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r>
              <a:rPr lang="zh-CN"/>
              <a:t>图</a:t>
            </a:r>
            <a:r>
              <a:rPr lang="en-US"/>
              <a:t>2   2014-2018</a:t>
            </a:r>
            <a:r>
              <a:rPr lang="zh-CN"/>
              <a:t>年工业增加值及其增长速度</a:t>
            </a:r>
            <a:endParaRPr lang="zh-CN"/>
          </a:p>
        </c:rich>
      </c:tx>
      <c:layout/>
      <c:overlay val="0"/>
      <c:spPr>
        <a:noFill/>
        <a:ln>
          <a:noFill/>
        </a:ln>
        <a:effectLst/>
      </c:spPr>
    </c:title>
    <c:autoTitleDeleted val="0"/>
    <c:plotArea>
      <c:layout/>
      <c:barChart>
        <c:barDir val="col"/>
        <c:grouping val="clustered"/>
        <c:varyColors val="0"/>
        <c:ser>
          <c:idx val="0"/>
          <c:order val="0"/>
          <c:tx>
            <c:strRef>
              <c:f>Sheet2!$B$25</c:f>
              <c:strCache>
                <c:ptCount val="1"/>
                <c:pt idx="0">
                  <c:v>工业增加值（万元）</c:v>
                </c:pt>
              </c:strCache>
            </c:strRef>
          </c:tx>
          <c:spPr>
            <a:solidFill>
              <a:schemeClr val="accent1"/>
            </a:solidFill>
            <a:ln>
              <a:noFill/>
            </a:ln>
            <a:effectLst/>
          </c:spPr>
          <c:invertIfNegative val="0"/>
          <c:dLbls>
            <c:delete val="1"/>
          </c:dLbls>
          <c:cat>
            <c:numRef>
              <c:f>Sheet2!$A$26:$A$30</c:f>
              <c:numCache>
                <c:formatCode>General</c:formatCode>
                <c:ptCount val="5"/>
                <c:pt idx="0">
                  <c:v>2014</c:v>
                </c:pt>
                <c:pt idx="1">
                  <c:v>2015</c:v>
                </c:pt>
                <c:pt idx="2">
                  <c:v>2016</c:v>
                </c:pt>
                <c:pt idx="3">
                  <c:v>2017</c:v>
                </c:pt>
                <c:pt idx="4">
                  <c:v>2018</c:v>
                </c:pt>
              </c:numCache>
            </c:numRef>
          </c:cat>
          <c:val>
            <c:numRef>
              <c:f>Sheet2!$B$26:$B$30</c:f>
              <c:numCache>
                <c:formatCode>General</c:formatCode>
                <c:ptCount val="5"/>
                <c:pt idx="0">
                  <c:v>1552581</c:v>
                </c:pt>
                <c:pt idx="1">
                  <c:v>1670351</c:v>
                </c:pt>
                <c:pt idx="2">
                  <c:v>1823533</c:v>
                </c:pt>
                <c:pt idx="3">
                  <c:v>2087645</c:v>
                </c:pt>
                <c:pt idx="4">
                  <c:v>2320914</c:v>
                </c:pt>
              </c:numCache>
            </c:numRef>
          </c:val>
        </c:ser>
        <c:dLbls>
          <c:showLegendKey val="0"/>
          <c:showVal val="0"/>
          <c:showCatName val="0"/>
          <c:showSerName val="0"/>
          <c:showPercent val="0"/>
          <c:showBubbleSize val="0"/>
        </c:dLbls>
        <c:gapWidth val="219"/>
        <c:axId val="542813376"/>
        <c:axId val="456193912"/>
      </c:barChart>
      <c:lineChart>
        <c:grouping val="standard"/>
        <c:varyColors val="0"/>
        <c:ser>
          <c:idx val="1"/>
          <c:order val="1"/>
          <c:tx>
            <c:strRef>
              <c:f>Sheet2!$C$25</c:f>
              <c:strCache>
                <c:ptCount val="1"/>
                <c:pt idx="0">
                  <c:v>比上年增长（%）</c:v>
                </c:pt>
              </c:strCache>
            </c:strRef>
          </c:tx>
          <c:spPr>
            <a:ln w="28575" cap="rnd">
              <a:solidFill>
                <a:schemeClr val="accent2"/>
              </a:solidFill>
              <a:round/>
            </a:ln>
            <a:effectLst/>
          </c:spPr>
          <c:marker>
            <c:symbol val="none"/>
          </c:marker>
          <c:dLbls>
            <c:delete val="1"/>
          </c:dLbls>
          <c:cat>
            <c:numRef>
              <c:f>Sheet2!$A$26:$A$30</c:f>
              <c:numCache>
                <c:formatCode>General</c:formatCode>
                <c:ptCount val="5"/>
                <c:pt idx="0">
                  <c:v>2014</c:v>
                </c:pt>
                <c:pt idx="1">
                  <c:v>2015</c:v>
                </c:pt>
                <c:pt idx="2">
                  <c:v>2016</c:v>
                </c:pt>
                <c:pt idx="3">
                  <c:v>2017</c:v>
                </c:pt>
                <c:pt idx="4">
                  <c:v>2018</c:v>
                </c:pt>
              </c:numCache>
            </c:numRef>
          </c:cat>
          <c:val>
            <c:numRef>
              <c:f>Sheet2!$C$26:$C$30</c:f>
              <c:numCache>
                <c:formatCode>General</c:formatCode>
                <c:ptCount val="5"/>
                <c:pt idx="0">
                  <c:v>13.1</c:v>
                </c:pt>
                <c:pt idx="1">
                  <c:v>11.6</c:v>
                </c:pt>
                <c:pt idx="2">
                  <c:v>10.8</c:v>
                </c:pt>
                <c:pt idx="3">
                  <c:v>10.5</c:v>
                </c:pt>
                <c:pt idx="4">
                  <c:v>9.1</c:v>
                </c:pt>
              </c:numCache>
            </c:numRef>
          </c:val>
          <c:smooth val="0"/>
        </c:ser>
        <c:dLbls>
          <c:showLegendKey val="0"/>
          <c:showVal val="0"/>
          <c:showCatName val="0"/>
          <c:showSerName val="0"/>
          <c:showPercent val="0"/>
          <c:showBubbleSize val="0"/>
        </c:dLbls>
        <c:marker val="0"/>
        <c:smooth val="0"/>
        <c:axId val="456194696"/>
        <c:axId val="456194304"/>
      </c:lineChart>
      <c:catAx>
        <c:axId val="54281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56193912"/>
        <c:crosses val="autoZero"/>
        <c:auto val="1"/>
        <c:lblAlgn val="ctr"/>
        <c:lblOffset val="100"/>
        <c:noMultiLvlLbl val="0"/>
      </c:catAx>
      <c:valAx>
        <c:axId val="456193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42813376"/>
        <c:crosses val="autoZero"/>
        <c:crossBetween val="between"/>
      </c:valAx>
      <c:catAx>
        <c:axId val="4561946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56194304"/>
        <c:crosses val="autoZero"/>
        <c:auto val="1"/>
        <c:lblAlgn val="ctr"/>
        <c:lblOffset val="100"/>
        <c:noMultiLvlLbl val="0"/>
      </c:catAx>
      <c:valAx>
        <c:axId val="4561943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56194696"/>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baseline="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320" b="0" i="0" u="none" strike="noStrike" kern="1200" spc="0" baseline="0">
                <a:ln>
                  <a:noFill/>
                </a:ln>
                <a:solidFill>
                  <a:sysClr val="windowText" lastClr="000000"/>
                </a:solidFill>
                <a:latin typeface="+mn-lt"/>
                <a:ea typeface="+mn-ea"/>
                <a:cs typeface="+mn-cs"/>
              </a:defRPr>
            </a:pPr>
            <a:r>
              <a:rPr lang="zh-CN"/>
              <a:t>图</a:t>
            </a:r>
            <a:r>
              <a:rPr lang="en-US"/>
              <a:t>3  2014-2018</a:t>
            </a:r>
            <a:r>
              <a:rPr lang="zh-CN"/>
              <a:t>年建筑业增加值及其增长速度</a:t>
            </a:r>
            <a:endParaRPr lang="zh-CN"/>
          </a:p>
        </c:rich>
      </c:tx>
      <c:layout/>
      <c:overlay val="0"/>
      <c:spPr>
        <a:noFill/>
        <a:ln>
          <a:noFill/>
        </a:ln>
        <a:effectLst/>
      </c:spPr>
    </c:title>
    <c:autoTitleDeleted val="0"/>
    <c:plotArea>
      <c:layout/>
      <c:barChart>
        <c:barDir val="col"/>
        <c:grouping val="clustered"/>
        <c:varyColors val="0"/>
        <c:ser>
          <c:idx val="0"/>
          <c:order val="0"/>
          <c:tx>
            <c:strRef>
              <c:f>Sheet2!$B$2</c:f>
              <c:strCache>
                <c:ptCount val="1"/>
                <c:pt idx="0">
                  <c:v>建筑业增加值（万元）</c:v>
                </c:pt>
              </c:strCache>
            </c:strRef>
          </c:tx>
          <c:spPr>
            <a:solidFill>
              <a:schemeClr val="accent1"/>
            </a:solidFill>
            <a:ln>
              <a:noFill/>
            </a:ln>
            <a:effectLst/>
          </c:spPr>
          <c:invertIfNegative val="0"/>
          <c:dLbls>
            <c:delete val="1"/>
          </c:dLbls>
          <c:val>
            <c:numRef>
              <c:f>Sheet2!$B$3:$B$7</c:f>
              <c:numCache>
                <c:formatCode>General</c:formatCode>
                <c:ptCount val="5"/>
                <c:pt idx="0">
                  <c:v>351397</c:v>
                </c:pt>
                <c:pt idx="1">
                  <c:v>407383</c:v>
                </c:pt>
                <c:pt idx="2">
                  <c:v>468612</c:v>
                </c:pt>
                <c:pt idx="3">
                  <c:v>550701</c:v>
                </c:pt>
                <c:pt idx="4">
                  <c:v>620012</c:v>
                </c:pt>
              </c:numCache>
            </c:numRef>
          </c:val>
        </c:ser>
        <c:dLbls>
          <c:showLegendKey val="0"/>
          <c:showVal val="0"/>
          <c:showCatName val="0"/>
          <c:showSerName val="0"/>
          <c:showPercent val="0"/>
          <c:showBubbleSize val="0"/>
        </c:dLbls>
        <c:gapWidth val="219"/>
        <c:overlap val="-27"/>
        <c:axId val="375535680"/>
        <c:axId val="375536072"/>
      </c:barChart>
      <c:lineChart>
        <c:grouping val="standard"/>
        <c:varyColors val="0"/>
        <c:ser>
          <c:idx val="1"/>
          <c:order val="1"/>
          <c:tx>
            <c:strRef>
              <c:f>Sheet2!$C$2</c:f>
              <c:strCache>
                <c:ptCount val="1"/>
                <c:pt idx="0">
                  <c:v>比上年增长（%）</c:v>
                </c:pt>
              </c:strCache>
            </c:strRef>
          </c:tx>
          <c:spPr>
            <a:ln w="28575" cap="rnd">
              <a:solidFill>
                <a:schemeClr val="accent2"/>
              </a:solidFill>
              <a:round/>
            </a:ln>
            <a:effectLst/>
          </c:spPr>
          <c:marker>
            <c:symbol val="none"/>
          </c:marker>
          <c:dLbls>
            <c:delete val="1"/>
          </c:dLbls>
          <c:val>
            <c:numRef>
              <c:f>Sheet2!$C$3:$C$7</c:f>
              <c:numCache>
                <c:formatCode>General</c:formatCode>
                <c:ptCount val="5"/>
                <c:pt idx="0">
                  <c:v>21.3</c:v>
                </c:pt>
                <c:pt idx="1">
                  <c:v>19.2</c:v>
                </c:pt>
                <c:pt idx="2" c:formatCode="0.0_ ">
                  <c:v>17</c:v>
                </c:pt>
                <c:pt idx="3">
                  <c:v>9.9</c:v>
                </c:pt>
                <c:pt idx="4">
                  <c:v>6.6</c:v>
                </c:pt>
              </c:numCache>
            </c:numRef>
          </c:val>
          <c:smooth val="0"/>
        </c:ser>
        <c:dLbls>
          <c:showLegendKey val="0"/>
          <c:showVal val="0"/>
          <c:showCatName val="0"/>
          <c:showSerName val="0"/>
          <c:showPercent val="0"/>
          <c:showBubbleSize val="0"/>
        </c:dLbls>
        <c:marker val="0"/>
        <c:smooth val="0"/>
        <c:axId val="375536856"/>
        <c:axId val="375536464"/>
      </c:lineChart>
      <c:catAx>
        <c:axId val="375535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ln>
                  <a:noFill/>
                </a:ln>
                <a:solidFill>
                  <a:sysClr val="windowText" lastClr="000000"/>
                </a:solidFill>
                <a:latin typeface="+mn-lt"/>
                <a:ea typeface="+mn-ea"/>
                <a:cs typeface="+mn-cs"/>
              </a:defRPr>
            </a:pPr>
          </a:p>
        </c:txPr>
        <c:crossAx val="375536072"/>
        <c:crosses val="autoZero"/>
        <c:auto val="1"/>
        <c:lblAlgn val="ctr"/>
        <c:lblOffset val="100"/>
        <c:noMultiLvlLbl val="0"/>
      </c:catAx>
      <c:valAx>
        <c:axId val="375536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ln>
                  <a:noFill/>
                </a:ln>
                <a:solidFill>
                  <a:sysClr val="windowText" lastClr="000000"/>
                </a:solidFill>
                <a:latin typeface="+mn-lt"/>
                <a:ea typeface="+mn-ea"/>
                <a:cs typeface="+mn-cs"/>
              </a:defRPr>
            </a:pPr>
          </a:p>
        </c:txPr>
        <c:crossAx val="375535680"/>
        <c:crosses val="autoZero"/>
        <c:crossBetween val="between"/>
      </c:valAx>
      <c:catAx>
        <c:axId val="375536856"/>
        <c:scaling>
          <c:orientation val="minMax"/>
        </c:scaling>
        <c:delete val="1"/>
        <c:axPos val="b"/>
        <c:majorTickMark val="out"/>
        <c:minorTickMark val="none"/>
        <c:tickLblPos val="nextTo"/>
        <c:txPr>
          <a:bodyPr rot="-60000000" spcFirstLastPara="0" vertOverflow="ellipsis" vert="horz" wrap="square" anchor="ctr" anchorCtr="1"/>
          <a:lstStyle/>
          <a:p>
            <a:pPr>
              <a:defRPr lang="zh-CN" sz="1100" b="0" i="0" u="none" strike="noStrike" kern="1200" baseline="0">
                <a:ln>
                  <a:noFill/>
                </a:ln>
                <a:solidFill>
                  <a:sysClr val="windowText" lastClr="000000"/>
                </a:solidFill>
                <a:latin typeface="+mn-lt"/>
                <a:ea typeface="+mn-ea"/>
                <a:cs typeface="+mn-cs"/>
              </a:defRPr>
            </a:pPr>
          </a:p>
        </c:txPr>
        <c:crossAx val="375536464"/>
        <c:crosses val="autoZero"/>
        <c:auto val="1"/>
        <c:lblAlgn val="ctr"/>
        <c:lblOffset val="100"/>
        <c:noMultiLvlLbl val="0"/>
      </c:catAx>
      <c:valAx>
        <c:axId val="3755364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ln>
                  <a:noFill/>
                </a:ln>
                <a:solidFill>
                  <a:sysClr val="windowText" lastClr="000000"/>
                </a:solidFill>
                <a:latin typeface="+mn-lt"/>
                <a:ea typeface="+mn-ea"/>
                <a:cs typeface="+mn-cs"/>
              </a:defRPr>
            </a:pPr>
          </a:p>
        </c:txPr>
        <c:crossAx val="375536856"/>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100" b="0" i="0" u="none" strike="noStrike" kern="1200" baseline="0">
                <a:ln>
                  <a:noFill/>
                </a:ln>
                <a:solidFill>
                  <a:sysClr val="windowText" lastClr="000000"/>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100" b="0" i="0" u="none" strike="noStrike" kern="1200" baseline="0">
              <a:ln>
                <a:noFill/>
              </a:ln>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c:spPr>
  <c:txPr>
    <a:bodyPr/>
    <a:lstStyle/>
    <a:p>
      <a:pPr>
        <a:defRPr lang="zh-CN" sz="1100" baseline="0">
          <a:ln>
            <a:noFill/>
          </a:ln>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  2014-2018</a:t>
            </a:r>
            <a:r>
              <a:rPr lang="zh-CN" altLang="en-US"/>
              <a:t>年固定资产投资增长速度</a:t>
            </a:r>
            <a:endParaRPr lang="zh-CN" altLang="en-US"/>
          </a:p>
        </c:rich>
      </c:tx>
      <c:layout/>
      <c:overlay val="0"/>
      <c:spPr>
        <a:noFill/>
        <a:ln>
          <a:noFill/>
        </a:ln>
        <a:effectLst/>
      </c:spPr>
    </c:title>
    <c:autoTitleDeleted val="0"/>
    <c:plotArea>
      <c:layout/>
      <c:lineChart>
        <c:grouping val="standard"/>
        <c:varyColors val="0"/>
        <c:ser>
          <c:idx val="0"/>
          <c:order val="0"/>
          <c:tx>
            <c:strRef>
              <c:f>Sheet1!$B$1</c:f>
              <c:strCache>
                <c:ptCount val="1"/>
                <c:pt idx="0">
                  <c:v>比上年增长%</c:v>
                </c:pt>
              </c:strCache>
            </c:strRef>
          </c:tx>
          <c:spPr>
            <a:ln w="28575" cap="rnd">
              <a:solidFill>
                <a:schemeClr val="accent1"/>
              </a:solidFill>
              <a:round/>
            </a:ln>
            <a:effectLst/>
          </c:spPr>
          <c:marker>
            <c:symbol val="none"/>
          </c:marker>
          <c:dLbls>
            <c:delete val="1"/>
          </c:dLbls>
          <c:cat>
            <c:numRef>
              <c:f>Sheet1!$A$2:$A$6</c:f>
              <c:numCache>
                <c:formatCode>General</c:formatCode>
                <c:ptCount val="5"/>
                <c:pt idx="0">
                  <c:v>2014</c:v>
                </c:pt>
                <c:pt idx="1">
                  <c:v>2015</c:v>
                </c:pt>
                <c:pt idx="2">
                  <c:v>2016</c:v>
                </c:pt>
                <c:pt idx="3">
                  <c:v>2017</c:v>
                </c:pt>
                <c:pt idx="4">
                  <c:v>2018</c:v>
                </c:pt>
              </c:numCache>
            </c:numRef>
          </c:cat>
          <c:val>
            <c:numRef>
              <c:f>Sheet1!$B$2:$B$6</c:f>
              <c:numCache>
                <c:formatCode>0.0_);[Red]\(0.0\)</c:formatCode>
                <c:ptCount val="5"/>
                <c:pt idx="0">
                  <c:v>22.1</c:v>
                </c:pt>
                <c:pt idx="1">
                  <c:v>20.2</c:v>
                </c:pt>
                <c:pt idx="2">
                  <c:v>16</c:v>
                </c:pt>
                <c:pt idx="3">
                  <c:v>13.5</c:v>
                </c:pt>
                <c:pt idx="4">
                  <c:v>10.7</c:v>
                </c:pt>
              </c:numCache>
            </c:numRef>
          </c:val>
          <c:smooth val="0"/>
        </c:ser>
        <c:dLbls>
          <c:showLegendKey val="0"/>
          <c:showVal val="0"/>
          <c:showCatName val="0"/>
          <c:showSerName val="0"/>
          <c:showPercent val="0"/>
          <c:showBubbleSize val="0"/>
        </c:dLbls>
        <c:marker val="0"/>
        <c:smooth val="0"/>
        <c:axId val="701803000"/>
        <c:axId val="701803392"/>
      </c:lineChart>
      <c:catAx>
        <c:axId val="70180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803392"/>
        <c:crosses val="autoZero"/>
        <c:auto val="1"/>
        <c:lblAlgn val="ctr"/>
        <c:lblOffset val="100"/>
        <c:noMultiLvlLbl val="0"/>
      </c:catAx>
      <c:valAx>
        <c:axId val="701803392"/>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7018030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a:t>
            </a:r>
            <a:r>
              <a:rPr lang="en-US" altLang="zh-CN" baseline="0"/>
              <a:t>   2014-2018</a:t>
            </a:r>
            <a:r>
              <a:rPr lang="zh-CN" altLang="en-US" baseline="0"/>
              <a:t>年社会消费品零售总额增长速度</a:t>
            </a:r>
            <a:endParaRPr lang="en-US" altLang="zh-CN"/>
          </a:p>
        </c:rich>
      </c:tx>
      <c:layout/>
      <c:overlay val="0"/>
      <c:spPr>
        <a:noFill/>
        <a:ln>
          <a:noFill/>
        </a:ln>
        <a:effectLst/>
      </c:spPr>
    </c:title>
    <c:autoTitleDeleted val="0"/>
    <c:plotArea>
      <c:layout/>
      <c:lineChart>
        <c:grouping val="standard"/>
        <c:varyColors val="0"/>
        <c:ser>
          <c:idx val="0"/>
          <c:order val="0"/>
          <c:tx>
            <c:strRef>
              <c:f>Sheet3!$B$1</c:f>
              <c:strCache>
                <c:ptCount val="1"/>
                <c:pt idx="0">
                  <c:v>比上年增长%</c:v>
                </c:pt>
              </c:strCache>
            </c:strRef>
          </c:tx>
          <c:spPr>
            <a:ln w="28575" cap="rnd">
              <a:solidFill>
                <a:schemeClr val="accent1"/>
              </a:solidFill>
              <a:round/>
            </a:ln>
            <a:effectLst/>
          </c:spPr>
          <c:marker>
            <c:symbol val="none"/>
          </c:marker>
          <c:dLbls>
            <c:delete val="1"/>
          </c:dLbls>
          <c:cat>
            <c:numRef>
              <c:f>Sheet3!$A$2:$A$6</c:f>
              <c:numCache>
                <c:formatCode>General</c:formatCode>
                <c:ptCount val="5"/>
                <c:pt idx="0">
                  <c:v>2014</c:v>
                </c:pt>
                <c:pt idx="1">
                  <c:v>2015</c:v>
                </c:pt>
                <c:pt idx="2">
                  <c:v>2016</c:v>
                </c:pt>
                <c:pt idx="3">
                  <c:v>2017</c:v>
                </c:pt>
                <c:pt idx="4">
                  <c:v>2018</c:v>
                </c:pt>
              </c:numCache>
            </c:numRef>
          </c:cat>
          <c:val>
            <c:numRef>
              <c:f>Sheet3!$B$2:$B$6</c:f>
              <c:numCache>
                <c:formatCode>General</c:formatCode>
                <c:ptCount val="5"/>
                <c:pt idx="0">
                  <c:v>14.8</c:v>
                </c:pt>
                <c:pt idx="1">
                  <c:v>13.9</c:v>
                </c:pt>
                <c:pt idx="2">
                  <c:v>13.6</c:v>
                </c:pt>
                <c:pt idx="3">
                  <c:v>13.3</c:v>
                </c:pt>
                <c:pt idx="4">
                  <c:v>13.1</c:v>
                </c:pt>
              </c:numCache>
            </c:numRef>
          </c:val>
          <c:smooth val="0"/>
        </c:ser>
        <c:dLbls>
          <c:showLegendKey val="0"/>
          <c:showVal val="0"/>
          <c:showCatName val="0"/>
          <c:showSerName val="0"/>
          <c:showPercent val="0"/>
          <c:showBubbleSize val="0"/>
        </c:dLbls>
        <c:marker val="0"/>
        <c:smooth val="0"/>
        <c:axId val="701804568"/>
        <c:axId val="701804960"/>
      </c:lineChart>
      <c:catAx>
        <c:axId val="70180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804960"/>
        <c:crosses val="autoZero"/>
        <c:auto val="1"/>
        <c:lblAlgn val="ctr"/>
        <c:lblOffset val="100"/>
        <c:noMultiLvlLbl val="0"/>
      </c:catAx>
      <c:valAx>
        <c:axId val="70180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701804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6</a:t>
            </a:r>
            <a:r>
              <a:rPr lang="en-US" altLang="zh-CN" baseline="0"/>
              <a:t>    2014-2018</a:t>
            </a:r>
            <a:r>
              <a:rPr lang="zh-CN" altLang="en-US" baseline="0"/>
              <a:t>年金融机构存贷款余额</a:t>
            </a:r>
            <a:endParaRPr lang="zh-CN" altLang="en-US"/>
          </a:p>
        </c:rich>
      </c:tx>
      <c:layout/>
      <c:overlay val="0"/>
      <c:spPr>
        <a:noFill/>
        <a:ln>
          <a:noFill/>
        </a:ln>
        <a:effectLst/>
      </c:spPr>
    </c:title>
    <c:autoTitleDeleted val="0"/>
    <c:plotArea>
      <c:layout/>
      <c:barChart>
        <c:barDir val="col"/>
        <c:grouping val="clustered"/>
        <c:varyColors val="0"/>
        <c:ser>
          <c:idx val="0"/>
          <c:order val="0"/>
          <c:tx>
            <c:strRef>
              <c:f>'2018年12月汇总表(报统计局)'!$AJ$24</c:f>
              <c:strCache>
                <c:ptCount val="1"/>
                <c:pt idx="0">
                  <c:v>金融机构存款余额（万元）</c:v>
                </c:pt>
              </c:strCache>
            </c:strRef>
          </c:tx>
          <c:spPr>
            <a:solidFill>
              <a:schemeClr val="accent1"/>
            </a:solidFill>
            <a:ln>
              <a:noFill/>
            </a:ln>
            <a:effectLst/>
          </c:spPr>
          <c:invertIfNegative val="0"/>
          <c:dLbls>
            <c:delete val="1"/>
          </c:dLbls>
          <c:cat>
            <c:numRef>
              <c:f>'2018年12月汇总表(报统计局)'!$AI$25:$AI$29</c:f>
              <c:numCache>
                <c:formatCode>0_);[Red]\(0\)</c:formatCode>
                <c:ptCount val="5"/>
                <c:pt idx="0" c:formatCode="0_);[Red]\(0\)">
                  <c:v>2014</c:v>
                </c:pt>
                <c:pt idx="1" c:formatCode="0_);[Red]\(0\)">
                  <c:v>2015</c:v>
                </c:pt>
                <c:pt idx="2" c:formatCode="0_);[Red]\(0\)">
                  <c:v>2016</c:v>
                </c:pt>
                <c:pt idx="3" c:formatCode="0_);[Red]\(0\)">
                  <c:v>2017</c:v>
                </c:pt>
                <c:pt idx="4" c:formatCode="0_);[Red]\(0\)">
                  <c:v>2018</c:v>
                </c:pt>
              </c:numCache>
            </c:numRef>
          </c:cat>
          <c:val>
            <c:numRef>
              <c:f>'2018年12月汇总表(报统计局)'!$AJ$25:$AJ$29</c:f>
              <c:numCache>
                <c:formatCode>0_);[Red]\(0\)</c:formatCode>
                <c:ptCount val="5"/>
                <c:pt idx="0">
                  <c:v>2329160</c:v>
                </c:pt>
                <c:pt idx="1">
                  <c:v>2717047</c:v>
                </c:pt>
                <c:pt idx="2">
                  <c:v>2948059</c:v>
                </c:pt>
                <c:pt idx="3">
                  <c:v>3361010</c:v>
                </c:pt>
                <c:pt idx="4">
                  <c:v>3499354</c:v>
                </c:pt>
              </c:numCache>
            </c:numRef>
          </c:val>
        </c:ser>
        <c:ser>
          <c:idx val="1"/>
          <c:order val="1"/>
          <c:tx>
            <c:strRef>
              <c:f>'2018年12月汇总表(报统计局)'!$AK$24</c:f>
              <c:strCache>
                <c:ptCount val="1"/>
                <c:pt idx="0">
                  <c:v>金融机构贷款余额（万元）</c:v>
                </c:pt>
              </c:strCache>
            </c:strRef>
          </c:tx>
          <c:spPr>
            <a:solidFill>
              <a:schemeClr val="accent2"/>
            </a:solidFill>
            <a:ln>
              <a:noFill/>
            </a:ln>
            <a:effectLst/>
          </c:spPr>
          <c:invertIfNegative val="0"/>
          <c:dLbls>
            <c:delete val="1"/>
          </c:dLbls>
          <c:cat>
            <c:numRef>
              <c:f>'2018年12月汇总表(报统计局)'!$AI$25:$AI$29</c:f>
              <c:numCache>
                <c:formatCode>0_);[Red]\(0\)</c:formatCode>
                <c:ptCount val="5"/>
                <c:pt idx="0" c:formatCode="0_);[Red]\(0\)">
                  <c:v>2014</c:v>
                </c:pt>
                <c:pt idx="1" c:formatCode="0_);[Red]\(0\)">
                  <c:v>2015</c:v>
                </c:pt>
                <c:pt idx="2" c:formatCode="0_);[Red]\(0\)">
                  <c:v>2016</c:v>
                </c:pt>
                <c:pt idx="3" c:formatCode="0_);[Red]\(0\)">
                  <c:v>2017</c:v>
                </c:pt>
                <c:pt idx="4" c:formatCode="0_);[Red]\(0\)">
                  <c:v>2018</c:v>
                </c:pt>
              </c:numCache>
            </c:numRef>
          </c:cat>
          <c:val>
            <c:numRef>
              <c:f>'2018年12月汇总表(报统计局)'!$AK$25:$AK$29</c:f>
              <c:numCache>
                <c:formatCode>0_);[Red]\(0\)</c:formatCode>
                <c:ptCount val="5"/>
                <c:pt idx="0">
                  <c:v>1519660</c:v>
                </c:pt>
                <c:pt idx="1">
                  <c:v>1723638</c:v>
                </c:pt>
                <c:pt idx="2">
                  <c:v>1874296</c:v>
                </c:pt>
                <c:pt idx="3">
                  <c:v>2268840</c:v>
                </c:pt>
                <c:pt idx="4">
                  <c:v>2715329</c:v>
                </c:pt>
              </c:numCache>
            </c:numRef>
          </c:val>
        </c:ser>
        <c:dLbls>
          <c:showLegendKey val="0"/>
          <c:showVal val="0"/>
          <c:showCatName val="0"/>
          <c:showSerName val="0"/>
          <c:showPercent val="0"/>
          <c:showBubbleSize val="0"/>
        </c:dLbls>
        <c:gapWidth val="219"/>
        <c:overlap val="-27"/>
        <c:axId val="701806136"/>
        <c:axId val="451081624"/>
      </c:barChart>
      <c:catAx>
        <c:axId val="701806136"/>
        <c:scaling>
          <c:orientation val="minMax"/>
        </c:scaling>
        <c:delete val="0"/>
        <c:axPos val="b"/>
        <c:numFmt formatCode="0_);[Red]\(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081624"/>
        <c:crosses val="autoZero"/>
        <c:auto val="1"/>
        <c:lblAlgn val="ctr"/>
        <c:lblOffset val="100"/>
        <c:noMultiLvlLbl val="0"/>
      </c:catAx>
      <c:valAx>
        <c:axId val="45108162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701806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r>
              <a:rPr lang="zh-CN" altLang="en-US" sz="1200" baseline="0"/>
              <a:t>图</a:t>
            </a:r>
            <a:r>
              <a:rPr lang="en-US" altLang="zh-CN" sz="1200" baseline="0"/>
              <a:t>7   </a:t>
            </a:r>
            <a:r>
              <a:rPr lang="zh-CN" altLang="en-US" sz="1200" baseline="0"/>
              <a:t>按收入来源分的全区常住居民人均可支配收入及占比</a:t>
            </a:r>
            <a:endParaRPr lang="zh-CN" altLang="en-US" sz="1200" baseline="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Sheet1!$A$8:$A$11</c:f>
              <c:strCache>
                <c:ptCount val="4"/>
                <c:pt idx="0">
                  <c:v>人均工资性收入14039元占比52.1%</c:v>
                </c:pt>
                <c:pt idx="1">
                  <c:v>人均经营净收入4770元占比17.7%</c:v>
                </c:pt>
                <c:pt idx="2">
                  <c:v>人均财产净收入1444元占比5.4%</c:v>
                </c:pt>
                <c:pt idx="3">
                  <c:v>人均转移净收入6673元占比24.8%</c:v>
                </c:pt>
              </c:strCache>
            </c:strRef>
          </c:cat>
          <c:val>
            <c:numRef>
              <c:f>Sheet1!$B$8:$B$11</c:f>
              <c:numCache>
                <c:formatCode>0.0%</c:formatCode>
                <c:ptCount val="4"/>
                <c:pt idx="0">
                  <c:v>0.521</c:v>
                </c:pt>
                <c:pt idx="1">
                  <c:v>0.177</c:v>
                </c:pt>
                <c:pt idx="2">
                  <c:v>0.054</c:v>
                </c:pt>
                <c:pt idx="3">
                  <c:v>0.248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8</a:t>
            </a:r>
            <a:r>
              <a:rPr lang="en-US" altLang="zh-CN" baseline="0"/>
              <a:t>   2014-2018</a:t>
            </a:r>
            <a:r>
              <a:rPr lang="zh-CN" altLang="en-US" baseline="0"/>
              <a:t>年中小学 教育招生人数</a:t>
            </a:r>
            <a:endParaRPr lang="zh-CN" altLang="en-US"/>
          </a:p>
        </c:rich>
      </c:tx>
      <c:layout/>
      <c:overlay val="0"/>
      <c:spPr>
        <a:noFill/>
        <a:ln>
          <a:noFill/>
        </a:ln>
        <a:effectLst/>
      </c:spPr>
    </c:title>
    <c:autoTitleDeleted val="0"/>
    <c:plotArea>
      <c:layout/>
      <c:barChart>
        <c:barDir val="col"/>
        <c:grouping val="clustered"/>
        <c:varyColors val="0"/>
        <c:ser>
          <c:idx val="0"/>
          <c:order val="0"/>
          <c:tx>
            <c:strRef>
              <c:f>'2017'!$J$32</c:f>
              <c:strCache>
                <c:ptCount val="1"/>
                <c:pt idx="0">
                  <c:v>小学招生人数（人）</c:v>
                </c:pt>
              </c:strCache>
            </c:strRef>
          </c:tx>
          <c:spPr>
            <a:solidFill>
              <a:schemeClr val="accent1"/>
            </a:solidFill>
            <a:ln>
              <a:noFill/>
            </a:ln>
            <a:effectLst/>
          </c:spPr>
          <c:invertIfNegative val="0"/>
          <c:dLbls>
            <c:delete val="1"/>
          </c:dLbls>
          <c:cat>
            <c:numRef>
              <c:f>'2017'!$I$33:$I$37</c:f>
              <c:numCache>
                <c:formatCode>General</c:formatCode>
                <c:ptCount val="5"/>
                <c:pt idx="0">
                  <c:v>2014</c:v>
                </c:pt>
                <c:pt idx="1">
                  <c:v>2015</c:v>
                </c:pt>
                <c:pt idx="2">
                  <c:v>2016</c:v>
                </c:pt>
                <c:pt idx="3">
                  <c:v>2017</c:v>
                </c:pt>
                <c:pt idx="4">
                  <c:v>2018</c:v>
                </c:pt>
              </c:numCache>
            </c:numRef>
          </c:cat>
          <c:val>
            <c:numRef>
              <c:f>'2017'!$J$33:$J$37</c:f>
              <c:numCache>
                <c:formatCode>General</c:formatCode>
                <c:ptCount val="5"/>
                <c:pt idx="0">
                  <c:v>8752</c:v>
                </c:pt>
                <c:pt idx="1">
                  <c:v>8084</c:v>
                </c:pt>
                <c:pt idx="2">
                  <c:v>7531</c:v>
                </c:pt>
                <c:pt idx="3">
                  <c:v>6934</c:v>
                </c:pt>
                <c:pt idx="4">
                  <c:v>6862</c:v>
                </c:pt>
              </c:numCache>
            </c:numRef>
          </c:val>
        </c:ser>
        <c:ser>
          <c:idx val="1"/>
          <c:order val="1"/>
          <c:tx>
            <c:strRef>
              <c:f>'2017'!$K$32</c:f>
              <c:strCache>
                <c:ptCount val="1"/>
                <c:pt idx="0">
                  <c:v>普通中学招生人数（人）</c:v>
                </c:pt>
              </c:strCache>
            </c:strRef>
          </c:tx>
          <c:spPr>
            <a:solidFill>
              <a:schemeClr val="accent2"/>
            </a:solidFill>
            <a:ln>
              <a:noFill/>
            </a:ln>
            <a:effectLst/>
          </c:spPr>
          <c:invertIfNegative val="0"/>
          <c:dLbls>
            <c:delete val="1"/>
          </c:dLbls>
          <c:cat>
            <c:numRef>
              <c:f>'2017'!$I$33:$I$37</c:f>
              <c:numCache>
                <c:formatCode>General</c:formatCode>
                <c:ptCount val="5"/>
                <c:pt idx="0">
                  <c:v>2014</c:v>
                </c:pt>
                <c:pt idx="1">
                  <c:v>2015</c:v>
                </c:pt>
                <c:pt idx="2">
                  <c:v>2016</c:v>
                </c:pt>
                <c:pt idx="3">
                  <c:v>2017</c:v>
                </c:pt>
                <c:pt idx="4">
                  <c:v>2018</c:v>
                </c:pt>
              </c:numCache>
            </c:numRef>
          </c:cat>
          <c:val>
            <c:numRef>
              <c:f>'2017'!$K$33:$K$37</c:f>
              <c:numCache>
                <c:formatCode>General</c:formatCode>
                <c:ptCount val="5"/>
                <c:pt idx="0">
                  <c:v>12228</c:v>
                </c:pt>
                <c:pt idx="1">
                  <c:v>11615</c:v>
                </c:pt>
                <c:pt idx="2">
                  <c:v>12445</c:v>
                </c:pt>
                <c:pt idx="3">
                  <c:v>13492</c:v>
                </c:pt>
                <c:pt idx="4">
                  <c:v>13069</c:v>
                </c:pt>
              </c:numCache>
            </c:numRef>
          </c:val>
        </c:ser>
        <c:dLbls>
          <c:showLegendKey val="0"/>
          <c:showVal val="0"/>
          <c:showCatName val="0"/>
          <c:showSerName val="0"/>
          <c:showPercent val="0"/>
          <c:showBubbleSize val="0"/>
        </c:dLbls>
        <c:gapWidth val="219"/>
        <c:overlap val="-27"/>
        <c:axId val="451083192"/>
        <c:axId val="452197896"/>
      </c:barChart>
      <c:catAx>
        <c:axId val="45108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197896"/>
        <c:crosses val="autoZero"/>
        <c:auto val="1"/>
        <c:lblAlgn val="ctr"/>
        <c:lblOffset val="100"/>
        <c:noMultiLvlLbl val="0"/>
      </c:catAx>
      <c:valAx>
        <c:axId val="452197896"/>
        <c:scaling>
          <c:orientation val="minMax"/>
        </c:scaling>
        <c:delete val="0"/>
        <c:axPos val="l"/>
        <c:majorGridlines>
          <c:spPr>
            <a:ln w="9525" cap="flat" cmpd="sng" algn="ctr">
              <a:solidFill>
                <a:schemeClr val="tx1">
                  <a:lumMod val="15000"/>
                  <a:lumOff val="85000"/>
                </a:schemeClr>
              </a:solidFill>
              <a:round/>
              <a:headEnd type="none"/>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083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1316</Words>
  <Characters>7504</Characters>
  <Lines>62</Lines>
  <Paragraphs>17</Paragraphs>
  <TotalTime>4205</TotalTime>
  <ScaleCrop>false</ScaleCrop>
  <LinksUpToDate>false</LinksUpToDate>
  <CharactersWithSpaces>8803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2019-01-21T07:15:00Z</dcterms:created>
  <dc:creator>msw</dc:creator>
  <cp:lastModifiedBy>Administrator</cp:lastModifiedBy>
  <cp:lastPrinted>2019-03-14T01:28:00Z</cp:lastPrinted>
  <dcterms:modified xsi:type="dcterms:W3CDTF">2025-01-09T10:04:49Z</dcterms:modified>
  <dc:title>2016年荣昌区国民经济和社会发展统计公报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