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line="600" w:lineRule="atLeast"/>
        <w:jc w:val="center"/>
      </w:pPr>
      <w:r>
        <w:rPr>
          <w:rFonts w:ascii="方正小标宋_GBK" w:hAnsi="方正小标宋_GBK" w:eastAsia="方正小标宋_GBK" w:cs="方正小标宋_GBK"/>
          <w:color w:val="000000"/>
          <w:sz w:val="36"/>
          <w:szCs w:val="36"/>
        </w:rPr>
        <w:t>重庆市</w:t>
      </w:r>
      <w:r>
        <w:rPr>
          <w:rFonts w:hint="eastAsia" w:ascii="方正小标宋_GBK" w:hAnsi="方正小标宋_GBK" w:eastAsia="方正小标宋_GBK" w:cs="方正小标宋_GBK"/>
          <w:color w:val="000000"/>
          <w:sz w:val="36"/>
          <w:szCs w:val="36"/>
        </w:rPr>
        <w:t>荣昌区</w:t>
      </w:r>
      <w:r>
        <w:rPr>
          <w:rFonts w:ascii="方正小标宋_GBK" w:hAnsi="方正小标宋_GBK" w:eastAsia="方正小标宋_GBK" w:cs="方正小标宋_GBK"/>
          <w:color w:val="000000"/>
          <w:sz w:val="36"/>
          <w:szCs w:val="36"/>
        </w:rPr>
        <w:t>第四次全国经济普查公报（第</w:t>
      </w:r>
      <w:r>
        <w:rPr>
          <w:rFonts w:hint="eastAsia" w:ascii="方正小标宋_GBK" w:hAnsi="方正小标宋_GBK" w:eastAsia="方正小标宋_GBK" w:cs="方正小标宋_GBK"/>
          <w:color w:val="000000"/>
          <w:sz w:val="36"/>
          <w:szCs w:val="36"/>
          <w:lang w:eastAsia="zh-CN"/>
        </w:rPr>
        <w:t>四</w:t>
      </w:r>
      <w:r>
        <w:rPr>
          <w:rFonts w:ascii="方正小标宋_GBK" w:hAnsi="方正小标宋_GBK" w:eastAsia="方正小标宋_GBK" w:cs="方正小标宋_GBK"/>
          <w:color w:val="000000"/>
          <w:sz w:val="36"/>
          <w:szCs w:val="36"/>
        </w:rPr>
        <w:t>号）</w:t>
      </w:r>
    </w:p>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hint="eastAsia" w:ascii="方正楷体_GBK" w:hAnsi="方正楷体_GBK" w:eastAsia="方正楷体_GBK" w:cs="方正楷体_GBK"/>
          <w:color w:val="000000"/>
          <w:sz w:val="31"/>
          <w:szCs w:val="31"/>
        </w:rPr>
      </w:pPr>
      <w:r>
        <w:rPr>
          <w:rFonts w:hint="eastAsia" w:ascii="方正楷体_GBK" w:hAnsi="方正楷体_GBK" w:eastAsia="方正楷体_GBK" w:cs="方正楷体_GBK"/>
          <w:color w:val="000000"/>
          <w:sz w:val="31"/>
          <w:szCs w:val="31"/>
        </w:rPr>
        <w:t>——第三产业基本情况之一</w:t>
      </w:r>
    </w:p>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hint="eastAsia" w:ascii="方正楷体_GBK" w:hAnsi="方正楷体_GBK" w:eastAsia="方正楷体_GBK" w:cs="方正楷体_GBK"/>
          <w:color w:val="000000"/>
          <w:sz w:val="31"/>
          <w:szCs w:val="31"/>
        </w:rPr>
      </w:pPr>
    </w:p>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hint="eastAsia" w:ascii="方正楷体_GBK" w:hAnsi="方正楷体_GBK" w:eastAsia="方正楷体_GBK" w:cs="方正楷体_GBK"/>
          <w:color w:val="000000"/>
          <w:sz w:val="31"/>
          <w:szCs w:val="31"/>
        </w:rPr>
      </w:pPr>
      <w:r>
        <w:rPr>
          <w:rFonts w:hint="eastAsia" w:ascii="方正楷体_GBK" w:hAnsi="方正楷体_GBK" w:eastAsia="方正楷体_GBK" w:cs="方正楷体_GBK"/>
          <w:color w:val="000000"/>
          <w:sz w:val="31"/>
          <w:szCs w:val="31"/>
        </w:rPr>
        <w:t>重庆市荣昌区统计局</w:t>
      </w:r>
    </w:p>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hint="eastAsia" w:ascii="方正楷体_GBK" w:hAnsi="方正楷体_GBK" w:eastAsia="方正楷体_GBK" w:cs="方正楷体_GBK"/>
          <w:color w:val="000000"/>
          <w:sz w:val="31"/>
          <w:szCs w:val="31"/>
        </w:rPr>
      </w:pPr>
      <w:r>
        <w:rPr>
          <w:rFonts w:hint="eastAsia" w:ascii="方正楷体_GBK" w:hAnsi="方正楷体_GBK" w:eastAsia="方正楷体_GBK" w:cs="方正楷体_GBK"/>
          <w:color w:val="000000"/>
          <w:sz w:val="31"/>
          <w:szCs w:val="31"/>
        </w:rPr>
        <w:t>重庆市荣昌区人民政府第四次全国经济普查领导小组办公室</w:t>
      </w:r>
    </w:p>
    <w:p>
      <w:pPr>
        <w:pStyle w:val="4"/>
        <w:keepNext w:val="0"/>
        <w:keepLines w:val="0"/>
        <w:pageBreakBefore w:val="0"/>
        <w:widowControl/>
        <w:kinsoku/>
        <w:wordWrap/>
        <w:overflowPunct/>
        <w:topLinePunct w:val="0"/>
        <w:autoSpaceDE/>
        <w:autoSpaceDN/>
        <w:bidi w:val="0"/>
        <w:adjustRightInd/>
        <w:snapToGrid/>
        <w:spacing w:line="600" w:lineRule="atLeast"/>
        <w:jc w:val="center"/>
        <w:textAlignment w:val="auto"/>
        <w:rPr>
          <w:rFonts w:hint="eastAsia" w:ascii="方正楷体_GBK" w:hAnsi="方正楷体_GBK" w:eastAsia="方正楷体_GBK" w:cs="方正楷体_GBK"/>
          <w:color w:val="000000"/>
          <w:sz w:val="31"/>
          <w:szCs w:val="31"/>
        </w:rPr>
      </w:pPr>
      <w:r>
        <w:rPr>
          <w:rFonts w:hint="eastAsia" w:ascii="方正楷体_GBK" w:hAnsi="方正楷体_GBK" w:eastAsia="方正楷体_GBK" w:cs="方正楷体_GBK"/>
          <w:color w:val="000000"/>
          <w:sz w:val="31"/>
          <w:szCs w:val="31"/>
        </w:rPr>
        <w:t>2020年3月</w:t>
      </w:r>
      <w:r>
        <w:rPr>
          <w:rFonts w:hint="eastAsia" w:ascii="方正楷体_GBK" w:hAnsi="方正楷体_GBK" w:eastAsia="方正楷体_GBK" w:cs="方正楷体_GBK"/>
          <w:color w:val="000000"/>
          <w:sz w:val="31"/>
          <w:szCs w:val="31"/>
          <w:lang w:val="en-US" w:eastAsia="zh-CN"/>
        </w:rPr>
        <w:t>30</w:t>
      </w:r>
      <w:r>
        <w:rPr>
          <w:rFonts w:hint="eastAsia" w:ascii="方正楷体_GBK" w:hAnsi="方正楷体_GBK" w:eastAsia="方正楷体_GBK" w:cs="方正楷体_GBK"/>
          <w:color w:val="000000"/>
          <w:sz w:val="31"/>
          <w:szCs w:val="31"/>
        </w:rPr>
        <w:t>日</w:t>
      </w:r>
    </w:p>
    <w:p>
      <w:pPr>
        <w:widowControl/>
        <w:spacing w:line="560" w:lineRule="exact"/>
        <w:jc w:val="left"/>
        <w:rPr>
          <w:rFonts w:hint="eastAsia" w:ascii="Times New Roman" w:hAnsi="Times New Roman" w:eastAsia="宋体" w:cs="Times New Roman"/>
          <w:color w:val="FF0000"/>
          <w:kern w:val="0"/>
          <w:sz w:val="24"/>
          <w:szCs w:val="24"/>
          <w:lang w:eastAsia="zh-CN"/>
        </w:rPr>
      </w:pPr>
    </w:p>
    <w:p>
      <w:pPr>
        <w:widowControl/>
        <w:spacing w:line="56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根据</w:t>
      </w:r>
      <w:r>
        <w:rPr>
          <w:rFonts w:hint="eastAsia" w:ascii="Times New Roman" w:hAnsi="Times New Roman" w:eastAsia="仿宋_GB2312" w:cs="Times New Roman"/>
          <w:color w:val="auto"/>
          <w:kern w:val="0"/>
          <w:sz w:val="32"/>
          <w:szCs w:val="32"/>
          <w:lang w:eastAsia="zh-CN"/>
        </w:rPr>
        <w:t>第四次全国经济普查</w:t>
      </w:r>
      <w:r>
        <w:rPr>
          <w:rFonts w:ascii="Times New Roman" w:hAnsi="Times New Roman" w:eastAsia="仿宋_GB2312" w:cs="Times New Roman"/>
          <w:color w:val="auto"/>
          <w:kern w:val="0"/>
          <w:sz w:val="32"/>
          <w:szCs w:val="32"/>
        </w:rPr>
        <w:t>结果，现将我</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第三产业中批发和零售业，交通运输、仓储和邮政业，住宿和餐饮业，信息传输、软件和信息技术服务业，房地产业，租赁和商务服务业的主要数据公布如下：</w:t>
      </w:r>
    </w:p>
    <w:p>
      <w:pPr>
        <w:widowControl/>
        <w:spacing w:line="560" w:lineRule="exact"/>
        <w:ind w:firstLine="640" w:firstLineChars="200"/>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一、批发和零售业</w:t>
      </w:r>
    </w:p>
    <w:p>
      <w:pPr>
        <w:widowControl/>
        <w:spacing w:line="56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p>
    <w:p>
      <w:pPr>
        <w:widowControl/>
        <w:spacing w:line="56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共有批发和零售业企业法人单位</w:t>
      </w:r>
      <w:r>
        <w:rPr>
          <w:rFonts w:hint="eastAsia" w:ascii="Times New Roman" w:hAnsi="Times New Roman" w:eastAsia="仿宋_GB2312" w:cs="Times New Roman"/>
          <w:color w:val="auto"/>
          <w:sz w:val="32"/>
          <w:szCs w:val="32"/>
          <w:lang w:val="en-US" w:eastAsia="zh-CN"/>
        </w:rPr>
        <w:t>4169</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40420</w:t>
      </w:r>
      <w:r>
        <w:rPr>
          <w:rFonts w:ascii="Times New Roman" w:hAnsi="Times New Roman" w:eastAsia="仿宋_GB2312" w:cs="Times New Roman"/>
          <w:color w:val="auto"/>
          <w:kern w:val="0"/>
          <w:sz w:val="32"/>
          <w:szCs w:val="32"/>
        </w:rPr>
        <w:t>万人，分别比2013年末增长</w:t>
      </w:r>
      <w:r>
        <w:rPr>
          <w:rFonts w:hint="eastAsia" w:ascii="Times New Roman" w:hAnsi="Times New Roman" w:eastAsia="仿宋_GB2312" w:cs="Times New Roman"/>
          <w:color w:val="auto"/>
          <w:sz w:val="32"/>
          <w:szCs w:val="32"/>
          <w:lang w:val="en-US" w:eastAsia="zh-CN"/>
        </w:rPr>
        <w:t>143.5</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110.1</w:t>
      </w:r>
      <w:r>
        <w:rPr>
          <w:rFonts w:ascii="Times New Roman" w:hAnsi="Times New Roman" w:eastAsia="仿宋_GB2312" w:cs="Times New Roman"/>
          <w:color w:val="auto"/>
          <w:kern w:val="0"/>
          <w:sz w:val="32"/>
          <w:szCs w:val="32"/>
        </w:rPr>
        <w:t>%。</w:t>
      </w:r>
    </w:p>
    <w:p>
      <w:pPr>
        <w:widowControl/>
        <w:spacing w:line="56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在批发和零售业企业法人单位中，批发业占</w:t>
      </w:r>
      <w:r>
        <w:rPr>
          <w:rFonts w:hint="eastAsia" w:ascii="Times New Roman" w:hAnsi="Times New Roman" w:eastAsia="仿宋_GB2312" w:cs="Times New Roman"/>
          <w:color w:val="auto"/>
          <w:sz w:val="32"/>
          <w:szCs w:val="32"/>
          <w:lang w:val="en-US" w:eastAsia="zh-CN"/>
        </w:rPr>
        <w:t>43.2</w:t>
      </w:r>
      <w:r>
        <w:rPr>
          <w:rFonts w:ascii="Times New Roman" w:hAnsi="Times New Roman" w:eastAsia="仿宋_GB2312" w:cs="Times New Roman"/>
          <w:color w:val="auto"/>
          <w:kern w:val="0"/>
          <w:sz w:val="32"/>
          <w:szCs w:val="32"/>
        </w:rPr>
        <w:t>%，零售业占</w:t>
      </w:r>
      <w:r>
        <w:rPr>
          <w:rFonts w:hint="eastAsia" w:ascii="Times New Roman" w:hAnsi="Times New Roman" w:eastAsia="仿宋_GB2312" w:cs="Times New Roman"/>
          <w:color w:val="auto"/>
          <w:sz w:val="32"/>
          <w:szCs w:val="32"/>
          <w:lang w:val="en-US" w:eastAsia="zh-CN"/>
        </w:rPr>
        <w:t>56.8</w:t>
      </w:r>
      <w:r>
        <w:rPr>
          <w:rFonts w:ascii="Times New Roman" w:hAnsi="Times New Roman" w:eastAsia="仿宋_GB2312" w:cs="Times New Roman"/>
          <w:color w:val="auto"/>
          <w:kern w:val="0"/>
          <w:sz w:val="32"/>
          <w:szCs w:val="32"/>
        </w:rPr>
        <w:t>%。在批发和零售业企业法人单位从业人员中，批发业占</w:t>
      </w:r>
      <w:r>
        <w:rPr>
          <w:rFonts w:hint="eastAsia" w:ascii="Times New Roman" w:hAnsi="Times New Roman" w:eastAsia="仿宋_GB2312" w:cs="Times New Roman"/>
          <w:color w:val="auto"/>
          <w:sz w:val="32"/>
          <w:szCs w:val="32"/>
          <w:lang w:val="en-US" w:eastAsia="zh-CN"/>
        </w:rPr>
        <w:t>48.1</w:t>
      </w:r>
      <w:r>
        <w:rPr>
          <w:rFonts w:ascii="Times New Roman" w:hAnsi="Times New Roman" w:eastAsia="仿宋_GB2312" w:cs="Times New Roman"/>
          <w:color w:val="auto"/>
          <w:kern w:val="0"/>
          <w:sz w:val="32"/>
          <w:szCs w:val="32"/>
        </w:rPr>
        <w:t>%，零售业占</w:t>
      </w:r>
      <w:r>
        <w:rPr>
          <w:rFonts w:hint="eastAsia" w:ascii="Times New Roman" w:hAnsi="Times New Roman" w:eastAsia="仿宋_GB2312" w:cs="Times New Roman"/>
          <w:color w:val="auto"/>
          <w:sz w:val="32"/>
          <w:szCs w:val="32"/>
          <w:lang w:val="en-US" w:eastAsia="zh-CN"/>
        </w:rPr>
        <w:t>51.9</w:t>
      </w:r>
      <w:r>
        <w:rPr>
          <w:rFonts w:ascii="Times New Roman" w:hAnsi="Times New Roman" w:eastAsia="仿宋_GB2312" w:cs="Times New Roman"/>
          <w:color w:val="auto"/>
          <w:kern w:val="0"/>
          <w:sz w:val="32"/>
          <w:szCs w:val="32"/>
        </w:rPr>
        <w:t>%（详见表4-1）。</w:t>
      </w:r>
    </w:p>
    <w:p>
      <w:pPr>
        <w:widowControl/>
        <w:spacing w:line="560" w:lineRule="exact"/>
        <w:ind w:firstLine="640" w:firstLineChars="200"/>
        <w:rPr>
          <w:rFonts w:ascii="Times New Roman" w:hAnsi="Times New Roman" w:eastAsia="仿宋_GB2312" w:cs="Times New Roman"/>
          <w:color w:val="auto"/>
          <w:kern w:val="0"/>
          <w:sz w:val="32"/>
          <w:szCs w:val="32"/>
          <w:highlight w:val="none"/>
          <w:u w:val="none"/>
        </w:rPr>
      </w:pPr>
      <w:r>
        <w:rPr>
          <w:rFonts w:ascii="Times New Roman" w:hAnsi="Times New Roman" w:eastAsia="仿宋_GB2312" w:cs="Times New Roman"/>
          <w:color w:val="auto"/>
          <w:kern w:val="0"/>
          <w:sz w:val="32"/>
          <w:szCs w:val="32"/>
          <w:highlight w:val="none"/>
          <w:u w:val="none"/>
        </w:rPr>
        <w:t>在批发和零售业企业法人单位中，内资企业占</w:t>
      </w:r>
      <w:r>
        <w:rPr>
          <w:rFonts w:hint="eastAsia" w:ascii="Times New Roman" w:hAnsi="Times New Roman" w:eastAsia="仿宋_GB2312" w:cs="Times New Roman"/>
          <w:color w:val="auto"/>
          <w:sz w:val="32"/>
          <w:szCs w:val="32"/>
          <w:highlight w:val="none"/>
          <w:u w:val="none"/>
          <w:lang w:val="en-US" w:eastAsia="zh-CN"/>
        </w:rPr>
        <w:t>99.9</w:t>
      </w:r>
      <w:r>
        <w:rPr>
          <w:rFonts w:ascii="Times New Roman" w:hAnsi="Times New Roman" w:eastAsia="仿宋_GB2312" w:cs="Times New Roman"/>
          <w:color w:val="auto"/>
          <w:kern w:val="0"/>
          <w:sz w:val="32"/>
          <w:szCs w:val="32"/>
          <w:highlight w:val="none"/>
          <w:u w:val="none"/>
        </w:rPr>
        <w:t>%</w:t>
      </w:r>
      <w:r>
        <w:rPr>
          <w:rFonts w:hint="eastAsia" w:ascii="Times New Roman" w:hAnsi="Times New Roman" w:eastAsia="仿宋_GB2312" w:cs="Times New Roman"/>
          <w:color w:val="auto"/>
          <w:kern w:val="0"/>
          <w:sz w:val="32"/>
          <w:szCs w:val="32"/>
          <w:highlight w:val="none"/>
          <w:u w:val="none"/>
          <w:lang w:eastAsia="zh-CN"/>
        </w:rPr>
        <w:t>。</w:t>
      </w:r>
      <w:r>
        <w:rPr>
          <w:rFonts w:ascii="Times New Roman" w:hAnsi="Times New Roman" w:eastAsia="仿宋_GB2312" w:cs="Times New Roman"/>
          <w:color w:val="auto"/>
          <w:kern w:val="0"/>
          <w:sz w:val="32"/>
          <w:szCs w:val="32"/>
          <w:highlight w:val="none"/>
          <w:u w:val="none"/>
        </w:rPr>
        <w:t>内资企业中，</w:t>
      </w:r>
      <w:r>
        <w:rPr>
          <w:rFonts w:hint="eastAsia" w:ascii="Times New Roman" w:hAnsi="Times New Roman" w:eastAsia="仿宋_GB2312" w:cs="Times New Roman"/>
          <w:color w:val="auto"/>
          <w:kern w:val="0"/>
          <w:sz w:val="32"/>
          <w:szCs w:val="32"/>
          <w:highlight w:val="none"/>
          <w:u w:val="none"/>
        </w:rPr>
        <w:t>国有</w:t>
      </w:r>
      <w:r>
        <w:rPr>
          <w:rFonts w:ascii="Times New Roman" w:hAnsi="Times New Roman" w:eastAsia="仿宋_GB2312" w:cs="Times New Roman"/>
          <w:color w:val="auto"/>
          <w:kern w:val="0"/>
          <w:sz w:val="32"/>
          <w:szCs w:val="32"/>
          <w:highlight w:val="none"/>
          <w:u w:val="none"/>
        </w:rPr>
        <w:t>企业占全部企业的</w:t>
      </w:r>
      <w:r>
        <w:rPr>
          <w:rFonts w:hint="eastAsia" w:ascii="Times New Roman" w:hAnsi="Times New Roman" w:eastAsia="仿宋_GB2312" w:cs="Times New Roman"/>
          <w:color w:val="auto"/>
          <w:sz w:val="32"/>
          <w:szCs w:val="32"/>
          <w:highlight w:val="none"/>
          <w:u w:val="none"/>
        </w:rPr>
        <w:t>0.1</w:t>
      </w:r>
      <w:r>
        <w:rPr>
          <w:rFonts w:ascii="Times New Roman" w:hAnsi="Times New Roman" w:eastAsia="仿宋_GB2312" w:cs="Times New Roman"/>
          <w:color w:val="auto"/>
          <w:kern w:val="0"/>
          <w:sz w:val="32"/>
          <w:szCs w:val="32"/>
          <w:highlight w:val="none"/>
          <w:u w:val="none"/>
        </w:rPr>
        <w:t>%，</w:t>
      </w:r>
      <w:r>
        <w:rPr>
          <w:rFonts w:hint="eastAsia" w:ascii="Times New Roman" w:hAnsi="Times New Roman" w:eastAsia="仿宋_GB2312" w:cs="Times New Roman"/>
          <w:color w:val="auto"/>
          <w:kern w:val="0"/>
          <w:sz w:val="32"/>
          <w:szCs w:val="32"/>
          <w:highlight w:val="none"/>
          <w:u w:val="none"/>
          <w:lang w:eastAsia="zh-CN"/>
        </w:rPr>
        <w:t>集体企业占</w:t>
      </w:r>
      <w:r>
        <w:rPr>
          <w:rFonts w:hint="eastAsia" w:ascii="Times New Roman" w:hAnsi="Times New Roman" w:eastAsia="仿宋_GB2312" w:cs="Times New Roman"/>
          <w:color w:val="auto"/>
          <w:kern w:val="0"/>
          <w:sz w:val="32"/>
          <w:szCs w:val="32"/>
          <w:highlight w:val="none"/>
          <w:u w:val="none"/>
          <w:lang w:val="en-US" w:eastAsia="zh-CN"/>
        </w:rPr>
        <w:t>0.2%，</w:t>
      </w:r>
      <w:r>
        <w:rPr>
          <w:rFonts w:ascii="Times New Roman" w:hAnsi="Times New Roman" w:eastAsia="仿宋_GB2312" w:cs="Times New Roman"/>
          <w:color w:val="auto"/>
          <w:kern w:val="0"/>
          <w:sz w:val="32"/>
          <w:szCs w:val="32"/>
          <w:highlight w:val="none"/>
          <w:u w:val="none"/>
        </w:rPr>
        <w:t>私营企业占</w:t>
      </w:r>
      <w:r>
        <w:rPr>
          <w:rFonts w:hint="eastAsia" w:ascii="Times New Roman" w:hAnsi="Times New Roman" w:eastAsia="仿宋_GB2312" w:cs="Times New Roman"/>
          <w:color w:val="auto"/>
          <w:kern w:val="0"/>
          <w:sz w:val="32"/>
          <w:szCs w:val="32"/>
          <w:highlight w:val="none"/>
          <w:u w:val="none"/>
          <w:lang w:val="en-US" w:eastAsia="zh-CN"/>
        </w:rPr>
        <w:t>95.3</w:t>
      </w:r>
      <w:r>
        <w:rPr>
          <w:rFonts w:ascii="Times New Roman" w:hAnsi="Times New Roman" w:eastAsia="仿宋_GB2312" w:cs="Times New Roman"/>
          <w:color w:val="auto"/>
          <w:kern w:val="0"/>
          <w:sz w:val="32"/>
          <w:szCs w:val="32"/>
          <w:highlight w:val="none"/>
          <w:u w:val="none"/>
        </w:rPr>
        <w:t>%。</w:t>
      </w:r>
    </w:p>
    <w:p>
      <w:pPr>
        <w:widowControl/>
        <w:spacing w:line="56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在批发和零售业企业法人单位从业人员中，内资企业占</w:t>
      </w:r>
      <w:r>
        <w:rPr>
          <w:rFonts w:hint="eastAsia" w:ascii="Times New Roman" w:hAnsi="Times New Roman" w:eastAsia="仿宋_GB2312" w:cs="Times New Roman"/>
          <w:color w:val="auto"/>
          <w:sz w:val="32"/>
          <w:szCs w:val="32"/>
          <w:lang w:val="en-US" w:eastAsia="zh-CN"/>
        </w:rPr>
        <w:t>99.3</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highlight w:val="none"/>
          <w:u w:val="none"/>
          <w:lang w:eastAsia="zh-CN"/>
        </w:rPr>
        <w:t>。</w:t>
      </w:r>
      <w:r>
        <w:rPr>
          <w:rFonts w:ascii="Times New Roman" w:hAnsi="Times New Roman" w:eastAsia="仿宋_GB2312" w:cs="Times New Roman"/>
          <w:color w:val="auto"/>
          <w:kern w:val="0"/>
          <w:sz w:val="32"/>
          <w:szCs w:val="32"/>
          <w:highlight w:val="none"/>
          <w:u w:val="none"/>
        </w:rPr>
        <w:t>内资企业中，</w:t>
      </w:r>
      <w:r>
        <w:rPr>
          <w:rFonts w:hint="eastAsia" w:ascii="Times New Roman" w:hAnsi="Times New Roman" w:eastAsia="仿宋_GB2312" w:cs="Times New Roman"/>
          <w:color w:val="auto"/>
          <w:kern w:val="0"/>
          <w:sz w:val="32"/>
          <w:szCs w:val="32"/>
          <w:highlight w:val="none"/>
          <w:u w:val="none"/>
        </w:rPr>
        <w:t>国有</w:t>
      </w:r>
      <w:r>
        <w:rPr>
          <w:rFonts w:ascii="Times New Roman" w:hAnsi="Times New Roman" w:eastAsia="仿宋_GB2312" w:cs="Times New Roman"/>
          <w:color w:val="auto"/>
          <w:kern w:val="0"/>
          <w:sz w:val="32"/>
          <w:szCs w:val="32"/>
          <w:highlight w:val="none"/>
          <w:u w:val="none"/>
        </w:rPr>
        <w:t>企业占全部企业的</w:t>
      </w:r>
      <w:r>
        <w:rPr>
          <w:rFonts w:hint="eastAsia" w:ascii="Times New Roman" w:hAnsi="Times New Roman" w:eastAsia="仿宋_GB2312" w:cs="Times New Roman"/>
          <w:color w:val="auto"/>
          <w:sz w:val="32"/>
          <w:szCs w:val="32"/>
          <w:highlight w:val="none"/>
          <w:u w:val="none"/>
        </w:rPr>
        <w:t>0.</w:t>
      </w:r>
      <w:r>
        <w:rPr>
          <w:rFonts w:hint="eastAsia" w:ascii="Times New Roman" w:hAnsi="Times New Roman" w:eastAsia="仿宋_GB2312" w:cs="Times New Roman"/>
          <w:color w:val="auto"/>
          <w:sz w:val="32"/>
          <w:szCs w:val="32"/>
          <w:highlight w:val="none"/>
          <w:u w:val="none"/>
          <w:lang w:val="en-US" w:eastAsia="zh-CN"/>
        </w:rPr>
        <w:t>4</w:t>
      </w:r>
      <w:r>
        <w:rPr>
          <w:rFonts w:ascii="Times New Roman" w:hAnsi="Times New Roman" w:eastAsia="仿宋_GB2312" w:cs="Times New Roman"/>
          <w:color w:val="auto"/>
          <w:kern w:val="0"/>
          <w:sz w:val="32"/>
          <w:szCs w:val="32"/>
          <w:highlight w:val="none"/>
          <w:u w:val="none"/>
        </w:rPr>
        <w:t>%，</w:t>
      </w:r>
      <w:r>
        <w:rPr>
          <w:rFonts w:hint="eastAsia" w:ascii="Times New Roman" w:hAnsi="Times New Roman" w:eastAsia="仿宋_GB2312" w:cs="Times New Roman"/>
          <w:color w:val="auto"/>
          <w:kern w:val="0"/>
          <w:sz w:val="32"/>
          <w:szCs w:val="32"/>
          <w:highlight w:val="none"/>
          <w:u w:val="none"/>
          <w:lang w:eastAsia="zh-CN"/>
        </w:rPr>
        <w:t>集体企业占</w:t>
      </w:r>
      <w:r>
        <w:rPr>
          <w:rFonts w:hint="eastAsia" w:ascii="Times New Roman" w:hAnsi="Times New Roman" w:eastAsia="仿宋_GB2312" w:cs="Times New Roman"/>
          <w:color w:val="auto"/>
          <w:kern w:val="0"/>
          <w:sz w:val="32"/>
          <w:szCs w:val="32"/>
          <w:highlight w:val="none"/>
          <w:u w:val="none"/>
          <w:lang w:val="en-US" w:eastAsia="zh-CN"/>
        </w:rPr>
        <w:t>0.2%，</w:t>
      </w:r>
      <w:r>
        <w:rPr>
          <w:rFonts w:ascii="Times New Roman" w:hAnsi="Times New Roman" w:eastAsia="仿宋_GB2312" w:cs="Times New Roman"/>
          <w:color w:val="auto"/>
          <w:kern w:val="0"/>
          <w:sz w:val="32"/>
          <w:szCs w:val="32"/>
          <w:highlight w:val="none"/>
          <w:u w:val="none"/>
        </w:rPr>
        <w:t>私营企业占</w:t>
      </w:r>
      <w:r>
        <w:rPr>
          <w:rFonts w:hint="eastAsia" w:ascii="Times New Roman" w:hAnsi="Times New Roman" w:eastAsia="仿宋_GB2312" w:cs="Times New Roman"/>
          <w:color w:val="auto"/>
          <w:kern w:val="0"/>
          <w:sz w:val="32"/>
          <w:szCs w:val="32"/>
          <w:highlight w:val="none"/>
          <w:u w:val="none"/>
          <w:lang w:val="en-US" w:eastAsia="zh-CN"/>
        </w:rPr>
        <w:t>93.7</w:t>
      </w:r>
      <w:r>
        <w:rPr>
          <w:rFonts w:ascii="Times New Roman" w:hAnsi="Times New Roman" w:eastAsia="仿宋_GB2312" w:cs="Times New Roman"/>
          <w:color w:val="auto"/>
          <w:kern w:val="0"/>
          <w:sz w:val="32"/>
          <w:szCs w:val="32"/>
          <w:highlight w:val="none"/>
          <w:u w:val="none"/>
        </w:rPr>
        <w:t>%</w:t>
      </w:r>
      <w:r>
        <w:rPr>
          <w:rFonts w:ascii="Times New Roman" w:hAnsi="Times New Roman" w:eastAsia="仿宋_GB2312" w:cs="Times New Roman"/>
          <w:color w:val="auto"/>
          <w:kern w:val="0"/>
          <w:sz w:val="32"/>
          <w:szCs w:val="32"/>
        </w:rPr>
        <w:t>（详见表4-2）。</w:t>
      </w:r>
    </w:p>
    <w:p>
      <w:pPr>
        <w:widowControl/>
        <w:spacing w:line="560" w:lineRule="exact"/>
        <w:ind w:firstLine="640" w:firstLineChars="200"/>
        <w:rPr>
          <w:rFonts w:ascii="Times New Roman" w:hAnsi="Times New Roman" w:eastAsia="仿宋_GB2312" w:cs="Times New Roman"/>
          <w:color w:val="auto"/>
          <w:kern w:val="0"/>
          <w:sz w:val="32"/>
          <w:szCs w:val="32"/>
        </w:rPr>
      </w:pPr>
    </w:p>
    <w:tbl>
      <w:tblPr>
        <w:tblStyle w:val="5"/>
        <w:tblW w:w="8307"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996"/>
        <w:gridCol w:w="1913"/>
        <w:gridCol w:w="139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7" w:type="dxa"/>
            <w:gridSpan w:val="3"/>
            <w:tcBorders>
              <w:top w:val="nil"/>
              <w:left w:val="nil"/>
              <w:bottom w:val="single" w:color="auto" w:sz="12" w:space="0"/>
              <w:right w:val="nil"/>
            </w:tcBorders>
            <w:shd w:val="clear" w:color="auto" w:fill="FFFFFF"/>
            <w:vAlign w:val="center"/>
          </w:tcPr>
          <w:p>
            <w:pPr>
              <w:widowControl/>
              <w:spacing w:line="240" w:lineRule="exact"/>
              <w:ind w:left="57" w:right="57"/>
              <w:jc w:val="center"/>
              <w:rPr>
                <w:rFonts w:ascii="黑体" w:hAnsi="黑体" w:eastAsia="黑体" w:cs="Times New Roman"/>
                <w:color w:val="auto"/>
                <w:kern w:val="0"/>
                <w:sz w:val="24"/>
                <w:szCs w:val="24"/>
              </w:rPr>
            </w:pPr>
            <w:r>
              <w:rPr>
                <w:rFonts w:ascii="黑体" w:hAnsi="黑体" w:eastAsia="黑体" w:cs="Times New Roman"/>
                <w:bCs/>
                <w:color w:val="auto"/>
                <w:kern w:val="0"/>
                <w:sz w:val="24"/>
              </w:rPr>
              <w:t>表4-1　按行业中类分组的批发和零售业企业法人单位和从业人员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4996" w:type="dxa"/>
            <w:tcBorders>
              <w:top w:val="nil"/>
              <w:left w:val="nil"/>
              <w:bottom w:val="single" w:color="auto" w:sz="4" w:space="0"/>
              <w:right w:val="single" w:color="auto" w:sz="4" w:space="0"/>
            </w:tcBorders>
            <w:vAlign w:val="center"/>
          </w:tcPr>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913" w:type="dxa"/>
            <w:tcBorders>
              <w:top w:val="nil"/>
              <w:left w:val="single" w:color="auto" w:sz="4" w:space="0"/>
              <w:bottom w:val="single" w:color="auto" w:sz="4" w:space="0"/>
              <w:right w:val="single" w:color="auto" w:sz="4" w:space="0"/>
            </w:tcBorders>
            <w:vAlign w:val="center"/>
          </w:tcPr>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w:t>
            </w:r>
          </w:p>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1398" w:type="dxa"/>
            <w:tcBorders>
              <w:top w:val="nil"/>
              <w:left w:val="single" w:color="auto" w:sz="4" w:space="0"/>
              <w:bottom w:val="single" w:color="auto" w:sz="4" w:space="0"/>
              <w:right w:val="nil"/>
            </w:tcBorders>
            <w:vAlign w:val="center"/>
          </w:tcPr>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w:t>
            </w:r>
          </w:p>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single" w:color="auto" w:sz="4" w:space="0"/>
              <w:left w:val="nil"/>
              <w:bottom w:val="nil"/>
              <w:right w:val="single" w:color="auto" w:sz="4" w:space="0"/>
            </w:tcBorders>
            <w:vAlign w:val="center"/>
          </w:tcPr>
          <w:p>
            <w:pPr>
              <w:widowControl/>
              <w:spacing w:line="240" w:lineRule="exac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合计</w:t>
            </w:r>
          </w:p>
        </w:tc>
        <w:tc>
          <w:tcPr>
            <w:tcW w:w="1913" w:type="dxa"/>
            <w:tcBorders>
              <w:top w:val="single" w:color="auto" w:sz="4" w:space="0"/>
              <w:left w:val="single" w:color="auto" w:sz="4" w:space="0"/>
              <w:bottom w:val="nil"/>
              <w:right w:val="single" w:color="auto" w:sz="4" w:space="0"/>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4169</w:t>
            </w:r>
          </w:p>
        </w:tc>
        <w:tc>
          <w:tcPr>
            <w:tcW w:w="1398" w:type="dxa"/>
            <w:tcBorders>
              <w:top w:val="single" w:color="auto" w:sz="4" w:space="0"/>
              <w:left w:val="single" w:color="auto" w:sz="4" w:space="0"/>
              <w:bottom w:val="nil"/>
              <w:right w:val="nil"/>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40420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批发业</w:t>
            </w:r>
          </w:p>
        </w:tc>
        <w:tc>
          <w:tcPr>
            <w:tcW w:w="1913" w:type="dxa"/>
            <w:tcBorders>
              <w:top w:val="nil"/>
              <w:left w:val="single" w:color="auto" w:sz="4" w:space="0"/>
              <w:bottom w:val="nil"/>
              <w:right w:val="single" w:color="auto" w:sz="4" w:space="0"/>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1800</w:t>
            </w:r>
          </w:p>
        </w:tc>
        <w:tc>
          <w:tcPr>
            <w:tcW w:w="1398" w:type="dxa"/>
            <w:tcBorders>
              <w:top w:val="nil"/>
              <w:left w:val="single" w:color="auto" w:sz="4" w:space="0"/>
              <w:bottom w:val="nil"/>
              <w:right w:val="nil"/>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19428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农、林、牧、渔产品批发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263</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2770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食品、饮料及烟草制品批发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222</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2601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纺织、服装及家庭用品批发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95</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1396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文化、体育用品及器材批发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40</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331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医药及医疗器材批发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71</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956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矿产品、建材及化工产品批发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809</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8010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机械设备、五金产品及电子产品批发</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191</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2220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贸易经纪与代理</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32</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其他批发业</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77</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788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零售业</w:t>
            </w:r>
          </w:p>
        </w:tc>
        <w:tc>
          <w:tcPr>
            <w:tcW w:w="1913" w:type="dxa"/>
            <w:tcBorders>
              <w:top w:val="nil"/>
              <w:left w:val="single" w:color="auto" w:sz="4" w:space="0"/>
              <w:bottom w:val="nil"/>
              <w:right w:val="single" w:color="auto" w:sz="4" w:space="0"/>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2369</w:t>
            </w:r>
          </w:p>
        </w:tc>
        <w:tc>
          <w:tcPr>
            <w:tcW w:w="1398" w:type="dxa"/>
            <w:tcBorders>
              <w:top w:val="nil"/>
              <w:left w:val="single" w:color="auto" w:sz="4" w:space="0"/>
              <w:bottom w:val="nil"/>
              <w:right w:val="nil"/>
            </w:tcBorders>
          </w:tcPr>
          <w:p>
            <w:pPr>
              <w:spacing w:line="240" w:lineRule="exact"/>
              <w:ind w:right="422" w:rightChars="201"/>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20992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综合零售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229</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2473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食品、饮料及烟草制品专门零售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297</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2537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纺织、服装及日用品专门零售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247</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文化、体育用品及器材专门零售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113</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870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医药及医疗器材专门零售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208</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1755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汽车、摩托车、零配件和燃料及其他动力销售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187</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2331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家用电器及电子产品专门零售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251</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2341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五金、家具及室内装饰材料专门零售</w:t>
            </w:r>
          </w:p>
        </w:tc>
        <w:tc>
          <w:tcPr>
            <w:tcW w:w="1913" w:type="dxa"/>
            <w:tcBorders>
              <w:top w:val="nil"/>
              <w:left w:val="single" w:color="auto" w:sz="4" w:space="0"/>
              <w:bottom w:val="nil"/>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608</w:t>
            </w:r>
          </w:p>
        </w:tc>
        <w:tc>
          <w:tcPr>
            <w:tcW w:w="1398" w:type="dxa"/>
            <w:tcBorders>
              <w:top w:val="nil"/>
              <w:left w:val="single" w:color="auto" w:sz="4" w:space="0"/>
              <w:bottom w:val="nil"/>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4981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996" w:type="dxa"/>
            <w:tcBorders>
              <w:top w:val="nil"/>
              <w:left w:val="nil"/>
              <w:bottom w:val="single" w:color="auto" w:sz="12" w:space="0"/>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货摊、无店铺及其他零售业</w:t>
            </w:r>
          </w:p>
        </w:tc>
        <w:tc>
          <w:tcPr>
            <w:tcW w:w="1913" w:type="dxa"/>
            <w:tcBorders>
              <w:top w:val="nil"/>
              <w:left w:val="single" w:color="auto" w:sz="4" w:space="0"/>
              <w:bottom w:val="single" w:color="auto" w:sz="12" w:space="0"/>
              <w:right w:val="single" w:color="auto" w:sz="4" w:space="0"/>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229</w:t>
            </w:r>
          </w:p>
        </w:tc>
        <w:tc>
          <w:tcPr>
            <w:tcW w:w="1398" w:type="dxa"/>
            <w:tcBorders>
              <w:top w:val="nil"/>
              <w:left w:val="single" w:color="auto" w:sz="4" w:space="0"/>
              <w:bottom w:val="single" w:color="auto" w:sz="12" w:space="0"/>
              <w:right w:val="nil"/>
            </w:tcBorders>
            <w:vAlign w:val="center"/>
          </w:tcPr>
          <w:p>
            <w:pPr>
              <w:spacing w:line="240" w:lineRule="exact"/>
              <w:ind w:right="422" w:rightChars="201"/>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1989</w:t>
            </w:r>
          </w:p>
        </w:tc>
      </w:tr>
    </w:tbl>
    <w:p/>
    <w:tbl>
      <w:tblPr>
        <w:tblStyle w:val="5"/>
        <w:tblW w:w="8307"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560"/>
        <w:gridCol w:w="2568"/>
        <w:gridCol w:w="217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7" w:type="dxa"/>
            <w:gridSpan w:val="3"/>
            <w:tcBorders>
              <w:top w:val="nil"/>
              <w:left w:val="nil"/>
              <w:bottom w:val="single" w:color="auto" w:sz="12" w:space="0"/>
              <w:right w:val="nil"/>
            </w:tcBorders>
            <w:shd w:val="clear" w:color="auto" w:fill="FFFFFF"/>
            <w:vAlign w:val="center"/>
          </w:tcPr>
          <w:p>
            <w:pPr>
              <w:widowControl/>
              <w:spacing w:line="240" w:lineRule="exac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表4-2　按登记注册类型分组的批发和零售业企业法人单位和从业人员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02" w:hRule="atLeast"/>
          <w:jc w:val="center"/>
        </w:trPr>
        <w:tc>
          <w:tcPr>
            <w:tcW w:w="3560" w:type="dxa"/>
            <w:tcBorders>
              <w:top w:val="nil"/>
              <w:left w:val="nil"/>
              <w:bottom w:val="single" w:color="auto" w:sz="4" w:space="0"/>
              <w:right w:val="single" w:color="auto" w:sz="4" w:space="0"/>
            </w:tcBorders>
            <w:vAlign w:val="center"/>
          </w:tcPr>
          <w:p>
            <w:pPr>
              <w:widowControl/>
              <w:spacing w:line="240" w:lineRule="exac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2568" w:type="dxa"/>
            <w:tcBorders>
              <w:top w:val="nil"/>
              <w:left w:val="single" w:color="auto" w:sz="4" w:space="0"/>
              <w:bottom w:val="single" w:color="auto" w:sz="4" w:space="0"/>
              <w:right w:val="single" w:color="auto" w:sz="4" w:space="0"/>
            </w:tcBorders>
            <w:vAlign w:val="center"/>
          </w:tcPr>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w:t>
            </w:r>
          </w:p>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2179" w:type="dxa"/>
            <w:tcBorders>
              <w:top w:val="nil"/>
              <w:left w:val="single" w:color="auto" w:sz="4" w:space="0"/>
              <w:bottom w:val="single" w:color="auto" w:sz="4" w:space="0"/>
              <w:right w:val="nil"/>
            </w:tcBorders>
            <w:vAlign w:val="center"/>
          </w:tcPr>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w:t>
            </w:r>
          </w:p>
          <w:p>
            <w:pPr>
              <w:widowControl/>
              <w:spacing w:line="24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single" w:color="auto" w:sz="4" w:space="0"/>
              <w:left w:val="nil"/>
              <w:bottom w:val="nil"/>
              <w:right w:val="single" w:color="auto" w:sz="4" w:space="0"/>
            </w:tcBorders>
            <w:vAlign w:val="center"/>
          </w:tcPr>
          <w:p>
            <w:pPr>
              <w:widowControl/>
              <w:spacing w:line="240" w:lineRule="exac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568" w:type="dxa"/>
            <w:tcBorders>
              <w:top w:val="single" w:color="auto" w:sz="4" w:space="0"/>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b/>
                <w:color w:val="auto"/>
                <w:szCs w:val="24"/>
              </w:rPr>
            </w:pPr>
            <w:r>
              <w:rPr>
                <w:rFonts w:hint="default" w:ascii="Times New Roman" w:hAnsi="Times New Roman" w:cs="Times New Roman"/>
                <w:b/>
                <w:color w:val="auto"/>
                <w:szCs w:val="24"/>
                <w:lang w:val="en-US" w:eastAsia="zh-CN"/>
              </w:rPr>
              <w:t>4169</w:t>
            </w:r>
          </w:p>
        </w:tc>
        <w:tc>
          <w:tcPr>
            <w:tcW w:w="2179" w:type="dxa"/>
            <w:tcBorders>
              <w:top w:val="single" w:color="auto" w:sz="4" w:space="0"/>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b/>
                <w:color w:val="auto"/>
                <w:szCs w:val="24"/>
                <w:lang w:val="en-US" w:eastAsia="zh-CN"/>
              </w:rPr>
            </w:pPr>
            <w:r>
              <w:rPr>
                <w:rFonts w:hint="default" w:ascii="Times New Roman" w:hAnsi="Times New Roman" w:cs="Times New Roman"/>
                <w:b/>
                <w:color w:val="auto"/>
                <w:szCs w:val="24"/>
                <w:lang w:val="en-US" w:eastAsia="zh-CN"/>
              </w:rPr>
              <w:t>40420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b/>
                <w:color w:val="auto"/>
                <w:szCs w:val="24"/>
              </w:rPr>
            </w:pPr>
            <w:r>
              <w:rPr>
                <w:rFonts w:hint="default" w:ascii="Times New Roman" w:hAnsi="Times New Roman" w:cs="Times New Roman"/>
                <w:b/>
                <w:color w:val="auto"/>
                <w:szCs w:val="24"/>
                <w:lang w:val="en-US" w:eastAsia="zh-CN"/>
              </w:rPr>
              <w:t>4166</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b/>
                <w:color w:val="auto"/>
                <w:szCs w:val="24"/>
                <w:lang w:val="en-US" w:eastAsia="zh-CN"/>
              </w:rPr>
            </w:pPr>
            <w:r>
              <w:rPr>
                <w:rFonts w:hint="default" w:ascii="Times New Roman" w:hAnsi="Times New Roman" w:cs="Times New Roman"/>
                <w:b/>
                <w:color w:val="auto"/>
                <w:szCs w:val="24"/>
                <w:lang w:val="en-US" w:eastAsia="zh-CN"/>
              </w:rPr>
              <w:t>40123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w:t>
            </w:r>
            <w:r>
              <w:rPr>
                <w:rFonts w:hint="eastAsia" w:ascii="Times New Roman" w:hAnsi="Times New Roman" w:cs="Times New Roman"/>
                <w:color w:val="auto"/>
                <w:kern w:val="0"/>
                <w:szCs w:val="21"/>
                <w:lang w:eastAsia="zh-CN"/>
              </w:rPr>
              <w:t>国有</w:t>
            </w:r>
            <w:r>
              <w:rPr>
                <w:rFonts w:ascii="Times New Roman" w:hAnsi="Times New Roman" w:cs="Times New Roman"/>
                <w:color w:val="auto"/>
                <w:kern w:val="0"/>
                <w:szCs w:val="21"/>
              </w:rPr>
              <w:t>企业</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5</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集体企业</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7</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43</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811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25</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432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3972</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37863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nil"/>
              <w:right w:val="single" w:color="auto" w:sz="4" w:space="0"/>
            </w:tcBorders>
            <w:vAlign w:val="center"/>
          </w:tcPr>
          <w:p>
            <w:pPr>
              <w:widowControl/>
              <w:spacing w:line="240" w:lineRule="exac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其他企业</w:t>
            </w:r>
          </w:p>
        </w:tc>
        <w:tc>
          <w:tcPr>
            <w:tcW w:w="2568" w:type="dxa"/>
            <w:tcBorders>
              <w:top w:val="nil"/>
              <w:left w:val="single" w:color="auto" w:sz="4" w:space="0"/>
              <w:bottom w:val="nil"/>
              <w:right w:val="single" w:color="auto" w:sz="4" w:space="0"/>
            </w:tcBorders>
            <w:vAlign w:val="center"/>
          </w:tcPr>
          <w:p>
            <w:pPr>
              <w:spacing w:line="240" w:lineRule="exact"/>
              <w:ind w:right="657" w:rightChars="313"/>
              <w:jc w:val="right"/>
              <w:rPr>
                <w:rFonts w:ascii="Times New Roman" w:hAnsi="Times New Roman" w:cs="Times New Roman"/>
                <w:color w:val="auto"/>
                <w:szCs w:val="24"/>
              </w:rPr>
            </w:pPr>
            <w:r>
              <w:rPr>
                <w:rFonts w:hint="default" w:ascii="Times New Roman" w:hAnsi="Times New Roman" w:cs="Times New Roman"/>
                <w:color w:val="auto"/>
                <w:szCs w:val="24"/>
                <w:lang w:val="en-US" w:eastAsia="zh-CN"/>
              </w:rPr>
              <w:t>114</w:t>
            </w:r>
          </w:p>
        </w:tc>
        <w:tc>
          <w:tcPr>
            <w:tcW w:w="2179" w:type="dxa"/>
            <w:tcBorders>
              <w:top w:val="nil"/>
              <w:left w:val="single" w:color="auto" w:sz="4" w:space="0"/>
              <w:bottom w:val="nil"/>
              <w:right w:val="nil"/>
            </w:tcBorders>
            <w:vAlign w:val="center"/>
          </w:tcPr>
          <w:p>
            <w:pPr>
              <w:spacing w:line="240" w:lineRule="exact"/>
              <w:ind w:right="657" w:rightChars="313"/>
              <w:jc w:val="right"/>
              <w:rPr>
                <w:rFonts w:hint="default"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786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560" w:type="dxa"/>
            <w:tcBorders>
              <w:top w:val="nil"/>
              <w:left w:val="nil"/>
              <w:bottom w:val="single" w:color="auto" w:sz="12" w:space="0"/>
              <w:right w:val="single" w:color="auto" w:sz="4" w:space="0"/>
            </w:tcBorders>
            <w:vAlign w:val="center"/>
          </w:tcPr>
          <w:p>
            <w:pPr>
              <w:widowControl/>
              <w:spacing w:line="240" w:lineRule="exact"/>
              <w:ind w:left="57" w:right="57"/>
              <w:rPr>
                <w:rFonts w:ascii="Times New Roman" w:hAnsi="Times New Roman" w:cs="Times New Roman"/>
                <w:b/>
                <w:color w:val="0070C0"/>
                <w:kern w:val="0"/>
                <w:sz w:val="18"/>
                <w:szCs w:val="18"/>
              </w:rPr>
            </w:pPr>
            <w:r>
              <w:rPr>
                <w:rFonts w:ascii="Times New Roman" w:hAnsi="Times New Roman" w:cs="Times New Roman"/>
                <w:b/>
                <w:color w:val="auto"/>
                <w:kern w:val="0"/>
                <w:szCs w:val="21"/>
              </w:rPr>
              <w:t>港、澳、台</w:t>
            </w:r>
            <w:r>
              <w:rPr>
                <w:rFonts w:hint="eastAsia" w:ascii="Times New Roman" w:hAnsi="Times New Roman" w:cs="Times New Roman"/>
                <w:b/>
                <w:color w:val="auto"/>
                <w:kern w:val="0"/>
                <w:szCs w:val="21"/>
                <w:lang w:eastAsia="zh-CN"/>
              </w:rPr>
              <w:t>及外</w:t>
            </w:r>
            <w:r>
              <w:rPr>
                <w:rFonts w:ascii="Times New Roman" w:hAnsi="Times New Roman" w:cs="Times New Roman"/>
                <w:b/>
                <w:color w:val="auto"/>
                <w:kern w:val="0"/>
                <w:szCs w:val="21"/>
              </w:rPr>
              <w:t>商投资企业</w:t>
            </w:r>
          </w:p>
        </w:tc>
        <w:tc>
          <w:tcPr>
            <w:tcW w:w="2568" w:type="dxa"/>
            <w:tcBorders>
              <w:top w:val="nil"/>
              <w:left w:val="single" w:color="auto" w:sz="4" w:space="0"/>
              <w:bottom w:val="single" w:color="auto" w:sz="12" w:space="0"/>
              <w:right w:val="single" w:color="auto" w:sz="4" w:space="0"/>
            </w:tcBorders>
            <w:vAlign w:val="center"/>
          </w:tcPr>
          <w:p>
            <w:pPr>
              <w:spacing w:line="240" w:lineRule="exact"/>
              <w:ind w:right="657" w:rightChars="313"/>
              <w:jc w:val="right"/>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3</w:t>
            </w:r>
          </w:p>
        </w:tc>
        <w:tc>
          <w:tcPr>
            <w:tcW w:w="2179" w:type="dxa"/>
            <w:tcBorders>
              <w:top w:val="nil"/>
              <w:left w:val="single" w:color="auto" w:sz="4" w:space="0"/>
              <w:bottom w:val="single" w:color="auto" w:sz="12" w:space="0"/>
              <w:right w:val="nil"/>
            </w:tcBorders>
            <w:vAlign w:val="center"/>
          </w:tcPr>
          <w:p>
            <w:pPr>
              <w:spacing w:line="240" w:lineRule="exact"/>
              <w:ind w:right="657" w:rightChars="313"/>
              <w:jc w:val="right"/>
              <w:rPr>
                <w:rFonts w:hint="default"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297</w:t>
            </w:r>
          </w:p>
        </w:tc>
      </w:tr>
    </w:tbl>
    <w:p>
      <w:pPr>
        <w:widowControl/>
        <w:spacing w:line="53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widowControl/>
        <w:spacing w:line="53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2018年末，批发和零售业企业法人单位资产总计</w:t>
      </w:r>
      <w:r>
        <w:rPr>
          <w:rFonts w:hint="eastAsia" w:ascii="Times New Roman" w:hAnsi="Times New Roman" w:eastAsia="仿宋_GB2312" w:cs="Times New Roman"/>
          <w:color w:val="auto"/>
          <w:sz w:val="32"/>
          <w:szCs w:val="32"/>
          <w:lang w:val="en-US" w:eastAsia="zh-CN"/>
        </w:rPr>
        <w:t>69.88</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sz w:val="32"/>
          <w:szCs w:val="32"/>
          <w:lang w:val="en-US" w:eastAsia="zh-CN"/>
        </w:rPr>
        <w:t>126.3</w:t>
      </w:r>
      <w:r>
        <w:rPr>
          <w:rFonts w:ascii="Times New Roman" w:hAnsi="Times New Roman" w:eastAsia="仿宋_GB2312" w:cs="Times New Roman"/>
          <w:color w:val="auto"/>
          <w:kern w:val="0"/>
          <w:sz w:val="32"/>
          <w:szCs w:val="32"/>
        </w:rPr>
        <w:t>%。其中，批发业企业法人单位资产总计</w:t>
      </w:r>
      <w:r>
        <w:rPr>
          <w:rFonts w:hint="eastAsia" w:ascii="Times New Roman" w:hAnsi="Times New Roman" w:eastAsia="仿宋_GB2312" w:cs="Times New Roman"/>
          <w:color w:val="auto"/>
          <w:sz w:val="32"/>
          <w:szCs w:val="32"/>
          <w:lang w:val="en-US" w:eastAsia="zh-CN"/>
        </w:rPr>
        <w:t>33.8</w:t>
      </w:r>
      <w:r>
        <w:rPr>
          <w:rFonts w:ascii="Times New Roman" w:hAnsi="Times New Roman" w:eastAsia="仿宋_GB2312" w:cs="Times New Roman"/>
          <w:color w:val="auto"/>
          <w:kern w:val="0"/>
          <w:sz w:val="32"/>
          <w:szCs w:val="32"/>
        </w:rPr>
        <w:t>亿元，零售业企业法人单位资产总计</w:t>
      </w:r>
      <w:r>
        <w:rPr>
          <w:rFonts w:hint="eastAsia" w:ascii="Times New Roman" w:hAnsi="Times New Roman" w:eastAsia="仿宋_GB2312" w:cs="Times New Roman"/>
          <w:color w:val="auto"/>
          <w:sz w:val="32"/>
          <w:szCs w:val="32"/>
          <w:lang w:val="en-US" w:eastAsia="zh-CN"/>
        </w:rPr>
        <w:t>36.08</w:t>
      </w:r>
      <w:r>
        <w:rPr>
          <w:rFonts w:ascii="Times New Roman" w:hAnsi="Times New Roman" w:eastAsia="仿宋_GB2312" w:cs="Times New Roman"/>
          <w:color w:val="auto"/>
          <w:kern w:val="0"/>
          <w:sz w:val="32"/>
          <w:szCs w:val="32"/>
        </w:rPr>
        <w:t>亿元，分别比2013年末增长</w:t>
      </w:r>
      <w:r>
        <w:rPr>
          <w:rFonts w:hint="eastAsia" w:ascii="Times New Roman" w:hAnsi="Times New Roman" w:eastAsia="仿宋_GB2312" w:cs="Times New Roman"/>
          <w:color w:val="auto"/>
          <w:sz w:val="32"/>
          <w:szCs w:val="32"/>
          <w:lang w:val="en-US" w:eastAsia="zh-CN"/>
        </w:rPr>
        <w:t>174.9</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94.2</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20.3</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193.42</w:t>
      </w:r>
      <w:r>
        <w:rPr>
          <w:rFonts w:ascii="Times New Roman" w:hAnsi="Times New Roman" w:eastAsia="仿宋_GB2312" w:cs="Times New Roman"/>
          <w:color w:val="auto"/>
          <w:kern w:val="0"/>
          <w:sz w:val="32"/>
          <w:szCs w:val="32"/>
        </w:rPr>
        <w:t>亿元（详见表4-3）。</w:t>
      </w:r>
    </w:p>
    <w:tbl>
      <w:tblPr>
        <w:tblStyle w:val="5"/>
        <w:tblpPr w:leftFromText="180" w:rightFromText="180" w:vertAnchor="text" w:horzAnchor="page" w:tblpX="1538" w:tblpY="513"/>
        <w:tblOverlap w:val="never"/>
        <w:tblW w:w="8787"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535"/>
        <w:gridCol w:w="1417"/>
        <w:gridCol w:w="1417"/>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04" w:hRule="atLeast"/>
        </w:trPr>
        <w:tc>
          <w:tcPr>
            <w:tcW w:w="8787" w:type="dxa"/>
            <w:gridSpan w:val="4"/>
            <w:tcBorders>
              <w:top w:val="nil"/>
              <w:left w:val="nil"/>
              <w:bottom w:val="single" w:color="auto" w:sz="12" w:space="0"/>
              <w:right w:val="nil"/>
            </w:tcBorders>
            <w:shd w:val="clear" w:color="auto" w:fill="FFFFFF"/>
            <w:vAlign w:val="center"/>
          </w:tcPr>
          <w:p>
            <w:pPr>
              <w:widowControl/>
              <w:spacing w:line="320" w:lineRule="atLeast"/>
              <w:ind w:right="57"/>
              <w:jc w:val="center"/>
              <w:rPr>
                <w:rFonts w:ascii="黑体" w:hAnsi="黑体" w:eastAsia="黑体" w:cs="Times New Roman"/>
                <w:color w:val="auto"/>
                <w:kern w:val="0"/>
                <w:sz w:val="24"/>
                <w:szCs w:val="24"/>
              </w:rPr>
            </w:pPr>
            <w:r>
              <w:rPr>
                <w:rFonts w:ascii="黑体" w:hAnsi="黑体" w:eastAsia="黑体" w:cs="Times New Roman"/>
                <w:bCs/>
                <w:color w:val="auto"/>
                <w:kern w:val="0"/>
                <w:sz w:val="24"/>
              </w:rPr>
              <w:t>表4-3　按行业中类分组的批发和零售业企业法人单位主要经济指标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trPr>
        <w:tc>
          <w:tcPr>
            <w:tcW w:w="4535"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417"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417"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418"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12" w:hRule="atLeast"/>
        </w:trPr>
        <w:tc>
          <w:tcPr>
            <w:tcW w:w="4535"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417"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69.88</w:t>
            </w:r>
          </w:p>
        </w:tc>
        <w:tc>
          <w:tcPr>
            <w:tcW w:w="1417"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20.30</w:t>
            </w:r>
          </w:p>
        </w:tc>
        <w:tc>
          <w:tcPr>
            <w:tcW w:w="1418" w:type="dxa"/>
            <w:tcBorders>
              <w:top w:val="single" w:color="auto" w:sz="4" w:space="0"/>
              <w:left w:val="single" w:color="auto" w:sz="4" w:space="0"/>
              <w:bottom w:val="nil"/>
              <w:right w:val="nil"/>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193.42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b/>
                <w:color w:val="auto"/>
                <w:szCs w:val="24"/>
              </w:rPr>
            </w:pPr>
            <w:r>
              <w:rPr>
                <w:rFonts w:ascii="Times New Roman" w:hAnsi="Times New Roman" w:cs="Times New Roman"/>
                <w:b/>
                <w:color w:val="auto"/>
              </w:rPr>
              <w:t>批发业</w:t>
            </w:r>
          </w:p>
        </w:tc>
        <w:tc>
          <w:tcPr>
            <w:tcW w:w="1417" w:type="dxa"/>
            <w:tcBorders>
              <w:top w:val="nil"/>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33.80</w:t>
            </w:r>
          </w:p>
        </w:tc>
        <w:tc>
          <w:tcPr>
            <w:tcW w:w="1417" w:type="dxa"/>
            <w:tcBorders>
              <w:top w:val="nil"/>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6.82</w:t>
            </w:r>
          </w:p>
        </w:tc>
        <w:tc>
          <w:tcPr>
            <w:tcW w:w="1418" w:type="dxa"/>
            <w:tcBorders>
              <w:top w:val="nil"/>
              <w:left w:val="single" w:color="auto" w:sz="4" w:space="0"/>
              <w:bottom w:val="nil"/>
              <w:right w:val="nil"/>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105.10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kern w:val="0"/>
                <w:szCs w:val="21"/>
              </w:rPr>
              <w:t>　农、林、牧、渔产品批发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3.80</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0.69</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10.20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食品、饮料及烟草制品批发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6.39</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2.16</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31.80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纺织、服装及家庭用品批发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5.59</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0.79</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11.70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文化、体育用品及器材批发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1.44</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0.28</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医药及医疗器材批发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1.31</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0.56</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4.16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矿产品、建材及化工产品批发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12.21</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1.49</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32.48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机械设备、五金产品及电子产品批发</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1.54</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0.28</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9.07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贸易经纪与代理</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0.52</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0.11</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single" w:color="auto" w:sz="4" w:space="0"/>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其他批发业</w:t>
            </w:r>
          </w:p>
        </w:tc>
        <w:tc>
          <w:tcPr>
            <w:tcW w:w="1417" w:type="dxa"/>
            <w:tcBorders>
              <w:top w:val="nil"/>
              <w:left w:val="single" w:color="auto" w:sz="4" w:space="0"/>
              <w:bottom w:val="single" w:color="auto" w:sz="4" w:space="0"/>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1.00</w:t>
            </w:r>
          </w:p>
        </w:tc>
        <w:tc>
          <w:tcPr>
            <w:tcW w:w="1417" w:type="dxa"/>
            <w:tcBorders>
              <w:top w:val="nil"/>
              <w:left w:val="single" w:color="auto" w:sz="4" w:space="0"/>
              <w:bottom w:val="single" w:color="auto" w:sz="4" w:space="0"/>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0.45</w:t>
            </w:r>
          </w:p>
        </w:tc>
        <w:tc>
          <w:tcPr>
            <w:tcW w:w="1418" w:type="dxa"/>
            <w:tcBorders>
              <w:top w:val="nil"/>
              <w:left w:val="single" w:color="auto" w:sz="4" w:space="0"/>
              <w:bottom w:val="single" w:color="auto" w:sz="4" w:space="0"/>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single" w:color="auto" w:sz="4" w:space="0"/>
              <w:left w:val="nil"/>
              <w:bottom w:val="nil"/>
              <w:right w:val="single" w:color="auto" w:sz="4" w:space="0"/>
            </w:tcBorders>
          </w:tcPr>
          <w:p>
            <w:pPr>
              <w:rPr>
                <w:rFonts w:ascii="Times New Roman" w:hAnsi="Times New Roman" w:cs="Times New Roman"/>
                <w:b/>
                <w:color w:val="auto"/>
                <w:szCs w:val="24"/>
              </w:rPr>
            </w:pPr>
            <w:r>
              <w:rPr>
                <w:rFonts w:ascii="Times New Roman" w:hAnsi="Times New Roman" w:cs="Times New Roman"/>
                <w:b/>
                <w:color w:val="auto"/>
              </w:rPr>
              <w:t>零售业</w:t>
            </w:r>
          </w:p>
        </w:tc>
        <w:tc>
          <w:tcPr>
            <w:tcW w:w="1417"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36.08</w:t>
            </w:r>
          </w:p>
        </w:tc>
        <w:tc>
          <w:tcPr>
            <w:tcW w:w="1417"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13.47</w:t>
            </w:r>
          </w:p>
        </w:tc>
        <w:tc>
          <w:tcPr>
            <w:tcW w:w="1418" w:type="dxa"/>
            <w:tcBorders>
              <w:top w:val="single" w:color="auto" w:sz="4" w:space="0"/>
              <w:left w:val="single" w:color="auto" w:sz="4" w:space="0"/>
              <w:bottom w:val="nil"/>
              <w:right w:val="nil"/>
            </w:tcBorders>
            <w:vAlign w:val="center"/>
          </w:tcPr>
          <w:p>
            <w:pPr>
              <w:keepNext w:val="0"/>
              <w:keepLines w:val="0"/>
              <w:widowControl/>
              <w:suppressLineNumbers w:val="0"/>
              <w:ind w:right="346" w:rightChars="165"/>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88.32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综合零售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3.16</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0.68</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11.12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食品、饮料及烟草制品专门零售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4.03</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1.18</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8.32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纺织、服装及日用品专门零售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1.37</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0.37</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5.43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文化、体育用品及器材专门零售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0.62</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0.22</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医药及医疗器材专门零售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3.36</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1.71</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7.03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kern w:val="0"/>
                <w:szCs w:val="21"/>
              </w:rPr>
              <w:t>　汽车、摩托车、零配件和燃料及其他动力销售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5.46</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2.92</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15.61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家用电器及电子产品专门零售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3.37</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1.27</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14.81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nil"/>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五金、家具及室内装饰材料专门零售</w:t>
            </w:r>
          </w:p>
        </w:tc>
        <w:tc>
          <w:tcPr>
            <w:tcW w:w="1417" w:type="dxa"/>
            <w:tcBorders>
              <w:top w:val="nil"/>
              <w:left w:val="single" w:color="auto" w:sz="4" w:space="0"/>
              <w:bottom w:val="nil"/>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6.10</w:t>
            </w:r>
          </w:p>
        </w:tc>
        <w:tc>
          <w:tcPr>
            <w:tcW w:w="1417" w:type="dxa"/>
            <w:tcBorders>
              <w:top w:val="nil"/>
              <w:left w:val="single" w:color="auto" w:sz="4" w:space="0"/>
              <w:bottom w:val="nil"/>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1.75</w:t>
            </w:r>
          </w:p>
        </w:tc>
        <w:tc>
          <w:tcPr>
            <w:tcW w:w="1418" w:type="dxa"/>
            <w:tcBorders>
              <w:top w:val="nil"/>
              <w:left w:val="single" w:color="auto" w:sz="4" w:space="0"/>
              <w:bottom w:val="nil"/>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17.84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4535" w:type="dxa"/>
            <w:tcBorders>
              <w:top w:val="nil"/>
              <w:left w:val="nil"/>
              <w:bottom w:val="single" w:color="auto" w:sz="12" w:space="0"/>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货摊、无店铺及其他零售业</w:t>
            </w:r>
          </w:p>
        </w:tc>
        <w:tc>
          <w:tcPr>
            <w:tcW w:w="1417" w:type="dxa"/>
            <w:tcBorders>
              <w:top w:val="nil"/>
              <w:left w:val="single" w:color="auto" w:sz="4" w:space="0"/>
              <w:bottom w:val="single" w:color="auto" w:sz="12" w:space="0"/>
              <w:right w:val="single" w:color="auto" w:sz="4" w:space="0"/>
            </w:tcBorders>
            <w:vAlign w:val="center"/>
          </w:tcPr>
          <w:p>
            <w:pPr>
              <w:ind w:right="346" w:rightChars="165"/>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8.59</w:t>
            </w:r>
          </w:p>
        </w:tc>
        <w:tc>
          <w:tcPr>
            <w:tcW w:w="1417" w:type="dxa"/>
            <w:tcBorders>
              <w:top w:val="nil"/>
              <w:left w:val="single" w:color="auto" w:sz="4" w:space="0"/>
              <w:bottom w:val="single" w:color="auto" w:sz="12" w:space="0"/>
              <w:right w:val="single" w:color="auto" w:sz="4" w:space="0"/>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3.36</w:t>
            </w:r>
          </w:p>
        </w:tc>
        <w:tc>
          <w:tcPr>
            <w:tcW w:w="1418" w:type="dxa"/>
            <w:tcBorders>
              <w:top w:val="nil"/>
              <w:left w:val="single" w:color="auto" w:sz="4" w:space="0"/>
              <w:bottom w:val="single" w:color="auto" w:sz="12" w:space="0"/>
              <w:right w:val="nil"/>
            </w:tcBorders>
            <w:vAlign w:val="center"/>
          </w:tcPr>
          <w:p>
            <w:pPr>
              <w:ind w:right="346" w:rightChars="165"/>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5.67</w:t>
            </w:r>
          </w:p>
        </w:tc>
      </w:tr>
    </w:tbl>
    <w:p>
      <w:pPr>
        <w:widowControl/>
        <w:spacing w:line="530" w:lineRule="exact"/>
        <w:ind w:firstLine="640" w:firstLineChars="200"/>
        <w:rPr>
          <w:rFonts w:ascii="Times New Roman" w:hAnsi="Times New Roman" w:eastAsia="仿宋_GB2312" w:cs="Times New Roman"/>
          <w:color w:val="FF0000"/>
          <w:kern w:val="0"/>
          <w:sz w:val="32"/>
          <w:szCs w:val="32"/>
        </w:rPr>
      </w:pPr>
    </w:p>
    <w:p>
      <w:pPr>
        <w:widowControl/>
        <w:spacing w:line="570" w:lineRule="exact"/>
        <w:ind w:firstLine="640" w:firstLineChars="200"/>
        <w:jc w:val="left"/>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二、交通运输、仓储和邮政业</w:t>
      </w:r>
    </w:p>
    <w:p>
      <w:pPr>
        <w:widowControl/>
        <w:spacing w:line="57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p>
    <w:p>
      <w:pPr>
        <w:spacing w:line="57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共有交通运输、仓储和邮政业企业法人单位</w:t>
      </w:r>
      <w:r>
        <w:rPr>
          <w:rFonts w:hint="eastAsia" w:ascii="Times New Roman" w:hAnsi="Times New Roman" w:eastAsia="仿宋_GB2312" w:cs="Times New Roman"/>
          <w:color w:val="auto"/>
          <w:sz w:val="32"/>
          <w:szCs w:val="32"/>
          <w:lang w:val="en-US" w:eastAsia="zh-CN"/>
        </w:rPr>
        <w:t>255</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4464</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381.1</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11</w:t>
      </w:r>
      <w:r>
        <w:rPr>
          <w:rFonts w:ascii="Times New Roman" w:hAnsi="Times New Roman" w:eastAsia="仿宋_GB2312" w:cs="Times New Roman"/>
          <w:color w:val="auto"/>
          <w:kern w:val="0"/>
          <w:sz w:val="32"/>
          <w:szCs w:val="32"/>
        </w:rPr>
        <w:t>%（详见表4-4）。</w:t>
      </w:r>
    </w:p>
    <w:p>
      <w:pPr>
        <w:spacing w:line="570" w:lineRule="exact"/>
        <w:ind w:firstLine="640" w:firstLineChars="200"/>
        <w:rPr>
          <w:rFonts w:ascii="Times New Roman" w:hAnsi="Times New Roman" w:eastAsia="仿宋_GB2312" w:cs="Times New Roman"/>
          <w:color w:val="auto"/>
          <w:kern w:val="0"/>
          <w:sz w:val="32"/>
          <w:szCs w:val="32"/>
        </w:rPr>
      </w:pPr>
    </w:p>
    <w:tbl>
      <w:tblPr>
        <w:tblStyle w:val="5"/>
        <w:tblW w:w="864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787"/>
        <w:gridCol w:w="2426"/>
        <w:gridCol w:w="243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04" w:hRule="atLeast"/>
          <w:jc w:val="center"/>
        </w:trPr>
        <w:tc>
          <w:tcPr>
            <w:tcW w:w="8646" w:type="dxa"/>
            <w:gridSpan w:val="3"/>
            <w:tcBorders>
              <w:top w:val="nil"/>
              <w:left w:val="nil"/>
              <w:bottom w:val="single" w:color="auto" w:sz="12" w:space="0"/>
              <w:right w:val="nil"/>
            </w:tcBorders>
            <w:shd w:val="clear" w:color="auto" w:fill="FFFFFF"/>
            <w:vAlign w:val="center"/>
          </w:tcPr>
          <w:p>
            <w:pPr>
              <w:widowControl/>
              <w:spacing w:line="320" w:lineRule="atLeast"/>
              <w:ind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表4-4　按</w:t>
            </w:r>
            <w:r>
              <w:rPr>
                <w:rFonts w:hint="eastAsia" w:ascii="黑体" w:hAnsi="黑体" w:eastAsia="黑体" w:cs="Times New Roman"/>
                <w:bCs/>
                <w:color w:val="auto"/>
                <w:kern w:val="0"/>
                <w:sz w:val="24"/>
                <w:lang w:eastAsia="zh-CN"/>
              </w:rPr>
              <w:t>主要</w:t>
            </w:r>
            <w:r>
              <w:rPr>
                <w:rFonts w:ascii="黑体" w:hAnsi="黑体" w:eastAsia="黑体" w:cs="Times New Roman"/>
                <w:bCs/>
                <w:color w:val="auto"/>
                <w:kern w:val="0"/>
                <w:sz w:val="24"/>
              </w:rPr>
              <w:t>行业大类分组的交通运输、仓储和邮政业企业法人单位和从业人员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787"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2426"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（个）</w:t>
            </w:r>
          </w:p>
        </w:tc>
        <w:tc>
          <w:tcPr>
            <w:tcW w:w="2433"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2" w:hRule="exact"/>
          <w:jc w:val="center"/>
        </w:trPr>
        <w:tc>
          <w:tcPr>
            <w:tcW w:w="3787"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426" w:type="dxa"/>
            <w:tcBorders>
              <w:top w:val="single" w:color="auto" w:sz="4" w:space="0"/>
              <w:left w:val="single" w:color="auto" w:sz="4" w:space="0"/>
              <w:bottom w:val="nil"/>
              <w:right w:val="single" w:color="auto" w:sz="4" w:space="0"/>
            </w:tcBorders>
          </w:tcPr>
          <w:p>
            <w:pPr>
              <w:ind w:right="735" w:rightChars="350"/>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255</w:t>
            </w:r>
          </w:p>
        </w:tc>
        <w:tc>
          <w:tcPr>
            <w:tcW w:w="2433" w:type="dxa"/>
            <w:tcBorders>
              <w:top w:val="single" w:color="auto" w:sz="4" w:space="0"/>
              <w:left w:val="single" w:color="auto" w:sz="4" w:space="0"/>
              <w:bottom w:val="nil"/>
              <w:right w:val="nil"/>
            </w:tcBorders>
          </w:tcPr>
          <w:p>
            <w:pPr>
              <w:ind w:right="735" w:rightChars="350"/>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4464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2" w:hRule="exact"/>
          <w:jc w:val="center"/>
        </w:trPr>
        <w:tc>
          <w:tcPr>
            <w:tcW w:w="3787"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道路运输业</w:t>
            </w:r>
          </w:p>
        </w:tc>
        <w:tc>
          <w:tcPr>
            <w:tcW w:w="2426" w:type="dxa"/>
            <w:tcBorders>
              <w:top w:val="nil"/>
              <w:left w:val="single" w:color="auto" w:sz="4" w:space="0"/>
              <w:bottom w:val="nil"/>
              <w:right w:val="single" w:color="auto" w:sz="4" w:space="0"/>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214</w:t>
            </w:r>
          </w:p>
        </w:tc>
        <w:tc>
          <w:tcPr>
            <w:tcW w:w="2433" w:type="dxa"/>
            <w:tcBorders>
              <w:top w:val="nil"/>
              <w:left w:val="single" w:color="auto" w:sz="4" w:space="0"/>
              <w:bottom w:val="nil"/>
              <w:right w:val="nil"/>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3549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2" w:hRule="exact"/>
          <w:jc w:val="center"/>
        </w:trPr>
        <w:tc>
          <w:tcPr>
            <w:tcW w:w="3787"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多式联运和运输代理业</w:t>
            </w:r>
          </w:p>
        </w:tc>
        <w:tc>
          <w:tcPr>
            <w:tcW w:w="2426" w:type="dxa"/>
            <w:tcBorders>
              <w:top w:val="nil"/>
              <w:left w:val="single" w:color="auto" w:sz="4" w:space="0"/>
              <w:bottom w:val="nil"/>
              <w:right w:val="single" w:color="auto" w:sz="4" w:space="0"/>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16</w:t>
            </w:r>
          </w:p>
        </w:tc>
        <w:tc>
          <w:tcPr>
            <w:tcW w:w="2433" w:type="dxa"/>
            <w:tcBorders>
              <w:top w:val="nil"/>
              <w:left w:val="single" w:color="auto" w:sz="4" w:space="0"/>
              <w:bottom w:val="nil"/>
              <w:right w:val="nil"/>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177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2" w:hRule="exact"/>
          <w:jc w:val="center"/>
        </w:trPr>
        <w:tc>
          <w:tcPr>
            <w:tcW w:w="3787"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装卸搬运和仓储业</w:t>
            </w:r>
          </w:p>
        </w:tc>
        <w:tc>
          <w:tcPr>
            <w:tcW w:w="2426" w:type="dxa"/>
            <w:tcBorders>
              <w:top w:val="nil"/>
              <w:left w:val="single" w:color="auto" w:sz="4" w:space="0"/>
              <w:bottom w:val="nil"/>
              <w:right w:val="single" w:color="auto" w:sz="4" w:space="0"/>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11</w:t>
            </w:r>
          </w:p>
        </w:tc>
        <w:tc>
          <w:tcPr>
            <w:tcW w:w="2433" w:type="dxa"/>
            <w:tcBorders>
              <w:top w:val="nil"/>
              <w:left w:val="single" w:color="auto" w:sz="4" w:space="0"/>
              <w:bottom w:val="nil"/>
              <w:right w:val="nil"/>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134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72" w:hRule="exact"/>
          <w:jc w:val="center"/>
        </w:trPr>
        <w:tc>
          <w:tcPr>
            <w:tcW w:w="3787" w:type="dxa"/>
            <w:tcBorders>
              <w:top w:val="nil"/>
              <w:left w:val="nil"/>
              <w:bottom w:val="single" w:color="auto" w:sz="12"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邮政业</w:t>
            </w:r>
          </w:p>
        </w:tc>
        <w:tc>
          <w:tcPr>
            <w:tcW w:w="2426" w:type="dxa"/>
            <w:tcBorders>
              <w:top w:val="nil"/>
              <w:left w:val="single" w:color="auto" w:sz="4" w:space="0"/>
              <w:bottom w:val="single" w:color="auto" w:sz="12" w:space="0"/>
              <w:right w:val="single" w:color="auto" w:sz="4" w:space="0"/>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12</w:t>
            </w:r>
          </w:p>
        </w:tc>
        <w:tc>
          <w:tcPr>
            <w:tcW w:w="2433" w:type="dxa"/>
            <w:tcBorders>
              <w:top w:val="nil"/>
              <w:left w:val="single" w:color="auto" w:sz="4" w:space="0"/>
              <w:bottom w:val="single" w:color="auto" w:sz="12" w:space="0"/>
              <w:right w:val="nil"/>
            </w:tcBorders>
          </w:tcPr>
          <w:p>
            <w:pPr>
              <w:ind w:right="735" w:rightChars="350"/>
              <w:jc w:val="right"/>
              <w:rPr>
                <w:rFonts w:hint="default" w:ascii="Times New Roman" w:hAnsi="Times New Roman" w:cs="Times New Roman" w:eastAsiaTheme="minorEastAsia"/>
                <w:color w:val="auto"/>
                <w:szCs w:val="24"/>
                <w:lang w:val="en-US" w:eastAsia="zh-CN"/>
              </w:rPr>
            </w:pPr>
            <w:r>
              <w:rPr>
                <w:rFonts w:hint="eastAsia" w:ascii="Times New Roman" w:hAnsi="Times New Roman" w:cs="Times New Roman"/>
                <w:color w:val="auto"/>
                <w:szCs w:val="24"/>
                <w:lang w:val="en-US" w:eastAsia="zh-CN"/>
              </w:rPr>
              <w:t>594</w:t>
            </w:r>
          </w:p>
        </w:tc>
      </w:tr>
    </w:tbl>
    <w:p>
      <w:pPr>
        <w:widowControl/>
        <w:spacing w:line="620" w:lineRule="exact"/>
        <w:ind w:firstLine="640" w:firstLineChars="200"/>
        <w:rPr>
          <w:rFonts w:ascii="Times New Roman" w:hAnsi="Times New Roman" w:eastAsia="楷体_GB2312" w:cs="Times New Roman"/>
          <w:color w:val="auto"/>
          <w:kern w:val="0"/>
          <w:sz w:val="32"/>
          <w:szCs w:val="32"/>
        </w:rPr>
      </w:pPr>
    </w:p>
    <w:p>
      <w:pPr>
        <w:widowControl/>
        <w:spacing w:line="62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widowControl/>
        <w:spacing w:line="62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2018年末，交通运输、仓储和邮政业企业法人单位资产总计</w:t>
      </w:r>
      <w:r>
        <w:rPr>
          <w:rFonts w:hint="eastAsia" w:ascii="Times New Roman" w:hAnsi="Times New Roman" w:eastAsia="仿宋_GB2312" w:cs="Times New Roman"/>
          <w:color w:val="auto"/>
          <w:sz w:val="32"/>
          <w:szCs w:val="32"/>
          <w:lang w:val="en-US" w:eastAsia="zh-CN"/>
        </w:rPr>
        <w:t>7.42</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sz w:val="32"/>
          <w:szCs w:val="32"/>
          <w:lang w:val="en-US" w:eastAsia="zh-CN"/>
        </w:rPr>
        <w:t>82.8</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3.96</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9.31</w:t>
      </w:r>
      <w:r>
        <w:rPr>
          <w:rFonts w:ascii="Times New Roman" w:hAnsi="Times New Roman" w:eastAsia="仿宋_GB2312" w:cs="Times New Roman"/>
          <w:color w:val="auto"/>
          <w:kern w:val="0"/>
          <w:sz w:val="32"/>
          <w:szCs w:val="32"/>
        </w:rPr>
        <w:t>亿元（详见表4-</w:t>
      </w:r>
      <w:r>
        <w:rPr>
          <w:rFonts w:hint="eastAsia" w:ascii="Times New Roman" w:hAnsi="Times New Roman" w:eastAsia="仿宋_GB2312" w:cs="Times New Roman"/>
          <w:color w:val="auto"/>
          <w:kern w:val="0"/>
          <w:sz w:val="32"/>
          <w:szCs w:val="32"/>
          <w:lang w:val="en-US" w:eastAsia="zh-CN"/>
        </w:rPr>
        <w:t>5</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rPr>
      </w:pPr>
    </w:p>
    <w:tbl>
      <w:tblPr>
        <w:tblStyle w:val="5"/>
        <w:tblW w:w="8435"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686"/>
        <w:gridCol w:w="1540"/>
        <w:gridCol w:w="1540"/>
        <w:gridCol w:w="166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04" w:hRule="atLeast"/>
          <w:jc w:val="center"/>
        </w:trPr>
        <w:tc>
          <w:tcPr>
            <w:tcW w:w="8435" w:type="dxa"/>
            <w:gridSpan w:val="4"/>
            <w:tcBorders>
              <w:top w:val="nil"/>
              <w:left w:val="nil"/>
              <w:bottom w:val="single" w:color="auto" w:sz="12" w:space="0"/>
              <w:right w:val="nil"/>
            </w:tcBorders>
            <w:shd w:val="clear" w:color="auto" w:fill="FFFFFF"/>
            <w:vAlign w:val="center"/>
          </w:tcPr>
          <w:p>
            <w:pPr>
              <w:widowControl/>
              <w:spacing w:line="320" w:lineRule="atLeast"/>
              <w:ind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w:t>
            </w:r>
            <w:r>
              <w:rPr>
                <w:rFonts w:hint="eastAsia" w:ascii="黑体" w:hAnsi="黑体" w:eastAsia="黑体" w:cs="Times New Roman"/>
                <w:bCs/>
                <w:color w:val="auto"/>
                <w:kern w:val="0"/>
                <w:sz w:val="24"/>
                <w:lang w:val="en-US" w:eastAsia="zh-CN"/>
              </w:rPr>
              <w:t>5</w:t>
            </w:r>
            <w:r>
              <w:rPr>
                <w:rFonts w:ascii="黑体" w:hAnsi="黑体" w:eastAsia="黑体" w:cs="Times New Roman"/>
                <w:bCs/>
                <w:color w:val="auto"/>
                <w:kern w:val="0"/>
                <w:sz w:val="24"/>
              </w:rPr>
              <w:t>　按</w:t>
            </w:r>
            <w:r>
              <w:rPr>
                <w:rFonts w:hint="eastAsia" w:ascii="黑体" w:hAnsi="黑体" w:eastAsia="黑体" w:cs="Times New Roman"/>
                <w:bCs/>
                <w:color w:val="auto"/>
                <w:kern w:val="0"/>
                <w:sz w:val="24"/>
                <w:lang w:eastAsia="zh-CN"/>
              </w:rPr>
              <w:t>主要</w:t>
            </w:r>
            <w:r>
              <w:rPr>
                <w:rFonts w:ascii="黑体" w:hAnsi="黑体" w:eastAsia="黑体" w:cs="Times New Roman"/>
                <w:bCs/>
                <w:color w:val="auto"/>
                <w:kern w:val="0"/>
                <w:sz w:val="24"/>
              </w:rPr>
              <w:t>行业大类分组的交通运输、仓储和邮政业企业法人单位</w:t>
            </w:r>
          </w:p>
          <w:p>
            <w:pPr>
              <w:widowControl/>
              <w:spacing w:line="320" w:lineRule="atLeast"/>
              <w:ind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686"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669"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7.42 </w:t>
            </w:r>
          </w:p>
        </w:tc>
        <w:tc>
          <w:tcPr>
            <w:tcW w:w="1540" w:type="dxa"/>
            <w:tcBorders>
              <w:top w:val="single" w:color="auto" w:sz="4" w:space="0"/>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3.96 </w:t>
            </w:r>
          </w:p>
        </w:tc>
        <w:tc>
          <w:tcPr>
            <w:tcW w:w="1669" w:type="dxa"/>
            <w:tcBorders>
              <w:top w:val="single" w:color="auto" w:sz="4" w:space="0"/>
              <w:left w:val="single" w:color="auto" w:sz="4" w:space="0"/>
              <w:bottom w:val="nil"/>
              <w:right w:val="nil"/>
            </w:tcBorders>
            <w:vAlign w:val="top"/>
          </w:tcPr>
          <w:p>
            <w:pPr>
              <w:keepNext w:val="0"/>
              <w:keepLines w:val="0"/>
              <w:widowControl/>
              <w:suppressLineNumbers w:val="0"/>
              <w:ind w:right="468" w:rightChars="223"/>
              <w:jc w:val="right"/>
              <w:textAlignment w:val="top"/>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9.31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道路运输业</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6.35 </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3.75 </w:t>
            </w:r>
          </w:p>
        </w:tc>
        <w:tc>
          <w:tcPr>
            <w:tcW w:w="1669" w:type="dxa"/>
            <w:tcBorders>
              <w:top w:val="nil"/>
              <w:left w:val="single" w:color="auto" w:sz="4" w:space="0"/>
              <w:bottom w:val="nil"/>
              <w:right w:val="nil"/>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6.75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多式联运和运输代理业</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0.24 </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0.07 </w:t>
            </w:r>
          </w:p>
        </w:tc>
        <w:tc>
          <w:tcPr>
            <w:tcW w:w="1669" w:type="dxa"/>
            <w:tcBorders>
              <w:top w:val="nil"/>
              <w:left w:val="single" w:color="auto" w:sz="4" w:space="0"/>
              <w:bottom w:val="nil"/>
              <w:right w:val="nil"/>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0.72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装卸搬运和仓储业</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0.06 </w:t>
            </w:r>
          </w:p>
        </w:tc>
        <w:tc>
          <w:tcPr>
            <w:tcW w:w="1540" w:type="dxa"/>
            <w:tcBorders>
              <w:top w:val="nil"/>
              <w:left w:val="single" w:color="auto" w:sz="4" w:space="0"/>
              <w:bottom w:val="nil"/>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0.01 </w:t>
            </w:r>
          </w:p>
        </w:tc>
        <w:tc>
          <w:tcPr>
            <w:tcW w:w="1669" w:type="dxa"/>
            <w:tcBorders>
              <w:top w:val="nil"/>
              <w:left w:val="single" w:color="auto" w:sz="4" w:space="0"/>
              <w:bottom w:val="nil"/>
              <w:right w:val="nil"/>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0.23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single" w:color="auto" w:sz="18" w:space="0"/>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邮政业</w:t>
            </w:r>
          </w:p>
        </w:tc>
        <w:tc>
          <w:tcPr>
            <w:tcW w:w="1540" w:type="dxa"/>
            <w:tcBorders>
              <w:top w:val="nil"/>
              <w:left w:val="single" w:color="auto" w:sz="4" w:space="0"/>
              <w:bottom w:val="single" w:color="auto" w:sz="18" w:space="0"/>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0.75 </w:t>
            </w:r>
          </w:p>
        </w:tc>
        <w:tc>
          <w:tcPr>
            <w:tcW w:w="1540" w:type="dxa"/>
            <w:tcBorders>
              <w:top w:val="nil"/>
              <w:left w:val="single" w:color="auto" w:sz="4" w:space="0"/>
              <w:bottom w:val="single" w:color="auto" w:sz="18" w:space="0"/>
              <w:right w:val="single" w:color="auto" w:sz="4" w:space="0"/>
            </w:tcBorders>
            <w:vAlign w:val="top"/>
          </w:tcPr>
          <w:p>
            <w:pPr>
              <w:keepNext w:val="0"/>
              <w:keepLines w:val="0"/>
              <w:widowControl/>
              <w:suppressLineNumbers w:val="0"/>
              <w:ind w:right="468" w:rightChars="223"/>
              <w:jc w:val="right"/>
              <w:textAlignment w:val="top"/>
              <w:rPr>
                <w:rFonts w:ascii="Times New Roman" w:hAnsi="Times New Roman" w:cs="Times New Roman"/>
                <w:color w:val="auto"/>
                <w:kern w:val="0"/>
                <w:sz w:val="18"/>
                <w:szCs w:val="18"/>
              </w:rPr>
            </w:pPr>
            <w:r>
              <w:rPr>
                <w:rFonts w:hint="default" w:ascii="Times New Roman" w:hAnsi="Times New Roman" w:eastAsia="宋体" w:cs="Times New Roman"/>
                <w:i w:val="0"/>
                <w:color w:val="auto"/>
                <w:kern w:val="0"/>
                <w:sz w:val="18"/>
                <w:szCs w:val="18"/>
                <w:u w:val="none"/>
                <w:lang w:val="en-US" w:eastAsia="zh-CN" w:bidi="ar"/>
              </w:rPr>
              <w:t xml:space="preserve">0.13 </w:t>
            </w:r>
          </w:p>
        </w:tc>
        <w:tc>
          <w:tcPr>
            <w:tcW w:w="1669" w:type="dxa"/>
            <w:tcBorders>
              <w:top w:val="nil"/>
              <w:left w:val="single" w:color="auto" w:sz="4" w:space="0"/>
              <w:bottom w:val="single" w:color="auto" w:sz="18" w:space="0"/>
              <w:right w:val="nil"/>
            </w:tcBorders>
            <w:vAlign w:val="bottom"/>
          </w:tcPr>
          <w:p>
            <w:pPr>
              <w:keepNext w:val="0"/>
              <w:keepLines w:val="0"/>
              <w:widowControl/>
              <w:suppressLineNumbers w:val="0"/>
              <w:ind w:right="468" w:rightChars="223"/>
              <w:jc w:val="right"/>
              <w:textAlignment w:val="bottom"/>
              <w:rPr>
                <w:rFonts w:ascii="Times New Roman" w:hAnsi="Times New Roman" w:cs="Times New Roman"/>
                <w:color w:val="auto"/>
                <w:kern w:val="0"/>
                <w:sz w:val="18"/>
                <w:szCs w:val="18"/>
              </w:rPr>
            </w:pPr>
            <w:r>
              <w:rPr>
                <w:rFonts w:hint="default" w:ascii="Arial" w:hAnsi="Arial" w:eastAsia="宋体" w:cs="Arial"/>
                <w:i w:val="0"/>
                <w:color w:val="auto"/>
                <w:kern w:val="0"/>
                <w:sz w:val="20"/>
                <w:szCs w:val="20"/>
                <w:u w:val="none"/>
                <w:lang w:val="en-US" w:eastAsia="zh-CN" w:bidi="ar"/>
              </w:rPr>
              <w:t xml:space="preserve">1.60 </w:t>
            </w:r>
          </w:p>
        </w:tc>
      </w:tr>
    </w:tbl>
    <w:p>
      <w:pPr>
        <w:keepNext w:val="0"/>
        <w:keepLines w:val="0"/>
        <w:pageBreakBefore w:val="0"/>
        <w:widowControl/>
        <w:kinsoku/>
        <w:wordWrap/>
        <w:overflowPunct/>
        <w:topLinePunct w:val="0"/>
        <w:autoSpaceDE/>
        <w:autoSpaceDN/>
        <w:bidi w:val="0"/>
        <w:adjustRightInd/>
        <w:snapToGrid/>
        <w:spacing w:before="157" w:beforeLines="50" w:line="620" w:lineRule="exact"/>
        <w:ind w:firstLine="640" w:firstLineChars="200"/>
        <w:jc w:val="left"/>
        <w:textAlignment w:val="auto"/>
        <w:rPr>
          <w:rFonts w:ascii="Times New Roman" w:hAnsi="Times New Roman" w:eastAsia="黑体" w:cs="Times New Roman"/>
          <w:color w:val="auto"/>
          <w:kern w:val="0"/>
          <w:sz w:val="32"/>
          <w:szCs w:val="32"/>
        </w:rPr>
      </w:pPr>
    </w:p>
    <w:p>
      <w:pPr>
        <w:keepNext w:val="0"/>
        <w:keepLines w:val="0"/>
        <w:pageBreakBefore w:val="0"/>
        <w:widowControl/>
        <w:kinsoku/>
        <w:wordWrap/>
        <w:overflowPunct/>
        <w:topLinePunct w:val="0"/>
        <w:autoSpaceDE/>
        <w:autoSpaceDN/>
        <w:bidi w:val="0"/>
        <w:adjustRightInd/>
        <w:snapToGrid/>
        <w:spacing w:before="157" w:beforeLines="50" w:line="620" w:lineRule="exact"/>
        <w:ind w:firstLine="640" w:firstLineChars="200"/>
        <w:jc w:val="left"/>
        <w:textAlignment w:val="auto"/>
        <w:rPr>
          <w:rFonts w:ascii="Times New Roman" w:hAnsi="Times New Roman" w:eastAsia="黑体" w:cs="Times New Roman"/>
          <w:color w:val="auto"/>
          <w:kern w:val="0"/>
          <w:sz w:val="32"/>
          <w:szCs w:val="32"/>
        </w:rPr>
      </w:pPr>
      <w:r>
        <w:rPr>
          <w:rFonts w:ascii="Times New Roman" w:hAnsi="Times New Roman" w:eastAsia="黑体" w:cs="Times New Roman"/>
          <w:color w:val="auto"/>
          <w:kern w:val="0"/>
          <w:sz w:val="32"/>
          <w:szCs w:val="32"/>
        </w:rPr>
        <w:t>三、住宿和餐饮业</w:t>
      </w:r>
    </w:p>
    <w:p>
      <w:pPr>
        <w:widowControl/>
        <w:spacing w:line="62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p>
    <w:p>
      <w:pPr>
        <w:widowControl/>
        <w:spacing w:line="620" w:lineRule="exact"/>
        <w:ind w:firstLine="640" w:firstLineChars="200"/>
        <w:rPr>
          <w:rFonts w:ascii="Times New Roman" w:hAnsi="Times New Roman" w:eastAsia="仿宋_GB2312" w:cs="Times New Roman"/>
          <w:color w:val="FF0000"/>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共有住宿和餐饮业企业法人单位</w:t>
      </w:r>
      <w:r>
        <w:rPr>
          <w:rFonts w:hint="eastAsia" w:ascii="Times New Roman" w:hAnsi="Times New Roman" w:eastAsia="仿宋_GB2312" w:cs="Times New Roman"/>
          <w:color w:val="auto"/>
          <w:sz w:val="32"/>
          <w:szCs w:val="32"/>
          <w:lang w:val="en-US" w:eastAsia="zh-CN"/>
        </w:rPr>
        <w:t>260</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3776</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28.7</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1.0</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在住宿和餐饮业企业法人单位中，住宿业占</w:t>
      </w:r>
      <w:r>
        <w:rPr>
          <w:rFonts w:hint="eastAsia" w:ascii="Times New Roman" w:hAnsi="Times New Roman" w:eastAsia="仿宋_GB2312" w:cs="Times New Roman"/>
          <w:color w:val="auto"/>
          <w:kern w:val="0"/>
          <w:sz w:val="32"/>
          <w:szCs w:val="32"/>
          <w:lang w:val="en-US" w:eastAsia="zh-CN"/>
        </w:rPr>
        <w:t>20.8</w:t>
      </w:r>
      <w:r>
        <w:rPr>
          <w:rFonts w:ascii="Times New Roman" w:hAnsi="Times New Roman" w:eastAsia="仿宋_GB2312" w:cs="Times New Roman"/>
          <w:color w:val="auto"/>
          <w:kern w:val="0"/>
          <w:sz w:val="32"/>
          <w:szCs w:val="32"/>
        </w:rPr>
        <w:t>%，餐饮业占</w:t>
      </w:r>
      <w:r>
        <w:rPr>
          <w:rFonts w:hint="eastAsia" w:ascii="Times New Roman" w:hAnsi="Times New Roman" w:eastAsia="仿宋_GB2312" w:cs="Times New Roman"/>
          <w:color w:val="auto"/>
          <w:sz w:val="32"/>
          <w:szCs w:val="32"/>
          <w:lang w:val="en-US" w:eastAsia="zh-CN"/>
        </w:rPr>
        <w:t>79.2</w:t>
      </w:r>
      <w:r>
        <w:rPr>
          <w:rFonts w:ascii="Times New Roman" w:hAnsi="Times New Roman" w:eastAsia="仿宋_GB2312" w:cs="Times New Roman"/>
          <w:color w:val="auto"/>
          <w:kern w:val="0"/>
          <w:sz w:val="32"/>
          <w:szCs w:val="32"/>
        </w:rPr>
        <w:t>%。在住宿和餐饮业企业法人单位从业人员中，住宿业占</w:t>
      </w:r>
      <w:r>
        <w:rPr>
          <w:rFonts w:hint="eastAsia" w:ascii="Times New Roman" w:hAnsi="Times New Roman" w:eastAsia="仿宋_GB2312" w:cs="Times New Roman"/>
          <w:color w:val="auto"/>
          <w:sz w:val="32"/>
          <w:szCs w:val="32"/>
          <w:lang w:val="en-US" w:eastAsia="zh-CN"/>
        </w:rPr>
        <w:t>24.3</w:t>
      </w:r>
      <w:r>
        <w:rPr>
          <w:rFonts w:ascii="Times New Roman" w:hAnsi="Times New Roman" w:eastAsia="仿宋_GB2312" w:cs="Times New Roman"/>
          <w:color w:val="auto"/>
          <w:kern w:val="0"/>
          <w:sz w:val="32"/>
          <w:szCs w:val="32"/>
        </w:rPr>
        <w:t>%，餐饮业占</w:t>
      </w:r>
      <w:r>
        <w:rPr>
          <w:rFonts w:hint="eastAsia" w:ascii="Times New Roman" w:hAnsi="Times New Roman" w:eastAsia="仿宋_GB2312" w:cs="Times New Roman"/>
          <w:color w:val="auto"/>
          <w:sz w:val="32"/>
          <w:szCs w:val="32"/>
          <w:lang w:val="en-US" w:eastAsia="zh-CN"/>
        </w:rPr>
        <w:t>75.7</w:t>
      </w:r>
      <w:r>
        <w:rPr>
          <w:rFonts w:ascii="Times New Roman" w:hAnsi="Times New Roman" w:eastAsia="仿宋_GB2312" w:cs="Times New Roman"/>
          <w:color w:val="auto"/>
          <w:kern w:val="0"/>
          <w:sz w:val="32"/>
          <w:szCs w:val="32"/>
        </w:rPr>
        <w:t>%（详见表4-</w:t>
      </w:r>
      <w:r>
        <w:rPr>
          <w:rFonts w:hint="eastAsia" w:ascii="Times New Roman" w:hAnsi="Times New Roman" w:eastAsia="仿宋_GB2312" w:cs="Times New Roman"/>
          <w:color w:val="auto"/>
          <w:kern w:val="0"/>
          <w:sz w:val="32"/>
          <w:szCs w:val="32"/>
          <w:lang w:val="en-US" w:eastAsia="zh-CN"/>
        </w:rPr>
        <w:t>6</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在住宿和餐饮业企业法人单位中，</w:t>
      </w:r>
      <w:r>
        <w:rPr>
          <w:rFonts w:hint="eastAsia" w:ascii="Times New Roman" w:hAnsi="Times New Roman" w:eastAsia="仿宋_GB2312" w:cs="Times New Roman"/>
          <w:color w:val="auto"/>
          <w:kern w:val="0"/>
          <w:sz w:val="32"/>
          <w:szCs w:val="32"/>
          <w:highlight w:val="none"/>
          <w:lang w:eastAsia="zh-CN"/>
        </w:rPr>
        <w:t>全部为</w:t>
      </w:r>
      <w:r>
        <w:rPr>
          <w:rFonts w:ascii="Times New Roman" w:hAnsi="Times New Roman" w:eastAsia="仿宋_GB2312" w:cs="Times New Roman"/>
          <w:color w:val="auto"/>
          <w:kern w:val="0"/>
          <w:sz w:val="32"/>
          <w:szCs w:val="32"/>
          <w:highlight w:val="none"/>
        </w:rPr>
        <w:t>内资企业</w:t>
      </w:r>
      <w:r>
        <w:rPr>
          <w:rFonts w:hint="eastAsia" w:ascii="Times New Roman" w:hAnsi="Times New Roman" w:eastAsia="仿宋_GB2312" w:cs="Times New Roman"/>
          <w:color w:val="auto"/>
          <w:kern w:val="0"/>
          <w:sz w:val="32"/>
          <w:szCs w:val="32"/>
          <w:highlight w:val="none"/>
          <w:lang w:eastAsia="zh-CN"/>
        </w:rPr>
        <w:t>。其中，私营企业</w:t>
      </w:r>
      <w:r>
        <w:rPr>
          <w:rFonts w:ascii="Times New Roman" w:hAnsi="Times New Roman" w:eastAsia="仿宋_GB2312" w:cs="Times New Roman"/>
          <w:color w:val="auto"/>
          <w:kern w:val="0"/>
          <w:sz w:val="32"/>
          <w:szCs w:val="32"/>
          <w:highlight w:val="none"/>
        </w:rPr>
        <w:t>占</w:t>
      </w:r>
      <w:r>
        <w:rPr>
          <w:rFonts w:hint="eastAsia" w:ascii="Times New Roman" w:hAnsi="Times New Roman" w:eastAsia="仿宋_GB2312" w:cs="Times New Roman"/>
          <w:color w:val="auto"/>
          <w:kern w:val="0"/>
          <w:sz w:val="32"/>
          <w:szCs w:val="32"/>
          <w:highlight w:val="none"/>
          <w:lang w:val="en-US" w:eastAsia="zh-CN"/>
        </w:rPr>
        <w:t>99.2</w:t>
      </w:r>
      <w:r>
        <w:rPr>
          <w:rFonts w:ascii="Times New Roman" w:hAnsi="Times New Roman" w:eastAsia="仿宋_GB2312" w:cs="Times New Roman"/>
          <w:color w:val="auto"/>
          <w:kern w:val="0"/>
          <w:sz w:val="32"/>
          <w:szCs w:val="32"/>
          <w:highlight w:val="none"/>
        </w:rPr>
        <w:t>%。</w:t>
      </w:r>
    </w:p>
    <w:p>
      <w:pPr>
        <w:widowControl/>
        <w:spacing w:line="620" w:lineRule="exact"/>
        <w:ind w:firstLine="640" w:firstLineChars="200"/>
        <w:rPr>
          <w:rFonts w:ascii="Times New Roman" w:hAnsi="Times New Roman" w:eastAsia="仿宋_GB2312" w:cs="Times New Roman"/>
          <w:color w:val="auto"/>
          <w:kern w:val="0"/>
          <w:sz w:val="32"/>
          <w:szCs w:val="32"/>
          <w:highlight w:val="none"/>
        </w:rPr>
      </w:pPr>
      <w:r>
        <w:rPr>
          <w:rFonts w:ascii="Times New Roman" w:hAnsi="Times New Roman" w:eastAsia="仿宋_GB2312" w:cs="Times New Roman"/>
          <w:color w:val="auto"/>
          <w:kern w:val="0"/>
          <w:sz w:val="32"/>
          <w:szCs w:val="32"/>
          <w:highlight w:val="none"/>
        </w:rPr>
        <w:t>在住宿和餐饮业企业法人单位从业人员中，</w:t>
      </w:r>
      <w:r>
        <w:rPr>
          <w:rFonts w:hint="eastAsia" w:ascii="Times New Roman" w:hAnsi="Times New Roman" w:eastAsia="仿宋_GB2312" w:cs="Times New Roman"/>
          <w:color w:val="auto"/>
          <w:kern w:val="0"/>
          <w:sz w:val="32"/>
          <w:szCs w:val="32"/>
          <w:highlight w:val="none"/>
          <w:lang w:eastAsia="zh-CN"/>
        </w:rPr>
        <w:t>私营企业</w:t>
      </w:r>
      <w:r>
        <w:rPr>
          <w:rFonts w:ascii="Times New Roman" w:hAnsi="Times New Roman" w:eastAsia="仿宋_GB2312" w:cs="Times New Roman"/>
          <w:color w:val="auto"/>
          <w:kern w:val="0"/>
          <w:sz w:val="32"/>
          <w:szCs w:val="32"/>
          <w:highlight w:val="none"/>
        </w:rPr>
        <w:t>占</w:t>
      </w:r>
      <w:r>
        <w:rPr>
          <w:rFonts w:hint="eastAsia" w:ascii="Times New Roman" w:hAnsi="Times New Roman" w:eastAsia="仿宋_GB2312" w:cs="Times New Roman"/>
          <w:color w:val="auto"/>
          <w:sz w:val="32"/>
          <w:szCs w:val="32"/>
          <w:highlight w:val="none"/>
          <w:lang w:val="en-US" w:eastAsia="zh-CN"/>
        </w:rPr>
        <w:t>93.5</w:t>
      </w:r>
      <w:r>
        <w:rPr>
          <w:rFonts w:ascii="Times New Roman" w:hAnsi="Times New Roman" w:eastAsia="仿宋_GB2312" w:cs="Times New Roman"/>
          <w:color w:val="auto"/>
          <w:kern w:val="0"/>
          <w:sz w:val="32"/>
          <w:szCs w:val="32"/>
          <w:highlight w:val="none"/>
        </w:rPr>
        <w:t>%（详见表4-</w:t>
      </w:r>
      <w:r>
        <w:rPr>
          <w:rFonts w:hint="eastAsia" w:ascii="Times New Roman" w:hAnsi="Times New Roman" w:eastAsia="仿宋_GB2312" w:cs="Times New Roman"/>
          <w:color w:val="auto"/>
          <w:kern w:val="0"/>
          <w:sz w:val="32"/>
          <w:szCs w:val="32"/>
          <w:highlight w:val="none"/>
          <w:lang w:val="en-US" w:eastAsia="zh-CN"/>
        </w:rPr>
        <w:t>7</w:t>
      </w:r>
      <w:r>
        <w:rPr>
          <w:rFonts w:ascii="Times New Roman" w:hAnsi="Times New Roman" w:eastAsia="仿宋_GB2312" w:cs="Times New Roman"/>
          <w:color w:val="auto"/>
          <w:kern w:val="0"/>
          <w:sz w:val="32"/>
          <w:szCs w:val="32"/>
          <w:highlight w:val="none"/>
        </w:rPr>
        <w:t>）。</w:t>
      </w:r>
    </w:p>
    <w:p>
      <w:pPr>
        <w:keepNext w:val="0"/>
        <w:keepLines w:val="0"/>
        <w:pageBreakBefore w:val="0"/>
        <w:widowControl/>
        <w:kinsoku/>
        <w:wordWrap/>
        <w:overflowPunct/>
        <w:topLinePunct w:val="0"/>
        <w:autoSpaceDE/>
        <w:autoSpaceDN/>
        <w:bidi w:val="0"/>
        <w:adjustRightInd/>
        <w:snapToGrid/>
        <w:spacing w:line="400" w:lineRule="exact"/>
        <w:ind w:firstLine="640" w:firstLineChars="200"/>
        <w:textAlignment w:val="auto"/>
        <w:rPr>
          <w:rFonts w:ascii="Times New Roman" w:hAnsi="Times New Roman" w:eastAsia="仿宋_GB2312" w:cs="Times New Roman"/>
          <w:color w:val="auto"/>
          <w:kern w:val="0"/>
          <w:sz w:val="32"/>
          <w:szCs w:val="32"/>
          <w:highlight w:val="none"/>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713"/>
        <w:gridCol w:w="2661"/>
        <w:gridCol w:w="19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w:t>
            </w:r>
            <w:r>
              <w:rPr>
                <w:rFonts w:hint="eastAsia" w:ascii="黑体" w:hAnsi="黑体" w:eastAsia="黑体" w:cs="Times New Roman"/>
                <w:bCs/>
                <w:color w:val="auto"/>
                <w:kern w:val="0"/>
                <w:sz w:val="24"/>
                <w:lang w:val="en-US" w:eastAsia="zh-CN"/>
              </w:rPr>
              <w:t>6</w:t>
            </w:r>
            <w:r>
              <w:rPr>
                <w:rFonts w:ascii="黑体" w:hAnsi="黑体" w:eastAsia="黑体" w:cs="Times New Roman"/>
                <w:bCs/>
                <w:color w:val="auto"/>
                <w:kern w:val="0"/>
                <w:sz w:val="24"/>
              </w:rPr>
              <w:t>　按行业中类分组的住宿和餐饮业企业法人单位和从业人员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713"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auto"/>
                <w:kern w:val="0"/>
                <w:sz w:val="20"/>
                <w:szCs w:val="20"/>
              </w:rPr>
            </w:pPr>
          </w:p>
        </w:tc>
        <w:tc>
          <w:tcPr>
            <w:tcW w:w="2661"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193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61" w:type="dxa"/>
            <w:tcBorders>
              <w:top w:val="single" w:color="auto" w:sz="4" w:space="0"/>
              <w:left w:val="single" w:color="auto" w:sz="4" w:space="0"/>
              <w:bottom w:val="nil"/>
              <w:right w:val="single" w:color="auto" w:sz="4" w:space="0"/>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260</w:t>
            </w:r>
          </w:p>
        </w:tc>
        <w:tc>
          <w:tcPr>
            <w:tcW w:w="1932" w:type="dxa"/>
            <w:tcBorders>
              <w:top w:val="single" w:color="auto" w:sz="4" w:space="0"/>
              <w:left w:val="single" w:color="auto" w:sz="4" w:space="0"/>
              <w:bottom w:val="nil"/>
              <w:right w:val="nil"/>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3776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住宿业</w:t>
            </w:r>
          </w:p>
        </w:tc>
        <w:tc>
          <w:tcPr>
            <w:tcW w:w="2661" w:type="dxa"/>
            <w:tcBorders>
              <w:top w:val="nil"/>
              <w:left w:val="single" w:color="auto" w:sz="4" w:space="0"/>
              <w:bottom w:val="nil"/>
              <w:right w:val="single" w:color="auto" w:sz="4" w:space="0"/>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54</w:t>
            </w:r>
          </w:p>
        </w:tc>
        <w:tc>
          <w:tcPr>
            <w:tcW w:w="1932" w:type="dxa"/>
            <w:tcBorders>
              <w:top w:val="nil"/>
              <w:left w:val="single" w:color="auto" w:sz="4" w:space="0"/>
              <w:bottom w:val="nil"/>
              <w:right w:val="nil"/>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919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旅游饭店</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34</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675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一般旅馆</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16</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firstLine="420" w:firstLineChars="200"/>
              <w:rPr>
                <w:rFonts w:ascii="Times New Roman" w:hAnsi="Times New Roman" w:cs="Times New Roman"/>
                <w:color w:val="auto"/>
                <w:kern w:val="0"/>
                <w:szCs w:val="21"/>
              </w:rPr>
            </w:pPr>
            <w:r>
              <w:rPr>
                <w:rFonts w:ascii="Times New Roman" w:hAnsi="Times New Roman" w:cs="Times New Roman"/>
                <w:color w:val="auto"/>
                <w:kern w:val="0"/>
                <w:szCs w:val="21"/>
              </w:rPr>
              <w:t>民宿服务</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2</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37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single" w:color="auto" w:sz="4"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其他住宿业</w:t>
            </w:r>
          </w:p>
        </w:tc>
        <w:tc>
          <w:tcPr>
            <w:tcW w:w="2661" w:type="dxa"/>
            <w:tcBorders>
              <w:top w:val="nil"/>
              <w:left w:val="single" w:color="auto" w:sz="4" w:space="0"/>
              <w:bottom w:val="single" w:color="auto" w:sz="4" w:space="0"/>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2</w:t>
            </w:r>
          </w:p>
        </w:tc>
        <w:tc>
          <w:tcPr>
            <w:tcW w:w="1932" w:type="dxa"/>
            <w:tcBorders>
              <w:top w:val="nil"/>
              <w:left w:val="single" w:color="auto" w:sz="4" w:space="0"/>
              <w:bottom w:val="single" w:color="auto" w:sz="4" w:space="0"/>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single" w:color="auto" w:sz="4" w:space="0"/>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餐饮业</w:t>
            </w:r>
          </w:p>
        </w:tc>
        <w:tc>
          <w:tcPr>
            <w:tcW w:w="2661" w:type="dxa"/>
            <w:tcBorders>
              <w:top w:val="single" w:color="auto" w:sz="4" w:space="0"/>
              <w:left w:val="single" w:color="auto" w:sz="4" w:space="0"/>
              <w:bottom w:val="nil"/>
              <w:right w:val="single" w:color="auto" w:sz="4" w:space="0"/>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206</w:t>
            </w:r>
          </w:p>
        </w:tc>
        <w:tc>
          <w:tcPr>
            <w:tcW w:w="1932" w:type="dxa"/>
            <w:tcBorders>
              <w:top w:val="single" w:color="auto" w:sz="4" w:space="0"/>
              <w:left w:val="single" w:color="auto" w:sz="4" w:space="0"/>
              <w:bottom w:val="nil"/>
              <w:right w:val="nil"/>
            </w:tcBorders>
          </w:tcPr>
          <w:p>
            <w:pPr>
              <w:ind w:right="750" w:rightChars="357"/>
              <w:jc w:val="right"/>
              <w:rPr>
                <w:rFonts w:hint="default" w:ascii="Times New Roman" w:hAnsi="Times New Roman" w:cs="Times New Roman" w:eastAsiaTheme="minorEastAsia"/>
                <w:b/>
                <w:color w:val="auto"/>
                <w:szCs w:val="24"/>
                <w:lang w:val="en-US" w:eastAsia="zh-CN"/>
              </w:rPr>
            </w:pPr>
            <w:r>
              <w:rPr>
                <w:rFonts w:hint="eastAsia" w:ascii="Times New Roman" w:hAnsi="Times New Roman" w:cs="Times New Roman"/>
                <w:b/>
                <w:color w:val="auto"/>
                <w:szCs w:val="24"/>
                <w:lang w:val="en-US" w:eastAsia="zh-CN"/>
              </w:rPr>
              <w:t>2857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正餐服务</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174</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2581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快餐服务</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9</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饮料及冷饮服务</w:t>
            </w:r>
          </w:p>
        </w:tc>
        <w:tc>
          <w:tcPr>
            <w:tcW w:w="2661" w:type="dxa"/>
            <w:tcBorders>
              <w:top w:val="nil"/>
              <w:left w:val="single" w:color="auto" w:sz="4" w:space="0"/>
              <w:bottom w:val="nil"/>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11</w:t>
            </w:r>
          </w:p>
        </w:tc>
        <w:tc>
          <w:tcPr>
            <w:tcW w:w="1932" w:type="dxa"/>
            <w:tcBorders>
              <w:top w:val="nil"/>
              <w:left w:val="single" w:color="auto" w:sz="4" w:space="0"/>
              <w:bottom w:val="nil"/>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其他餐饮业</w:t>
            </w:r>
          </w:p>
        </w:tc>
        <w:tc>
          <w:tcPr>
            <w:tcW w:w="2661" w:type="dxa"/>
            <w:tcBorders>
              <w:top w:val="nil"/>
              <w:left w:val="single" w:color="auto" w:sz="4" w:space="0"/>
              <w:bottom w:val="single" w:color="auto" w:sz="12" w:space="0"/>
              <w:right w:val="single" w:color="auto" w:sz="4" w:space="0"/>
            </w:tcBorders>
            <w:vAlign w:val="center"/>
          </w:tcPr>
          <w:p>
            <w:pPr>
              <w:ind w:right="750" w:rightChars="357"/>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12</w:t>
            </w:r>
          </w:p>
        </w:tc>
        <w:tc>
          <w:tcPr>
            <w:tcW w:w="1932" w:type="dxa"/>
            <w:tcBorders>
              <w:top w:val="nil"/>
              <w:left w:val="single" w:color="auto" w:sz="4" w:space="0"/>
              <w:bottom w:val="single" w:color="auto" w:sz="12" w:space="0"/>
              <w:right w:val="nil"/>
            </w:tcBorders>
            <w:vAlign w:val="center"/>
          </w:tcPr>
          <w:p>
            <w:pPr>
              <w:ind w:right="750" w:rightChars="357"/>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101</w:t>
            </w:r>
          </w:p>
        </w:tc>
      </w:tr>
    </w:tbl>
    <w:p>
      <w:pPr>
        <w:spacing w:line="20" w:lineRule="exact"/>
        <w:ind w:firstLine="200" w:firstLineChars="200"/>
        <w:rPr>
          <w:rFonts w:ascii="Times New Roman" w:hAnsi="Times New Roman" w:eastAsia="仿宋_GB2312" w:cs="Times New Roman"/>
          <w:color w:val="FF0000"/>
          <w:kern w:val="0"/>
          <w:sz w:val="10"/>
          <w:szCs w:val="10"/>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color w:val="FF0000"/>
          <w:kern w:val="0"/>
          <w:sz w:val="32"/>
          <w:szCs w:val="32"/>
        </w:rPr>
      </w:pPr>
    </w:p>
    <w:tbl>
      <w:tblPr>
        <w:tblStyle w:val="5"/>
        <w:tblpPr w:leftFromText="180" w:rightFromText="180" w:vertAnchor="text" w:horzAnchor="page" w:tblpXSpec="center" w:tblpY="73"/>
        <w:tblOverlap w:val="never"/>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713"/>
        <w:gridCol w:w="2659"/>
        <w:gridCol w:w="193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w:t>
            </w:r>
            <w:r>
              <w:rPr>
                <w:rFonts w:hint="eastAsia" w:ascii="黑体" w:hAnsi="黑体" w:eastAsia="黑体" w:cs="Times New Roman"/>
                <w:bCs/>
                <w:color w:val="auto"/>
                <w:kern w:val="0"/>
                <w:sz w:val="24"/>
                <w:lang w:val="en-US" w:eastAsia="zh-CN"/>
              </w:rPr>
              <w:t>7</w:t>
            </w:r>
            <w:r>
              <w:rPr>
                <w:rFonts w:ascii="黑体" w:hAnsi="黑体" w:eastAsia="黑体" w:cs="Times New Roman"/>
                <w:bCs/>
                <w:color w:val="auto"/>
                <w:kern w:val="0"/>
                <w:sz w:val="24"/>
              </w:rPr>
              <w:t>　按登记注册类型分组的住宿和餐饮业企业法人单位和从业人员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713"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auto"/>
                <w:kern w:val="0"/>
                <w:sz w:val="20"/>
                <w:szCs w:val="20"/>
              </w:rPr>
            </w:pPr>
          </w:p>
        </w:tc>
        <w:tc>
          <w:tcPr>
            <w:tcW w:w="2659"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企业法人单位</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1934"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从业人员</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59"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748" w:rightChars="356"/>
              <w:jc w:val="right"/>
              <w:textAlignment w:val="center"/>
              <w:rPr>
                <w:rFonts w:ascii="Times New Roman" w:hAnsi="Times New Roman" w:cs="Times New Roman"/>
                <w:b/>
                <w:color w:val="auto"/>
                <w:szCs w:val="24"/>
              </w:rPr>
            </w:pPr>
            <w:r>
              <w:rPr>
                <w:rFonts w:hint="default" w:ascii="Times New Roman" w:hAnsi="Times New Roman" w:eastAsia="宋体" w:cs="Times New Roman"/>
                <w:b/>
                <w:i w:val="0"/>
                <w:color w:val="auto"/>
                <w:kern w:val="0"/>
                <w:sz w:val="21"/>
                <w:szCs w:val="21"/>
                <w:u w:val="none"/>
                <w:lang w:val="en-US" w:eastAsia="zh-CN" w:bidi="ar"/>
              </w:rPr>
              <w:t>260</w:t>
            </w:r>
          </w:p>
        </w:tc>
        <w:tc>
          <w:tcPr>
            <w:tcW w:w="1934" w:type="dxa"/>
            <w:tcBorders>
              <w:top w:val="single" w:color="auto" w:sz="4" w:space="0"/>
              <w:left w:val="single" w:color="auto" w:sz="4" w:space="0"/>
              <w:bottom w:val="nil"/>
              <w:right w:val="nil"/>
            </w:tcBorders>
            <w:vAlign w:val="center"/>
          </w:tcPr>
          <w:p>
            <w:pPr>
              <w:keepNext w:val="0"/>
              <w:keepLines w:val="0"/>
              <w:widowControl/>
              <w:suppressLineNumbers w:val="0"/>
              <w:ind w:right="748" w:rightChars="356"/>
              <w:jc w:val="right"/>
              <w:textAlignment w:val="center"/>
              <w:rPr>
                <w:rFonts w:ascii="Times New Roman" w:hAnsi="Times New Roman" w:cs="Times New Roman"/>
                <w:b/>
                <w:color w:val="auto"/>
                <w:szCs w:val="24"/>
              </w:rPr>
            </w:pPr>
            <w:r>
              <w:rPr>
                <w:rFonts w:hint="default" w:ascii="Times New Roman" w:hAnsi="Times New Roman" w:eastAsia="宋体" w:cs="Times New Roman"/>
                <w:b/>
                <w:i w:val="0"/>
                <w:color w:val="auto"/>
                <w:kern w:val="0"/>
                <w:sz w:val="21"/>
                <w:szCs w:val="21"/>
                <w:u w:val="none"/>
                <w:lang w:val="en-US" w:eastAsia="zh-CN" w:bidi="ar"/>
              </w:rPr>
              <w:t>3776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659" w:type="dxa"/>
            <w:tcBorders>
              <w:top w:val="nil"/>
              <w:left w:val="single" w:color="auto" w:sz="4" w:space="0"/>
              <w:bottom w:val="nil"/>
              <w:right w:val="single" w:color="auto" w:sz="4" w:space="0"/>
            </w:tcBorders>
            <w:vAlign w:val="center"/>
          </w:tcPr>
          <w:p>
            <w:pPr>
              <w:keepNext w:val="0"/>
              <w:keepLines w:val="0"/>
              <w:widowControl/>
              <w:suppressLineNumbers w:val="0"/>
              <w:ind w:right="748" w:rightChars="356"/>
              <w:jc w:val="right"/>
              <w:textAlignment w:val="center"/>
              <w:rPr>
                <w:rFonts w:ascii="Times New Roman" w:hAnsi="Times New Roman" w:cs="Times New Roman"/>
                <w:b/>
                <w:color w:val="auto"/>
                <w:szCs w:val="24"/>
              </w:rPr>
            </w:pPr>
            <w:r>
              <w:rPr>
                <w:rFonts w:hint="default" w:ascii="Times New Roman" w:hAnsi="Times New Roman" w:eastAsia="宋体" w:cs="Times New Roman"/>
                <w:b/>
                <w:i w:val="0"/>
                <w:color w:val="auto"/>
                <w:kern w:val="0"/>
                <w:sz w:val="21"/>
                <w:szCs w:val="21"/>
                <w:u w:val="none"/>
                <w:lang w:val="en-US" w:eastAsia="zh-CN" w:bidi="ar"/>
              </w:rPr>
              <w:t>260</w:t>
            </w:r>
          </w:p>
        </w:tc>
        <w:tc>
          <w:tcPr>
            <w:tcW w:w="1934" w:type="dxa"/>
            <w:tcBorders>
              <w:top w:val="nil"/>
              <w:left w:val="single" w:color="auto" w:sz="4" w:space="0"/>
              <w:bottom w:val="nil"/>
              <w:right w:val="nil"/>
            </w:tcBorders>
            <w:vAlign w:val="center"/>
          </w:tcPr>
          <w:p>
            <w:pPr>
              <w:keepNext w:val="0"/>
              <w:keepLines w:val="0"/>
              <w:widowControl/>
              <w:suppressLineNumbers w:val="0"/>
              <w:ind w:right="748" w:rightChars="356"/>
              <w:jc w:val="right"/>
              <w:textAlignment w:val="center"/>
              <w:rPr>
                <w:rFonts w:ascii="Times New Roman" w:hAnsi="Times New Roman" w:cs="Times New Roman"/>
                <w:b/>
                <w:color w:val="auto"/>
                <w:szCs w:val="24"/>
              </w:rPr>
            </w:pPr>
            <w:r>
              <w:rPr>
                <w:rFonts w:hint="default" w:ascii="Times New Roman" w:hAnsi="Times New Roman" w:eastAsia="宋体" w:cs="Times New Roman"/>
                <w:b/>
                <w:i w:val="0"/>
                <w:color w:val="auto"/>
                <w:kern w:val="0"/>
                <w:sz w:val="21"/>
                <w:szCs w:val="21"/>
                <w:u w:val="none"/>
                <w:lang w:val="en-US" w:eastAsia="zh-CN" w:bidi="ar"/>
              </w:rPr>
              <w:t>3776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659" w:type="dxa"/>
            <w:tcBorders>
              <w:top w:val="nil"/>
              <w:left w:val="single" w:color="auto" w:sz="4" w:space="0"/>
              <w:bottom w:val="nil"/>
              <w:right w:val="single" w:color="auto" w:sz="4" w:space="0"/>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w:t>
            </w:r>
          </w:p>
        </w:tc>
        <w:tc>
          <w:tcPr>
            <w:tcW w:w="1934" w:type="dxa"/>
            <w:tcBorders>
              <w:top w:val="nil"/>
              <w:left w:val="single" w:color="auto" w:sz="4" w:space="0"/>
              <w:bottom w:val="nil"/>
              <w:right w:val="nil"/>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240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659" w:type="dxa"/>
            <w:tcBorders>
              <w:top w:val="nil"/>
              <w:left w:val="single" w:color="auto" w:sz="4" w:space="0"/>
              <w:bottom w:val="nil"/>
              <w:right w:val="single" w:color="auto" w:sz="4" w:space="0"/>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1</w:t>
            </w:r>
          </w:p>
        </w:tc>
        <w:tc>
          <w:tcPr>
            <w:tcW w:w="1934" w:type="dxa"/>
            <w:tcBorders>
              <w:top w:val="nil"/>
              <w:left w:val="single" w:color="auto" w:sz="4" w:space="0"/>
              <w:bottom w:val="nil"/>
              <w:right w:val="nil"/>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659" w:type="dxa"/>
            <w:tcBorders>
              <w:top w:val="nil"/>
              <w:left w:val="single" w:color="auto" w:sz="4" w:space="0"/>
              <w:bottom w:val="single" w:color="auto" w:sz="12" w:space="0"/>
              <w:right w:val="single" w:color="auto" w:sz="4" w:space="0"/>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258</w:t>
            </w:r>
          </w:p>
        </w:tc>
        <w:tc>
          <w:tcPr>
            <w:tcW w:w="1934" w:type="dxa"/>
            <w:tcBorders>
              <w:top w:val="nil"/>
              <w:left w:val="single" w:color="auto" w:sz="4" w:space="0"/>
              <w:bottom w:val="single" w:color="auto" w:sz="12" w:space="0"/>
              <w:right w:val="nil"/>
            </w:tcBorders>
            <w:vAlign w:val="center"/>
          </w:tcPr>
          <w:p>
            <w:pPr>
              <w:ind w:right="748" w:rightChars="356"/>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3532</w:t>
            </w:r>
          </w:p>
        </w:tc>
      </w:tr>
    </w:tbl>
    <w:p>
      <w:pPr>
        <w:widowControl/>
        <w:spacing w:line="62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widowControl/>
        <w:spacing w:line="620" w:lineRule="exact"/>
        <w:ind w:firstLine="640" w:firstLineChars="200"/>
        <w:jc w:val="left"/>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2018年末，住宿和餐饮业企业法人单位资产总计为</w:t>
      </w:r>
      <w:r>
        <w:rPr>
          <w:rFonts w:hint="eastAsia" w:ascii="Times New Roman" w:hAnsi="Times New Roman" w:eastAsia="仿宋_GB2312" w:cs="Times New Roman"/>
          <w:color w:val="auto"/>
          <w:sz w:val="32"/>
          <w:szCs w:val="32"/>
          <w:lang w:val="en-US" w:eastAsia="zh-CN"/>
        </w:rPr>
        <w:t>6.28</w:t>
      </w:r>
      <w:r>
        <w:rPr>
          <w:rFonts w:ascii="Times New Roman" w:hAnsi="Times New Roman" w:eastAsia="仿宋_GB2312" w:cs="Times New Roman"/>
          <w:color w:val="auto"/>
          <w:kern w:val="0"/>
          <w:sz w:val="32"/>
          <w:szCs w:val="32"/>
        </w:rPr>
        <w:t>亿元，比2013年末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16.4</w:t>
      </w:r>
      <w:r>
        <w:rPr>
          <w:rFonts w:ascii="Times New Roman" w:hAnsi="Times New Roman" w:eastAsia="仿宋_GB2312" w:cs="Times New Roman"/>
          <w:color w:val="auto"/>
          <w:kern w:val="0"/>
          <w:sz w:val="32"/>
          <w:szCs w:val="32"/>
        </w:rPr>
        <w:t>%。其中，住宿业企业法人单位资产总计</w:t>
      </w:r>
      <w:r>
        <w:rPr>
          <w:rFonts w:hint="eastAsia" w:ascii="Times New Roman" w:hAnsi="Times New Roman" w:eastAsia="仿宋_GB2312" w:cs="Times New Roman"/>
          <w:color w:val="auto"/>
          <w:sz w:val="32"/>
          <w:szCs w:val="32"/>
          <w:lang w:val="en-US" w:eastAsia="zh-CN"/>
        </w:rPr>
        <w:t>3.56</w:t>
      </w:r>
      <w:r>
        <w:rPr>
          <w:rFonts w:ascii="Times New Roman" w:hAnsi="Times New Roman" w:eastAsia="仿宋_GB2312" w:cs="Times New Roman"/>
          <w:color w:val="auto"/>
          <w:kern w:val="0"/>
          <w:sz w:val="32"/>
          <w:szCs w:val="32"/>
        </w:rPr>
        <w:t>亿元，餐饮业企业法人单位资产总计</w:t>
      </w:r>
      <w:r>
        <w:rPr>
          <w:rFonts w:hint="eastAsia" w:ascii="Times New Roman" w:hAnsi="Times New Roman" w:eastAsia="仿宋_GB2312" w:cs="Times New Roman"/>
          <w:color w:val="auto"/>
          <w:sz w:val="32"/>
          <w:szCs w:val="32"/>
          <w:lang w:val="en-US" w:eastAsia="zh-CN"/>
        </w:rPr>
        <w:t>2.72</w:t>
      </w:r>
      <w:r>
        <w:rPr>
          <w:rFonts w:ascii="Times New Roman" w:hAnsi="Times New Roman" w:eastAsia="仿宋_GB2312" w:cs="Times New Roman"/>
          <w:color w:val="auto"/>
          <w:kern w:val="0"/>
          <w:sz w:val="32"/>
          <w:szCs w:val="32"/>
        </w:rPr>
        <w:t>亿元，分别比2013年末</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sz w:val="32"/>
          <w:szCs w:val="32"/>
          <w:lang w:val="en-US" w:eastAsia="zh-CN"/>
        </w:rPr>
        <w:t>25.0</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1.7</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3.37</w:t>
      </w:r>
      <w:r>
        <w:rPr>
          <w:rFonts w:ascii="Times New Roman" w:hAnsi="Times New Roman" w:eastAsia="仿宋_GB2312" w:cs="Times New Roman"/>
          <w:color w:val="auto"/>
          <w:kern w:val="0"/>
          <w:sz w:val="32"/>
          <w:szCs w:val="32"/>
        </w:rPr>
        <w:t>亿元。全年实现年营业收</w:t>
      </w:r>
      <w:r>
        <w:rPr>
          <w:rFonts w:hint="eastAsia" w:ascii="Times New Roman" w:hAnsi="Times New Roman" w:eastAsia="仿宋_GB2312" w:cs="Times New Roman"/>
          <w:color w:val="auto"/>
          <w:kern w:val="0"/>
          <w:sz w:val="32"/>
          <w:szCs w:val="32"/>
          <w:lang w:val="en-US" w:eastAsia="zh-CN"/>
        </w:rPr>
        <w:t>8.86</w:t>
      </w:r>
      <w:r>
        <w:rPr>
          <w:rFonts w:ascii="Times New Roman" w:hAnsi="Times New Roman" w:eastAsia="仿宋_GB2312" w:cs="Times New Roman"/>
          <w:color w:val="auto"/>
          <w:kern w:val="0"/>
          <w:sz w:val="32"/>
          <w:szCs w:val="32"/>
        </w:rPr>
        <w:t>亿元（详见表4-</w:t>
      </w:r>
      <w:r>
        <w:rPr>
          <w:rFonts w:hint="eastAsia" w:ascii="Times New Roman" w:hAnsi="Times New Roman" w:eastAsia="仿宋_GB2312" w:cs="Times New Roman"/>
          <w:color w:val="auto"/>
          <w:kern w:val="0"/>
          <w:sz w:val="32"/>
          <w:szCs w:val="32"/>
          <w:lang w:val="en-US" w:eastAsia="zh-CN"/>
        </w:rPr>
        <w:t>8</w:t>
      </w:r>
      <w:r>
        <w:rPr>
          <w:rFonts w:ascii="Times New Roman" w:hAnsi="Times New Roman" w:eastAsia="仿宋_GB2312" w:cs="Times New Roman"/>
          <w:color w:val="auto"/>
          <w:kern w:val="0"/>
          <w:sz w:val="32"/>
          <w:szCs w:val="32"/>
        </w:rPr>
        <w:t>）。</w:t>
      </w:r>
    </w:p>
    <w:p>
      <w:pPr>
        <w:widowControl/>
        <w:spacing w:line="620" w:lineRule="exact"/>
        <w:ind w:firstLine="640" w:firstLineChars="200"/>
        <w:jc w:val="left"/>
        <w:rPr>
          <w:rFonts w:ascii="Times New Roman" w:hAnsi="Times New Roman" w:eastAsia="仿宋_GB2312" w:cs="Times New Roman"/>
          <w:color w:val="auto"/>
          <w:kern w:val="0"/>
          <w:sz w:val="32"/>
          <w:szCs w:val="32"/>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686"/>
        <w:gridCol w:w="1540"/>
        <w:gridCol w:w="1540"/>
        <w:gridCol w:w="1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szCs w:val="24"/>
              </w:rPr>
            </w:pPr>
            <w:r>
              <w:rPr>
                <w:rFonts w:ascii="黑体" w:hAnsi="黑体" w:eastAsia="黑体" w:cs="Times New Roman"/>
                <w:bCs/>
                <w:color w:val="auto"/>
                <w:kern w:val="0"/>
                <w:sz w:val="24"/>
              </w:rPr>
              <w:t>表4-</w:t>
            </w:r>
            <w:r>
              <w:rPr>
                <w:rFonts w:hint="eastAsia" w:ascii="黑体" w:hAnsi="黑体" w:eastAsia="黑体" w:cs="Times New Roman"/>
                <w:bCs/>
                <w:color w:val="auto"/>
                <w:kern w:val="0"/>
                <w:sz w:val="24"/>
                <w:lang w:val="en-US" w:eastAsia="zh-CN"/>
              </w:rPr>
              <w:t>8</w:t>
            </w:r>
            <w:r>
              <w:rPr>
                <w:rFonts w:ascii="黑体" w:hAnsi="黑体" w:eastAsia="黑体" w:cs="Times New Roman"/>
                <w:bCs/>
                <w:color w:val="auto"/>
                <w:kern w:val="0"/>
                <w:sz w:val="24"/>
              </w:rPr>
              <w:t>　按行业中类分组的住宿和餐饮业企业法人单位主要经济指标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686"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269" w:rightChars="128"/>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6.28</w:t>
            </w:r>
          </w:p>
        </w:tc>
        <w:tc>
          <w:tcPr>
            <w:tcW w:w="1540"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269" w:rightChars="128"/>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3.37</w:t>
            </w:r>
          </w:p>
        </w:tc>
        <w:tc>
          <w:tcPr>
            <w:tcW w:w="1540" w:type="dxa"/>
            <w:tcBorders>
              <w:top w:val="single" w:color="auto" w:sz="4" w:space="0"/>
              <w:left w:val="single" w:color="auto" w:sz="4" w:space="0"/>
              <w:bottom w:val="nil"/>
              <w:right w:val="nil"/>
            </w:tcBorders>
            <w:vAlign w:val="center"/>
          </w:tcPr>
          <w:p>
            <w:pPr>
              <w:keepNext w:val="0"/>
              <w:keepLines w:val="0"/>
              <w:widowControl/>
              <w:suppressLineNumbers w:val="0"/>
              <w:ind w:right="269" w:rightChars="128"/>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8.86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b/>
                <w:color w:val="auto"/>
                <w:szCs w:val="24"/>
              </w:rPr>
            </w:pPr>
            <w:r>
              <w:rPr>
                <w:rFonts w:ascii="Times New Roman" w:hAnsi="Times New Roman" w:cs="Times New Roman"/>
                <w:b/>
                <w:color w:val="auto"/>
                <w:kern w:val="0"/>
                <w:szCs w:val="21"/>
              </w:rPr>
              <w:t>住宿业</w:t>
            </w:r>
          </w:p>
        </w:tc>
        <w:tc>
          <w:tcPr>
            <w:tcW w:w="1540" w:type="dxa"/>
            <w:tcBorders>
              <w:top w:val="nil"/>
              <w:left w:val="single" w:color="auto" w:sz="4" w:space="0"/>
              <w:bottom w:val="nil"/>
              <w:right w:val="single" w:color="auto" w:sz="4" w:space="0"/>
            </w:tcBorders>
            <w:vAlign w:val="center"/>
          </w:tcPr>
          <w:p>
            <w:pPr>
              <w:ind w:right="269" w:rightChars="128"/>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3.56</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2.75</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22"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旅游饭店</w:t>
            </w:r>
          </w:p>
        </w:tc>
        <w:tc>
          <w:tcPr>
            <w:tcW w:w="1540" w:type="dxa"/>
            <w:tcBorders>
              <w:top w:val="nil"/>
              <w:left w:val="single" w:color="auto" w:sz="4" w:space="0"/>
              <w:bottom w:val="nil"/>
              <w:right w:val="single" w:color="auto" w:sz="4" w:space="0"/>
            </w:tcBorders>
            <w:vAlign w:val="center"/>
          </w:tcPr>
          <w:p>
            <w:pPr>
              <w:ind w:right="269" w:rightChars="128"/>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3.21</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2.59</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一般旅馆</w:t>
            </w:r>
          </w:p>
        </w:tc>
        <w:tc>
          <w:tcPr>
            <w:tcW w:w="1540" w:type="dxa"/>
            <w:tcBorders>
              <w:top w:val="nil"/>
              <w:left w:val="single" w:color="auto" w:sz="4" w:space="0"/>
              <w:bottom w:val="nil"/>
              <w:right w:val="single" w:color="auto" w:sz="4" w:space="0"/>
            </w:tcBorders>
            <w:vAlign w:val="center"/>
          </w:tcPr>
          <w:p>
            <w:pPr>
              <w:ind w:right="269" w:rightChars="128"/>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0.24</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0.10</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0.65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ind w:firstLine="420" w:firstLineChars="200"/>
              <w:rPr>
                <w:rFonts w:ascii="Times New Roman" w:hAnsi="Times New Roman" w:cs="Times New Roman"/>
                <w:color w:val="auto"/>
                <w:szCs w:val="24"/>
              </w:rPr>
            </w:pPr>
            <w:r>
              <w:rPr>
                <w:rFonts w:ascii="Times New Roman" w:hAnsi="Times New Roman" w:cs="Times New Roman"/>
                <w:color w:val="auto"/>
                <w:kern w:val="0"/>
                <w:szCs w:val="21"/>
              </w:rPr>
              <w:t>民宿服务</w:t>
            </w:r>
          </w:p>
        </w:tc>
        <w:tc>
          <w:tcPr>
            <w:tcW w:w="1540" w:type="dxa"/>
            <w:tcBorders>
              <w:top w:val="nil"/>
              <w:left w:val="single" w:color="auto" w:sz="4" w:space="0"/>
              <w:bottom w:val="nil"/>
              <w:right w:val="single" w:color="auto" w:sz="4" w:space="0"/>
            </w:tcBorders>
            <w:vAlign w:val="center"/>
          </w:tcPr>
          <w:p>
            <w:pPr>
              <w:ind w:right="269" w:rightChars="128"/>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0.10</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0.06</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其他住宿业</w:t>
            </w:r>
          </w:p>
        </w:tc>
        <w:tc>
          <w:tcPr>
            <w:tcW w:w="1540" w:type="dxa"/>
            <w:tcBorders>
              <w:top w:val="nil"/>
              <w:left w:val="single" w:color="auto" w:sz="4" w:space="0"/>
              <w:bottom w:val="nil"/>
              <w:right w:val="single" w:color="auto" w:sz="4" w:space="0"/>
            </w:tcBorders>
            <w:vAlign w:val="center"/>
          </w:tcPr>
          <w:p>
            <w:pPr>
              <w:ind w:right="269" w:rightChars="128"/>
              <w:jc w:val="right"/>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val="en-US" w:eastAsia="zh-CN"/>
              </w:rPr>
              <w:t>0.00</w:t>
            </w:r>
          </w:p>
        </w:tc>
        <w:tc>
          <w:tcPr>
            <w:tcW w:w="1540" w:type="dxa"/>
            <w:tcBorders>
              <w:top w:val="nil"/>
              <w:left w:val="single" w:color="auto" w:sz="4" w:space="0"/>
              <w:bottom w:val="nil"/>
              <w:right w:val="single" w:color="auto" w:sz="4" w:space="0"/>
            </w:tcBorders>
            <w:vAlign w:val="center"/>
          </w:tcPr>
          <w:p>
            <w:pPr>
              <w:keepNext w:val="0"/>
              <w:keepLines w:val="0"/>
              <w:widowControl/>
              <w:suppressLineNumbers w:val="0"/>
              <w:ind w:right="269" w:rightChars="128"/>
              <w:jc w:val="right"/>
              <w:textAlignment w:val="center"/>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val="en-US" w:eastAsia="zh-CN"/>
              </w:rPr>
              <w:t>0.00</w:t>
            </w:r>
          </w:p>
        </w:tc>
        <w:tc>
          <w:tcPr>
            <w:tcW w:w="1540" w:type="dxa"/>
            <w:tcBorders>
              <w:top w:val="nil"/>
              <w:left w:val="single" w:color="auto" w:sz="4" w:space="0"/>
              <w:bottom w:val="nil"/>
              <w:right w:val="nil"/>
            </w:tcBorders>
            <w:vAlign w:val="center"/>
          </w:tcPr>
          <w:p>
            <w:pPr>
              <w:keepNext w:val="0"/>
              <w:keepLines w:val="0"/>
              <w:widowControl/>
              <w:suppressLineNumbers w:val="0"/>
              <w:ind w:right="269" w:rightChars="128"/>
              <w:jc w:val="right"/>
              <w:textAlignment w:val="center"/>
              <w:rPr>
                <w:rFonts w:ascii="Times New Roman" w:hAnsi="Times New Roman" w:cs="Times New Roman"/>
                <w:color w:val="auto"/>
                <w:szCs w:val="24"/>
                <w:highlight w:val="none"/>
              </w:rPr>
            </w:pPr>
            <w:r>
              <w:rPr>
                <w:rFonts w:hint="eastAsia" w:ascii="Times New Roman" w:hAnsi="Times New Roman" w:cs="Times New Roman"/>
                <w:color w:val="auto"/>
                <w:szCs w:val="24"/>
                <w:highlight w:val="none"/>
                <w:lang w:val="en-US" w:eastAsia="zh-CN"/>
              </w:rPr>
              <w:t>0.00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b/>
                <w:color w:val="auto"/>
                <w:szCs w:val="24"/>
              </w:rPr>
            </w:pPr>
            <w:r>
              <w:rPr>
                <w:rFonts w:ascii="Times New Roman" w:hAnsi="Times New Roman" w:cs="Times New Roman"/>
                <w:b/>
                <w:color w:val="auto"/>
                <w:kern w:val="0"/>
                <w:szCs w:val="21"/>
              </w:rPr>
              <w:t>餐饮业</w:t>
            </w:r>
          </w:p>
        </w:tc>
        <w:tc>
          <w:tcPr>
            <w:tcW w:w="1540" w:type="dxa"/>
            <w:tcBorders>
              <w:top w:val="nil"/>
              <w:left w:val="single" w:color="auto" w:sz="4" w:space="0"/>
              <w:bottom w:val="nil"/>
              <w:right w:val="single" w:color="auto" w:sz="4" w:space="0"/>
            </w:tcBorders>
            <w:vAlign w:val="center"/>
          </w:tcPr>
          <w:p>
            <w:pPr>
              <w:keepNext w:val="0"/>
              <w:keepLines w:val="0"/>
              <w:widowControl/>
              <w:suppressLineNumbers w:val="0"/>
              <w:ind w:right="269" w:rightChars="128"/>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2.72</w:t>
            </w:r>
          </w:p>
        </w:tc>
        <w:tc>
          <w:tcPr>
            <w:tcW w:w="1540" w:type="dxa"/>
            <w:tcBorders>
              <w:top w:val="nil"/>
              <w:left w:val="single" w:color="auto" w:sz="4" w:space="0"/>
              <w:bottom w:val="nil"/>
              <w:right w:val="single" w:color="auto" w:sz="4" w:space="0"/>
            </w:tcBorders>
            <w:vAlign w:val="center"/>
          </w:tcPr>
          <w:p>
            <w:pPr>
              <w:keepNext w:val="0"/>
              <w:keepLines w:val="0"/>
              <w:widowControl/>
              <w:suppressLineNumbers w:val="0"/>
              <w:ind w:right="269" w:rightChars="128"/>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0.62</w:t>
            </w:r>
          </w:p>
        </w:tc>
        <w:tc>
          <w:tcPr>
            <w:tcW w:w="1540" w:type="dxa"/>
            <w:tcBorders>
              <w:top w:val="nil"/>
              <w:left w:val="single" w:color="auto" w:sz="4" w:space="0"/>
              <w:bottom w:val="nil"/>
              <w:right w:val="nil"/>
            </w:tcBorders>
            <w:vAlign w:val="center"/>
          </w:tcPr>
          <w:p>
            <w:pPr>
              <w:keepNext w:val="0"/>
              <w:keepLines w:val="0"/>
              <w:widowControl/>
              <w:suppressLineNumbers w:val="0"/>
              <w:ind w:right="269" w:rightChars="128"/>
              <w:jc w:val="right"/>
              <w:textAlignment w:val="center"/>
              <w:rPr>
                <w:rFonts w:hint="eastAsia" w:ascii="Times New Roman" w:hAnsi="Times New Roman" w:cs="Times New Roman"/>
                <w:b/>
                <w:color w:val="auto"/>
                <w:szCs w:val="24"/>
                <w:lang w:val="en-US" w:eastAsia="zh-CN"/>
              </w:rPr>
            </w:pPr>
            <w:r>
              <w:rPr>
                <w:rFonts w:hint="eastAsia" w:ascii="Times New Roman" w:hAnsi="Times New Roman" w:cs="Times New Roman"/>
                <w:b/>
                <w:color w:val="auto"/>
                <w:szCs w:val="24"/>
                <w:lang w:val="en-US" w:eastAsia="zh-CN"/>
              </w:rPr>
              <w:t>6.76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正餐服务</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2.48</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0.56</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6.21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快餐服务</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0.09</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0.02</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饮料及冷饮服务</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0.04</w:t>
            </w:r>
          </w:p>
        </w:tc>
        <w:tc>
          <w:tcPr>
            <w:tcW w:w="1540" w:type="dxa"/>
            <w:tcBorders>
              <w:top w:val="nil"/>
              <w:left w:val="single" w:color="auto" w:sz="4" w:space="0"/>
              <w:bottom w:val="nil"/>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0.02</w:t>
            </w:r>
          </w:p>
        </w:tc>
        <w:tc>
          <w:tcPr>
            <w:tcW w:w="1540" w:type="dxa"/>
            <w:tcBorders>
              <w:top w:val="nil"/>
              <w:left w:val="single" w:color="auto" w:sz="4" w:space="0"/>
              <w:bottom w:val="nil"/>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single" w:color="auto" w:sz="12" w:space="0"/>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w:t>
            </w:r>
            <w:r>
              <w:rPr>
                <w:rFonts w:ascii="Times New Roman" w:hAnsi="Times New Roman" w:cs="Times New Roman"/>
                <w:color w:val="auto"/>
                <w:kern w:val="0"/>
                <w:szCs w:val="21"/>
              </w:rPr>
              <w:t>其他餐饮业</w:t>
            </w:r>
          </w:p>
        </w:tc>
        <w:tc>
          <w:tcPr>
            <w:tcW w:w="1540" w:type="dxa"/>
            <w:tcBorders>
              <w:top w:val="nil"/>
              <w:left w:val="single" w:color="auto" w:sz="4" w:space="0"/>
              <w:bottom w:val="single" w:color="auto" w:sz="12" w:space="0"/>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0.11</w:t>
            </w:r>
          </w:p>
        </w:tc>
        <w:tc>
          <w:tcPr>
            <w:tcW w:w="1540" w:type="dxa"/>
            <w:tcBorders>
              <w:top w:val="nil"/>
              <w:left w:val="single" w:color="auto" w:sz="4" w:space="0"/>
              <w:bottom w:val="single" w:color="auto" w:sz="12" w:space="0"/>
              <w:right w:val="single" w:color="auto" w:sz="4" w:space="0"/>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0.03</w:t>
            </w:r>
          </w:p>
        </w:tc>
        <w:tc>
          <w:tcPr>
            <w:tcW w:w="1540" w:type="dxa"/>
            <w:tcBorders>
              <w:top w:val="nil"/>
              <w:left w:val="single" w:color="auto" w:sz="4" w:space="0"/>
              <w:bottom w:val="single" w:color="auto" w:sz="12" w:space="0"/>
              <w:right w:val="nil"/>
            </w:tcBorders>
            <w:vAlign w:val="center"/>
          </w:tcPr>
          <w:p>
            <w:pPr>
              <w:ind w:right="269" w:rightChars="128"/>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0.24</w:t>
            </w:r>
          </w:p>
        </w:tc>
      </w:tr>
    </w:tbl>
    <w:p>
      <w:pPr>
        <w:spacing w:line="620" w:lineRule="exact"/>
        <w:ind w:firstLine="640" w:firstLineChars="200"/>
        <w:rPr>
          <w:rFonts w:ascii="Times New Roman" w:hAnsi="Times New Roman" w:eastAsia="黑体" w:cs="Times New Roman"/>
          <w:sz w:val="32"/>
          <w:szCs w:val="32"/>
        </w:rPr>
      </w:pPr>
    </w:p>
    <w:p>
      <w:pPr>
        <w:spacing w:line="62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四、信息传输、软件和信息技术服务业</w:t>
      </w:r>
    </w:p>
    <w:p>
      <w:pPr>
        <w:widowControl/>
        <w:spacing w:line="62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p>
    <w:p>
      <w:pPr>
        <w:widowControl/>
        <w:spacing w:line="62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共有信息传输、软件和信息技术服务业企业法人单位</w:t>
      </w:r>
      <w:r>
        <w:rPr>
          <w:rFonts w:hint="eastAsia" w:ascii="Times New Roman" w:hAnsi="Times New Roman" w:eastAsia="仿宋_GB2312" w:cs="Times New Roman"/>
          <w:color w:val="auto"/>
          <w:kern w:val="0"/>
          <w:sz w:val="32"/>
          <w:szCs w:val="32"/>
          <w:highlight w:val="none"/>
          <w:lang w:val="en-US" w:eastAsia="zh-CN"/>
        </w:rPr>
        <w:t>697</w:t>
      </w:r>
      <w:r>
        <w:rPr>
          <w:rFonts w:ascii="Times New Roman" w:hAnsi="Times New Roman" w:eastAsia="仿宋_GB2312" w:cs="Times New Roman"/>
          <w:color w:val="auto"/>
          <w:kern w:val="0"/>
          <w:sz w:val="32"/>
          <w:szCs w:val="32"/>
          <w:highlight w:val="none"/>
        </w:rPr>
        <w:t>个，从业人员</w:t>
      </w:r>
      <w:r>
        <w:rPr>
          <w:rFonts w:hint="eastAsia" w:ascii="Times New Roman" w:hAnsi="Times New Roman" w:eastAsia="仿宋_GB2312" w:cs="Times New Roman"/>
          <w:color w:val="auto"/>
          <w:sz w:val="32"/>
          <w:szCs w:val="32"/>
          <w:highlight w:val="none"/>
        </w:rPr>
        <w:t>7348</w:t>
      </w:r>
      <w:r>
        <w:rPr>
          <w:rFonts w:ascii="Times New Roman" w:hAnsi="Times New Roman" w:eastAsia="仿宋_GB2312" w:cs="Times New Roman"/>
          <w:color w:val="auto"/>
          <w:kern w:val="0"/>
          <w:sz w:val="32"/>
          <w:szCs w:val="32"/>
          <w:highlight w:val="none"/>
        </w:rPr>
        <w:t>人</w:t>
      </w:r>
      <w:r>
        <w:rPr>
          <w:rFonts w:hint="eastAsia" w:ascii="Times New Roman" w:hAnsi="Times New Roman" w:eastAsia="仿宋_GB2312" w:cs="Times New Roman"/>
          <w:color w:val="auto"/>
          <w:kern w:val="0"/>
          <w:sz w:val="32"/>
          <w:szCs w:val="32"/>
          <w:highlight w:val="none"/>
          <w:lang w:eastAsia="zh-CN"/>
        </w:rPr>
        <w:t>（未含三</w:t>
      </w:r>
      <w:r>
        <w:rPr>
          <w:rFonts w:hint="eastAsia" w:ascii="Times New Roman" w:hAnsi="Times New Roman" w:eastAsia="仿宋_GB2312" w:cs="Times New Roman"/>
          <w:color w:val="auto"/>
          <w:kern w:val="0"/>
          <w:sz w:val="32"/>
          <w:szCs w:val="32"/>
          <w:highlight w:val="none"/>
          <w:lang w:val="en-US" w:eastAsia="zh-CN"/>
        </w:rPr>
        <w:t>大电信运营商数据</w:t>
      </w:r>
      <w:r>
        <w:rPr>
          <w:rFonts w:hint="eastAsia" w:ascii="Times New Roman" w:hAnsi="Times New Roman" w:eastAsia="仿宋_GB2312" w:cs="Times New Roman"/>
          <w:color w:val="auto"/>
          <w:kern w:val="0"/>
          <w:sz w:val="32"/>
          <w:szCs w:val="32"/>
          <w:highlight w:val="none"/>
          <w:lang w:eastAsia="zh-CN"/>
        </w:rPr>
        <w:t>）</w:t>
      </w:r>
      <w:r>
        <w:rPr>
          <w:rFonts w:ascii="Times New Roman" w:hAnsi="Times New Roman" w:eastAsia="仿宋_GB2312" w:cs="Times New Roman"/>
          <w:color w:val="auto"/>
          <w:kern w:val="0"/>
          <w:sz w:val="32"/>
          <w:szCs w:val="32"/>
          <w:highlight w:val="none"/>
        </w:rPr>
        <w:t>，分别比2013年末增长</w:t>
      </w:r>
      <w:r>
        <w:rPr>
          <w:rFonts w:hint="eastAsia" w:ascii="Times New Roman" w:hAnsi="Times New Roman" w:eastAsia="仿宋_GB2312" w:cs="Times New Roman"/>
          <w:color w:val="auto"/>
          <w:kern w:val="0"/>
          <w:sz w:val="32"/>
          <w:szCs w:val="32"/>
          <w:highlight w:val="none"/>
          <w:lang w:val="en-US" w:eastAsia="zh-CN"/>
        </w:rPr>
        <w:t>12.2倍</w:t>
      </w:r>
      <w:r>
        <w:rPr>
          <w:rFonts w:ascii="Times New Roman" w:hAnsi="Times New Roman" w:eastAsia="仿宋_GB2312" w:cs="Times New Roman"/>
          <w:color w:val="auto"/>
          <w:kern w:val="0"/>
          <w:sz w:val="32"/>
          <w:szCs w:val="32"/>
          <w:highlight w:val="none"/>
        </w:rPr>
        <w:t>和</w:t>
      </w:r>
      <w:r>
        <w:rPr>
          <w:rFonts w:hint="eastAsia" w:ascii="Times New Roman" w:hAnsi="Times New Roman" w:eastAsia="仿宋_GB2312" w:cs="Times New Roman"/>
          <w:color w:val="auto"/>
          <w:kern w:val="0"/>
          <w:sz w:val="32"/>
          <w:szCs w:val="32"/>
          <w:highlight w:val="none"/>
          <w:lang w:val="en-US" w:eastAsia="zh-CN"/>
        </w:rPr>
        <w:t>11.9倍</w:t>
      </w:r>
      <w:r>
        <w:rPr>
          <w:rFonts w:ascii="Times New Roman" w:hAnsi="Times New Roman" w:eastAsia="仿宋_GB2312" w:cs="Times New Roman"/>
          <w:color w:val="auto"/>
          <w:kern w:val="0"/>
          <w:sz w:val="32"/>
          <w:szCs w:val="32"/>
          <w:highlight w:val="none"/>
        </w:rPr>
        <w:t>（</w:t>
      </w:r>
      <w:r>
        <w:rPr>
          <w:rFonts w:ascii="Times New Roman" w:hAnsi="Times New Roman" w:eastAsia="仿宋_GB2312" w:cs="Times New Roman"/>
          <w:color w:val="auto"/>
          <w:kern w:val="0"/>
          <w:sz w:val="32"/>
          <w:szCs w:val="32"/>
        </w:rPr>
        <w:t>详见表4-</w:t>
      </w:r>
      <w:r>
        <w:rPr>
          <w:rFonts w:hint="eastAsia" w:ascii="Times New Roman" w:hAnsi="Times New Roman" w:eastAsia="仿宋_GB2312" w:cs="Times New Roman"/>
          <w:color w:val="auto"/>
          <w:kern w:val="0"/>
          <w:sz w:val="32"/>
          <w:szCs w:val="32"/>
          <w:lang w:val="en-US" w:eastAsia="zh-CN"/>
        </w:rPr>
        <w:t>9</w:t>
      </w:r>
      <w:r>
        <w:rPr>
          <w:rFonts w:ascii="Times New Roman" w:hAnsi="Times New Roman" w:eastAsia="仿宋_GB2312" w:cs="Times New Roman"/>
          <w:color w:val="auto"/>
          <w:kern w:val="0"/>
          <w:sz w:val="32"/>
          <w:szCs w:val="32"/>
        </w:rPr>
        <w:t>）。</w:t>
      </w: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713"/>
        <w:gridCol w:w="2661"/>
        <w:gridCol w:w="193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50"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w:t>
            </w:r>
            <w:r>
              <w:rPr>
                <w:rFonts w:hint="eastAsia" w:ascii="黑体" w:hAnsi="黑体" w:eastAsia="黑体" w:cs="Times New Roman"/>
                <w:bCs/>
                <w:color w:val="auto"/>
                <w:kern w:val="0"/>
                <w:sz w:val="24"/>
                <w:lang w:val="en-US" w:eastAsia="zh-CN"/>
              </w:rPr>
              <w:t>9</w:t>
            </w:r>
            <w:r>
              <w:rPr>
                <w:rFonts w:ascii="黑体" w:hAnsi="黑体" w:eastAsia="黑体" w:cs="Times New Roman"/>
                <w:bCs/>
                <w:color w:val="auto"/>
                <w:kern w:val="0"/>
                <w:sz w:val="24"/>
              </w:rPr>
              <w:t>　按行业大类分组的信息传输、软件和信息技术服务业</w:t>
            </w:r>
          </w:p>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企业法人单位和从业人员</w:t>
            </w:r>
            <w:r>
              <w:rPr>
                <w:rFonts w:hint="eastAsia" w:ascii="黑体" w:hAnsi="黑体" w:eastAsia="黑体" w:cs="Times New Roman"/>
                <w:bCs/>
                <w:color w:val="auto"/>
                <w:kern w:val="0"/>
                <w:sz w:val="24"/>
                <w:lang w:val="en-US" w:eastAsia="zh-CN"/>
              </w:rPr>
              <w:t>(从业人员不包含电信、移动、联通企业数据)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713"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2661"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193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61" w:type="dxa"/>
            <w:tcBorders>
              <w:top w:val="single" w:color="auto" w:sz="4" w:space="0"/>
              <w:left w:val="single" w:color="auto" w:sz="4" w:space="0"/>
              <w:bottom w:val="nil"/>
              <w:right w:val="single" w:color="auto" w:sz="4" w:space="0"/>
            </w:tcBorders>
            <w:vAlign w:val="center"/>
          </w:tcPr>
          <w:p>
            <w:pPr>
              <w:widowControl/>
              <w:spacing w:line="240" w:lineRule="atLeast"/>
              <w:ind w:left="57" w:right="750" w:rightChars="357"/>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697</w:t>
            </w:r>
          </w:p>
        </w:tc>
        <w:tc>
          <w:tcPr>
            <w:tcW w:w="1932" w:type="dxa"/>
            <w:tcBorders>
              <w:top w:val="single" w:color="auto" w:sz="4" w:space="0"/>
              <w:left w:val="single" w:color="auto" w:sz="4" w:space="0"/>
              <w:bottom w:val="nil"/>
              <w:right w:val="nil"/>
            </w:tcBorders>
            <w:vAlign w:val="center"/>
          </w:tcPr>
          <w:p>
            <w:pPr>
              <w:keepNext w:val="0"/>
              <w:keepLines w:val="0"/>
              <w:widowControl/>
              <w:suppressLineNumbers w:val="0"/>
              <w:ind w:right="750" w:rightChars="357"/>
              <w:jc w:val="right"/>
              <w:textAlignment w:val="center"/>
              <w:rPr>
                <w:rFonts w:ascii="Times New Roman" w:hAnsi="Times New Roman" w:cs="Times New Roman"/>
                <w:b/>
                <w:color w:val="auto"/>
                <w:kern w:val="0"/>
                <w:sz w:val="18"/>
                <w:szCs w:val="18"/>
              </w:rPr>
            </w:pPr>
            <w:r>
              <w:rPr>
                <w:rFonts w:hint="eastAsia" w:ascii="Times New Roman" w:hAnsi="Times New Roman" w:cs="Times New Roman"/>
                <w:b/>
                <w:color w:val="auto"/>
                <w:kern w:val="0"/>
                <w:sz w:val="18"/>
                <w:szCs w:val="18"/>
                <w:lang w:val="en-US" w:eastAsia="zh-CN"/>
              </w:rPr>
              <w:t>7348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电信、广播电视和卫星传输服务</w:t>
            </w:r>
          </w:p>
        </w:tc>
        <w:tc>
          <w:tcPr>
            <w:tcW w:w="2661" w:type="dxa"/>
            <w:tcBorders>
              <w:top w:val="nil"/>
              <w:left w:val="single" w:color="auto" w:sz="4" w:space="0"/>
              <w:bottom w:val="nil"/>
              <w:right w:val="single" w:color="auto" w:sz="4" w:space="0"/>
            </w:tcBorders>
            <w:vAlign w:val="center"/>
          </w:tcPr>
          <w:p>
            <w:pPr>
              <w:widowControl/>
              <w:spacing w:line="240" w:lineRule="atLeast"/>
              <w:ind w:left="57" w:right="750" w:rightChars="3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11</w:t>
            </w:r>
          </w:p>
        </w:tc>
        <w:tc>
          <w:tcPr>
            <w:tcW w:w="1932" w:type="dxa"/>
            <w:tcBorders>
              <w:top w:val="nil"/>
              <w:left w:val="single" w:color="auto" w:sz="4" w:space="0"/>
              <w:bottom w:val="nil"/>
              <w:right w:val="nil"/>
            </w:tcBorders>
            <w:vAlign w:val="center"/>
          </w:tcPr>
          <w:p>
            <w:pPr>
              <w:widowControl/>
              <w:spacing w:line="240" w:lineRule="atLeast"/>
              <w:ind w:left="57" w:right="750" w:rightChars="357"/>
              <w:jc w:val="right"/>
              <w:rPr>
                <w:rFonts w:hint="eastAsia"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109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互联网和相关服务</w:t>
            </w:r>
          </w:p>
        </w:tc>
        <w:tc>
          <w:tcPr>
            <w:tcW w:w="2661" w:type="dxa"/>
            <w:tcBorders>
              <w:top w:val="nil"/>
              <w:left w:val="single" w:color="auto" w:sz="4" w:space="0"/>
              <w:bottom w:val="nil"/>
              <w:right w:val="single" w:color="auto" w:sz="4" w:space="0"/>
            </w:tcBorders>
            <w:vAlign w:val="center"/>
          </w:tcPr>
          <w:p>
            <w:pPr>
              <w:widowControl/>
              <w:spacing w:line="240" w:lineRule="atLeast"/>
              <w:ind w:left="57" w:right="750" w:rightChars="3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116</w:t>
            </w:r>
          </w:p>
        </w:tc>
        <w:tc>
          <w:tcPr>
            <w:tcW w:w="1932" w:type="dxa"/>
            <w:tcBorders>
              <w:top w:val="nil"/>
              <w:left w:val="single" w:color="auto" w:sz="4" w:space="0"/>
              <w:bottom w:val="nil"/>
              <w:right w:val="nil"/>
            </w:tcBorders>
            <w:vAlign w:val="center"/>
          </w:tcPr>
          <w:p>
            <w:pPr>
              <w:widowControl/>
              <w:spacing w:line="240" w:lineRule="atLeast"/>
              <w:ind w:left="57" w:right="750" w:rightChars="357"/>
              <w:jc w:val="right"/>
              <w:rPr>
                <w:rFonts w:hint="eastAsia"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1191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single" w:color="auto" w:sz="12" w:space="0"/>
              <w:right w:val="single" w:color="auto" w:sz="4" w:space="0"/>
            </w:tcBorders>
            <w:vAlign w:val="center"/>
          </w:tcPr>
          <w:p>
            <w:pPr>
              <w:widowControl/>
              <w:spacing w:line="240" w:lineRule="atLeast"/>
              <w:ind w:right="57" w:firstLine="210" w:firstLineChars="100"/>
              <w:rPr>
                <w:rFonts w:ascii="Times New Roman" w:hAnsi="Times New Roman" w:cs="Times New Roman"/>
                <w:color w:val="auto"/>
                <w:kern w:val="0"/>
                <w:sz w:val="18"/>
                <w:szCs w:val="18"/>
              </w:rPr>
            </w:pPr>
            <w:r>
              <w:rPr>
                <w:rFonts w:ascii="Times New Roman" w:hAnsi="Times New Roman" w:cs="Times New Roman"/>
                <w:color w:val="auto"/>
                <w:kern w:val="0"/>
                <w:szCs w:val="21"/>
              </w:rPr>
              <w:t>软件和信息技术服务业</w:t>
            </w:r>
          </w:p>
        </w:tc>
        <w:tc>
          <w:tcPr>
            <w:tcW w:w="2661" w:type="dxa"/>
            <w:tcBorders>
              <w:top w:val="nil"/>
              <w:left w:val="single" w:color="auto" w:sz="4" w:space="0"/>
              <w:bottom w:val="single" w:color="auto" w:sz="12" w:space="0"/>
              <w:right w:val="single" w:color="auto" w:sz="4" w:space="0"/>
            </w:tcBorders>
            <w:vAlign w:val="center"/>
          </w:tcPr>
          <w:p>
            <w:pPr>
              <w:widowControl/>
              <w:spacing w:line="240" w:lineRule="atLeast"/>
              <w:ind w:left="57" w:right="750" w:rightChars="3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570</w:t>
            </w:r>
          </w:p>
        </w:tc>
        <w:tc>
          <w:tcPr>
            <w:tcW w:w="1932" w:type="dxa"/>
            <w:tcBorders>
              <w:top w:val="nil"/>
              <w:left w:val="single" w:color="auto" w:sz="4" w:space="0"/>
              <w:bottom w:val="single" w:color="auto" w:sz="12" w:space="0"/>
              <w:right w:val="nil"/>
            </w:tcBorders>
            <w:vAlign w:val="center"/>
          </w:tcPr>
          <w:p>
            <w:pPr>
              <w:widowControl/>
              <w:spacing w:line="240" w:lineRule="atLeast"/>
              <w:ind w:left="57" w:right="750" w:rightChars="357"/>
              <w:jc w:val="right"/>
              <w:rPr>
                <w:rFonts w:hint="eastAsia"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6048</w:t>
            </w:r>
          </w:p>
        </w:tc>
      </w:tr>
    </w:tbl>
    <w:p>
      <w:pPr>
        <w:widowControl/>
        <w:spacing w:line="620" w:lineRule="exact"/>
        <w:ind w:firstLine="640" w:firstLineChars="200"/>
        <w:rPr>
          <w:rFonts w:ascii="Times New Roman" w:hAnsi="Times New Roman" w:eastAsia="仿宋_GB2312" w:cs="Times New Roman"/>
          <w:color w:val="auto"/>
          <w:kern w:val="0"/>
          <w:sz w:val="32"/>
          <w:szCs w:val="32"/>
        </w:rPr>
      </w:pPr>
    </w:p>
    <w:p>
      <w:pPr>
        <w:widowControl/>
        <w:spacing w:line="62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在信息传输、软件和信息技术服务业企业法人单位中，内资企业占</w:t>
      </w:r>
      <w:r>
        <w:rPr>
          <w:rFonts w:hint="eastAsia" w:ascii="Times New Roman" w:hAnsi="Times New Roman" w:eastAsia="仿宋_GB2312" w:cs="Times New Roman"/>
          <w:color w:val="auto"/>
          <w:sz w:val="32"/>
          <w:szCs w:val="32"/>
          <w:lang w:val="en-US" w:eastAsia="zh-CN"/>
        </w:rPr>
        <w:t>100</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在信息传输、软件和信息技术服务业企业法人单位从业人员中，内资企业占</w:t>
      </w:r>
      <w:r>
        <w:rPr>
          <w:rFonts w:hint="eastAsia" w:ascii="Times New Roman" w:hAnsi="Times New Roman" w:eastAsia="仿宋_GB2312" w:cs="Times New Roman"/>
          <w:color w:val="auto"/>
          <w:sz w:val="32"/>
          <w:szCs w:val="32"/>
          <w:lang w:val="en-US" w:eastAsia="zh-CN"/>
        </w:rPr>
        <w:t>100</w:t>
      </w:r>
      <w:r>
        <w:rPr>
          <w:rFonts w:ascii="Times New Roman" w:hAnsi="Times New Roman" w:eastAsia="仿宋_GB2312" w:cs="Times New Roman"/>
          <w:color w:val="auto"/>
          <w:kern w:val="0"/>
          <w:sz w:val="32"/>
          <w:szCs w:val="32"/>
        </w:rPr>
        <w:t>%（详见表4-1</w:t>
      </w:r>
      <w:r>
        <w:rPr>
          <w:rFonts w:hint="eastAsia" w:ascii="Times New Roman" w:hAnsi="Times New Roman" w:eastAsia="仿宋_GB2312" w:cs="Times New Roman"/>
          <w:color w:val="auto"/>
          <w:kern w:val="0"/>
          <w:sz w:val="32"/>
          <w:szCs w:val="32"/>
          <w:lang w:val="en-US" w:eastAsia="zh-CN"/>
        </w:rPr>
        <w:t>0</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713"/>
        <w:gridCol w:w="2659"/>
        <w:gridCol w:w="193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50"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0</w:t>
            </w:r>
            <w:r>
              <w:rPr>
                <w:rFonts w:ascii="黑体" w:hAnsi="黑体" w:eastAsia="黑体" w:cs="Times New Roman"/>
                <w:bCs/>
                <w:color w:val="auto"/>
                <w:kern w:val="0"/>
                <w:sz w:val="24"/>
              </w:rPr>
              <w:t>　按登记注册类型分组的信息传输、软件和信息技术服务业</w:t>
            </w:r>
          </w:p>
          <w:p>
            <w:pPr>
              <w:widowControl/>
              <w:spacing w:line="320" w:lineRule="atLeast"/>
              <w:ind w:left="57" w:right="57"/>
              <w:jc w:val="center"/>
              <w:rPr>
                <w:rFonts w:hint="default" w:ascii="黑体" w:hAnsi="黑体" w:eastAsia="黑体" w:cs="Times New Roman"/>
                <w:bCs/>
                <w:color w:val="auto"/>
                <w:kern w:val="0"/>
                <w:sz w:val="24"/>
                <w:lang w:val="en-US" w:eastAsia="zh-CN"/>
              </w:rPr>
            </w:pPr>
            <w:r>
              <w:rPr>
                <w:rFonts w:ascii="黑体" w:hAnsi="黑体" w:eastAsia="黑体" w:cs="Times New Roman"/>
                <w:bCs/>
                <w:color w:val="auto"/>
                <w:kern w:val="0"/>
                <w:sz w:val="24"/>
              </w:rPr>
              <w:t>企业法人单位和从业人员</w:t>
            </w:r>
            <w:r>
              <w:rPr>
                <w:rFonts w:hint="eastAsia" w:ascii="黑体" w:hAnsi="黑体" w:eastAsia="黑体" w:cs="Times New Roman"/>
                <w:bCs/>
                <w:color w:val="auto"/>
                <w:kern w:val="0"/>
                <w:sz w:val="24"/>
                <w:lang w:val="en-US" w:eastAsia="zh-CN"/>
              </w:rPr>
              <w:t>(从业人员不包含电信、移动、联通企业数据)</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713"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auto"/>
                <w:kern w:val="0"/>
                <w:sz w:val="20"/>
                <w:szCs w:val="20"/>
              </w:rPr>
            </w:pPr>
          </w:p>
        </w:tc>
        <w:tc>
          <w:tcPr>
            <w:tcW w:w="2659"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企业法人单位</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(个)</w:t>
            </w:r>
          </w:p>
        </w:tc>
        <w:tc>
          <w:tcPr>
            <w:tcW w:w="1934"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从业人员</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59" w:type="dxa"/>
            <w:tcBorders>
              <w:top w:val="single" w:color="auto" w:sz="4" w:space="0"/>
              <w:left w:val="single" w:color="auto" w:sz="4" w:space="0"/>
              <w:bottom w:val="nil"/>
              <w:right w:val="single" w:color="auto" w:sz="4" w:space="0"/>
            </w:tcBorders>
          </w:tcPr>
          <w:p>
            <w:pPr>
              <w:widowControl/>
              <w:spacing w:line="240" w:lineRule="atLeast"/>
              <w:ind w:left="57" w:right="57"/>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697</w:t>
            </w:r>
          </w:p>
        </w:tc>
        <w:tc>
          <w:tcPr>
            <w:tcW w:w="1934" w:type="dxa"/>
            <w:tcBorders>
              <w:top w:val="single" w:color="auto" w:sz="4" w:space="0"/>
              <w:left w:val="single" w:color="auto" w:sz="4" w:space="0"/>
              <w:bottom w:val="nil"/>
              <w:right w:val="nil"/>
            </w:tcBorders>
          </w:tcPr>
          <w:p>
            <w:pPr>
              <w:widowControl/>
              <w:spacing w:line="240" w:lineRule="atLeast"/>
              <w:ind w:left="57" w:right="57"/>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7348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659" w:type="dxa"/>
            <w:tcBorders>
              <w:top w:val="nil"/>
              <w:left w:val="single" w:color="auto" w:sz="4" w:space="0"/>
              <w:bottom w:val="nil"/>
              <w:right w:val="single" w:color="auto" w:sz="4" w:space="0"/>
            </w:tcBorders>
          </w:tcPr>
          <w:p>
            <w:pPr>
              <w:widowControl/>
              <w:spacing w:line="240" w:lineRule="atLeast"/>
              <w:ind w:left="57" w:right="57"/>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697</w:t>
            </w:r>
          </w:p>
        </w:tc>
        <w:tc>
          <w:tcPr>
            <w:tcW w:w="1934" w:type="dxa"/>
            <w:tcBorders>
              <w:top w:val="nil"/>
              <w:left w:val="single" w:color="auto" w:sz="4" w:space="0"/>
              <w:bottom w:val="nil"/>
              <w:right w:val="nil"/>
            </w:tcBorders>
          </w:tcPr>
          <w:p>
            <w:pPr>
              <w:widowControl/>
              <w:spacing w:line="240" w:lineRule="atLeast"/>
              <w:ind w:left="57" w:right="57"/>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7348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659" w:type="dxa"/>
            <w:tcBorders>
              <w:top w:val="nil"/>
              <w:left w:val="single" w:color="auto" w:sz="4" w:space="0"/>
              <w:bottom w:val="nil"/>
              <w:right w:val="single" w:color="auto" w:sz="4" w:space="0"/>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w:t>
            </w:r>
          </w:p>
        </w:tc>
        <w:tc>
          <w:tcPr>
            <w:tcW w:w="1934" w:type="dxa"/>
            <w:tcBorders>
              <w:top w:val="nil"/>
              <w:left w:val="single" w:color="auto" w:sz="4" w:space="0"/>
              <w:bottom w:val="nil"/>
              <w:right w:val="nil"/>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659" w:type="dxa"/>
            <w:tcBorders>
              <w:top w:val="nil"/>
              <w:left w:val="single" w:color="auto" w:sz="4" w:space="0"/>
              <w:bottom w:val="nil"/>
              <w:right w:val="single" w:color="auto" w:sz="4" w:space="0"/>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6</w:t>
            </w:r>
          </w:p>
        </w:tc>
        <w:tc>
          <w:tcPr>
            <w:tcW w:w="1934" w:type="dxa"/>
            <w:tcBorders>
              <w:top w:val="nil"/>
              <w:left w:val="single" w:color="auto" w:sz="4" w:space="0"/>
              <w:bottom w:val="nil"/>
              <w:right w:val="nil"/>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78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713"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659" w:type="dxa"/>
            <w:tcBorders>
              <w:top w:val="nil"/>
              <w:left w:val="single" w:color="auto" w:sz="4" w:space="0"/>
              <w:bottom w:val="single" w:color="auto" w:sz="12" w:space="0"/>
              <w:right w:val="single" w:color="auto" w:sz="4" w:space="0"/>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687</w:t>
            </w:r>
          </w:p>
        </w:tc>
        <w:tc>
          <w:tcPr>
            <w:tcW w:w="1934" w:type="dxa"/>
            <w:tcBorders>
              <w:top w:val="nil"/>
              <w:left w:val="single" w:color="auto" w:sz="4" w:space="0"/>
              <w:bottom w:val="single" w:color="auto" w:sz="12" w:space="0"/>
              <w:right w:val="nil"/>
            </w:tcBorders>
          </w:tcPr>
          <w:p>
            <w:pPr>
              <w:widowControl/>
              <w:spacing w:line="240" w:lineRule="atLeast"/>
              <w:ind w:left="57" w:right="57"/>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7223</w:t>
            </w:r>
          </w:p>
        </w:tc>
      </w:tr>
    </w:tbl>
    <w:p>
      <w:pPr>
        <w:widowControl/>
        <w:spacing w:line="600" w:lineRule="exact"/>
        <w:ind w:firstLine="640" w:firstLineChars="200"/>
        <w:rPr>
          <w:rFonts w:ascii="Times New Roman" w:hAnsi="Times New Roman" w:eastAsia="楷体_GB2312" w:cs="Times New Roman"/>
          <w:color w:val="auto"/>
          <w:kern w:val="0"/>
          <w:sz w:val="32"/>
          <w:szCs w:val="32"/>
        </w:rPr>
      </w:pPr>
    </w:p>
    <w:p>
      <w:pPr>
        <w:widowControl/>
        <w:spacing w:line="62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widowControl/>
        <w:spacing w:line="620" w:lineRule="exact"/>
        <w:ind w:firstLine="640" w:firstLineChars="200"/>
        <w:rPr>
          <w:rFonts w:ascii="Times New Roman" w:hAnsi="Times New Roman" w:eastAsia="仿宋_GB2312" w:cs="Times New Roman"/>
          <w:color w:val="FF0000"/>
          <w:kern w:val="0"/>
          <w:sz w:val="32"/>
          <w:szCs w:val="32"/>
        </w:rPr>
      </w:pPr>
      <w:r>
        <w:rPr>
          <w:rFonts w:ascii="Times New Roman" w:hAnsi="Times New Roman" w:eastAsia="仿宋_GB2312" w:cs="Times New Roman"/>
          <w:color w:val="auto"/>
          <w:kern w:val="0"/>
          <w:sz w:val="32"/>
          <w:szCs w:val="32"/>
        </w:rPr>
        <w:t>2018年末，信息传输、软件和信息技术服务业企业法人单位资产总计</w:t>
      </w:r>
      <w:r>
        <w:rPr>
          <w:rFonts w:hint="eastAsia" w:ascii="Times New Roman" w:hAnsi="Times New Roman" w:eastAsia="仿宋_GB2312" w:cs="Times New Roman"/>
          <w:color w:val="auto"/>
          <w:kern w:val="0"/>
          <w:sz w:val="32"/>
          <w:szCs w:val="32"/>
          <w:lang w:val="en-US" w:eastAsia="zh-CN"/>
        </w:rPr>
        <w:t>11.77</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sz w:val="32"/>
          <w:szCs w:val="32"/>
          <w:lang w:val="en-US" w:eastAsia="zh-CN"/>
        </w:rPr>
        <w:t>71.3</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4.04</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22.94</w:t>
      </w:r>
      <w:r>
        <w:rPr>
          <w:rFonts w:ascii="Times New Roman" w:hAnsi="Times New Roman" w:eastAsia="仿宋_GB2312" w:cs="Times New Roman"/>
          <w:color w:val="auto"/>
          <w:kern w:val="0"/>
          <w:sz w:val="32"/>
          <w:szCs w:val="32"/>
        </w:rPr>
        <w:t>亿元</w:t>
      </w:r>
      <w:bookmarkStart w:id="0" w:name="_GoBack"/>
      <w:bookmarkEnd w:id="0"/>
      <w:r>
        <w:rPr>
          <w:rFonts w:ascii="Times New Roman" w:hAnsi="Times New Roman" w:eastAsia="仿宋_GB2312" w:cs="Times New Roman"/>
          <w:color w:val="auto"/>
          <w:kern w:val="0"/>
          <w:sz w:val="32"/>
          <w:szCs w:val="32"/>
        </w:rPr>
        <w:t>（详见表4-1</w:t>
      </w:r>
      <w:r>
        <w:rPr>
          <w:rFonts w:hint="eastAsia" w:ascii="Times New Roman" w:hAnsi="Times New Roman" w:eastAsia="仿宋_GB2312" w:cs="Times New Roman"/>
          <w:color w:val="auto"/>
          <w:kern w:val="0"/>
          <w:sz w:val="32"/>
          <w:szCs w:val="32"/>
          <w:lang w:val="en-US" w:eastAsia="zh-CN"/>
        </w:rPr>
        <w:t>1</w:t>
      </w:r>
      <w:r>
        <w:rPr>
          <w:rFonts w:ascii="Times New Roman" w:hAnsi="Times New Roman" w:eastAsia="仿宋_GB2312" w:cs="Times New Roman"/>
          <w:color w:val="auto"/>
          <w:kern w:val="0"/>
          <w:sz w:val="32"/>
          <w:szCs w:val="32"/>
        </w:rPr>
        <w:t>）。</w:t>
      </w:r>
    </w:p>
    <w:p>
      <w:pPr>
        <w:widowControl/>
        <w:spacing w:line="620" w:lineRule="exact"/>
        <w:ind w:firstLine="640" w:firstLineChars="200"/>
        <w:rPr>
          <w:rFonts w:ascii="Times New Roman" w:hAnsi="Times New Roman" w:eastAsia="仿宋_GB2312" w:cs="Times New Roman"/>
          <w:color w:val="auto"/>
          <w:kern w:val="0"/>
          <w:sz w:val="32"/>
          <w:szCs w:val="32"/>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686"/>
        <w:gridCol w:w="1540"/>
        <w:gridCol w:w="1540"/>
        <w:gridCol w:w="1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850" w:hRule="atLeast"/>
          <w:jc w:val="center"/>
        </w:trPr>
        <w:tc>
          <w:tcPr>
            <w:tcW w:w="8306"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1</w:t>
            </w:r>
            <w:r>
              <w:rPr>
                <w:rFonts w:ascii="黑体" w:hAnsi="黑体" w:eastAsia="黑体" w:cs="Times New Roman"/>
                <w:bCs/>
                <w:color w:val="auto"/>
                <w:kern w:val="0"/>
                <w:sz w:val="24"/>
              </w:rPr>
              <w:t>　按行业大类分组的信息传输、软件和信息技术服务业</w:t>
            </w:r>
          </w:p>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686" w:type="dxa"/>
            <w:tcBorders>
              <w:top w:val="single" w:color="auto" w:sz="12" w:space="0"/>
              <w:left w:val="nil"/>
              <w:bottom w:val="single" w:color="auto" w:sz="4" w:space="0"/>
              <w:right w:val="single" w:color="auto" w:sz="4" w:space="0"/>
            </w:tcBorders>
            <w:vAlign w:val="center"/>
          </w:tcPr>
          <w:p>
            <w:pPr>
              <w:widowControl/>
              <w:spacing w:line="320" w:lineRule="exac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single" w:color="auto" w:sz="12" w:space="0"/>
              <w:left w:val="single" w:color="auto" w:sz="4" w:space="0"/>
              <w:bottom w:val="single" w:color="auto" w:sz="4" w:space="0"/>
              <w:right w:val="single" w:color="auto" w:sz="4" w:space="0"/>
            </w:tcBorders>
            <w:vAlign w:val="center"/>
          </w:tcPr>
          <w:p>
            <w:pPr>
              <w:widowControl/>
              <w:spacing w:line="320" w:lineRule="exac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320" w:lineRule="exac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single" w:color="auto" w:sz="12" w:space="0"/>
              <w:left w:val="single" w:color="auto" w:sz="4" w:space="0"/>
              <w:bottom w:val="single" w:color="auto" w:sz="4" w:space="0"/>
              <w:right w:val="single" w:color="auto" w:sz="4" w:space="0"/>
            </w:tcBorders>
            <w:vAlign w:val="center"/>
          </w:tcPr>
          <w:p>
            <w:pPr>
              <w:widowControl/>
              <w:spacing w:line="320" w:lineRule="exac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320" w:lineRule="exac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single" w:color="auto" w:sz="12" w:space="0"/>
              <w:left w:val="single" w:color="auto" w:sz="4" w:space="0"/>
              <w:bottom w:val="single" w:color="auto" w:sz="4" w:space="0"/>
              <w:right w:val="nil"/>
            </w:tcBorders>
            <w:vAlign w:val="center"/>
          </w:tcPr>
          <w:p>
            <w:pPr>
              <w:widowControl/>
              <w:spacing w:line="320" w:lineRule="exac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320" w:lineRule="exac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single" w:color="auto" w:sz="4" w:space="0"/>
              <w:left w:val="nil"/>
              <w:bottom w:val="nil"/>
              <w:right w:val="single" w:color="auto" w:sz="4" w:space="0"/>
            </w:tcBorders>
            <w:vAlign w:val="center"/>
          </w:tcPr>
          <w:p>
            <w:pPr>
              <w:widowControl/>
              <w:spacing w:line="320" w:lineRule="exac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468" w:rightChars="223"/>
              <w:jc w:val="right"/>
              <w:textAlignment w:val="bottom"/>
              <w:rPr>
                <w:rFonts w:ascii="Times New Roman" w:hAnsi="Times New Roman" w:cs="Times New Roman"/>
                <w:b/>
                <w:color w:val="auto"/>
                <w:kern w:val="0"/>
                <w:sz w:val="18"/>
                <w:szCs w:val="18"/>
              </w:rPr>
            </w:pPr>
            <w:r>
              <w:rPr>
                <w:rFonts w:hint="eastAsia" w:ascii="Times New Roman" w:hAnsi="Times New Roman" w:cs="Times New Roman"/>
                <w:b/>
                <w:color w:val="auto"/>
                <w:kern w:val="0"/>
                <w:sz w:val="18"/>
                <w:szCs w:val="18"/>
                <w:lang w:val="en-US" w:eastAsia="zh-CN"/>
              </w:rPr>
              <w:t>11.77</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468" w:rightChars="223"/>
              <w:jc w:val="right"/>
              <w:textAlignment w:val="bottom"/>
              <w:rPr>
                <w:rFonts w:ascii="Times New Roman" w:hAnsi="Times New Roman" w:cs="Times New Roman"/>
                <w:b/>
                <w:color w:val="auto"/>
                <w:kern w:val="0"/>
                <w:sz w:val="18"/>
                <w:szCs w:val="18"/>
              </w:rPr>
            </w:pPr>
            <w:r>
              <w:rPr>
                <w:rFonts w:hint="eastAsia" w:ascii="Times New Roman" w:hAnsi="Times New Roman" w:cs="Times New Roman"/>
                <w:b/>
                <w:color w:val="auto"/>
                <w:kern w:val="0"/>
                <w:sz w:val="18"/>
                <w:szCs w:val="18"/>
                <w:lang w:val="en-US" w:eastAsia="zh-CN"/>
              </w:rPr>
              <w:t>4.04</w:t>
            </w:r>
          </w:p>
        </w:tc>
        <w:tc>
          <w:tcPr>
            <w:tcW w:w="1540" w:type="dxa"/>
            <w:tcBorders>
              <w:top w:val="single" w:color="auto" w:sz="4" w:space="0"/>
              <w:left w:val="single" w:color="auto" w:sz="4" w:space="0"/>
              <w:bottom w:val="nil"/>
              <w:right w:val="nil"/>
            </w:tcBorders>
            <w:vAlign w:val="bottom"/>
          </w:tcPr>
          <w:p>
            <w:pPr>
              <w:keepNext w:val="0"/>
              <w:keepLines w:val="0"/>
              <w:widowControl/>
              <w:suppressLineNumbers w:val="0"/>
              <w:ind w:right="468" w:rightChars="223"/>
              <w:jc w:val="right"/>
              <w:textAlignment w:val="bottom"/>
              <w:rPr>
                <w:rFonts w:hint="default" w:ascii="Times New Roman" w:hAnsi="Times New Roman" w:cs="Times New Roman"/>
                <w:b/>
                <w:color w:val="auto"/>
                <w:kern w:val="0"/>
                <w:sz w:val="18"/>
                <w:szCs w:val="18"/>
                <w:lang w:val="en-US"/>
              </w:rPr>
            </w:pPr>
            <w:r>
              <w:rPr>
                <w:rFonts w:hint="eastAsia" w:ascii="Times New Roman" w:hAnsi="Times New Roman" w:cs="Times New Roman"/>
                <w:b/>
                <w:color w:val="auto"/>
                <w:kern w:val="0"/>
                <w:sz w:val="18"/>
                <w:szCs w:val="18"/>
                <w:lang w:val="en-US" w:eastAsia="zh-CN"/>
              </w:rPr>
              <w:t>22.94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spacing w:line="320" w:lineRule="exact"/>
              <w:rPr>
                <w:rFonts w:ascii="Times New Roman" w:hAnsi="Times New Roman" w:cs="Times New Roman"/>
                <w:color w:val="auto"/>
                <w:szCs w:val="24"/>
              </w:rPr>
            </w:pPr>
            <w:r>
              <w:rPr>
                <w:rFonts w:ascii="Times New Roman" w:hAnsi="Times New Roman" w:cs="Times New Roman"/>
                <w:color w:val="auto"/>
                <w:kern w:val="0"/>
                <w:szCs w:val="21"/>
              </w:rPr>
              <w:t>　电信、广播电视和卫星传输服务</w:t>
            </w:r>
          </w:p>
        </w:tc>
        <w:tc>
          <w:tcPr>
            <w:tcW w:w="1540" w:type="dxa"/>
            <w:tcBorders>
              <w:top w:val="nil"/>
              <w:left w:val="single" w:color="auto" w:sz="4" w:space="0"/>
              <w:bottom w:val="nil"/>
              <w:right w:val="single" w:color="auto" w:sz="4" w:space="0"/>
            </w:tcBorders>
            <w:vAlign w:val="bottom"/>
          </w:tcPr>
          <w:p>
            <w:pPr>
              <w:widowControl/>
              <w:spacing w:line="320" w:lineRule="exact"/>
              <w:ind w:left="57" w:right="468" w:rightChars="223"/>
              <w:jc w:val="right"/>
              <w:rPr>
                <w:rFonts w:ascii="Times New Roman" w:hAnsi="Times New Roman" w:cs="Times New Roman"/>
                <w:color w:val="auto"/>
                <w:kern w:val="0"/>
                <w:sz w:val="18"/>
                <w:szCs w:val="18"/>
              </w:rPr>
            </w:pPr>
            <w:r>
              <w:rPr>
                <w:rFonts w:hint="eastAsia" w:ascii="Times New Roman" w:hAnsi="Times New Roman" w:cs="Times New Roman"/>
                <w:color w:val="auto"/>
                <w:kern w:val="0"/>
                <w:sz w:val="18"/>
                <w:szCs w:val="18"/>
                <w:lang w:val="en-US" w:eastAsia="zh-CN"/>
              </w:rPr>
              <w:t>6.62</w:t>
            </w:r>
          </w:p>
        </w:tc>
        <w:tc>
          <w:tcPr>
            <w:tcW w:w="1540" w:type="dxa"/>
            <w:tcBorders>
              <w:top w:val="nil"/>
              <w:left w:val="single" w:color="auto" w:sz="4" w:space="0"/>
              <w:bottom w:val="nil"/>
              <w:right w:val="single" w:color="auto" w:sz="4" w:space="0"/>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3.32</w:t>
            </w:r>
          </w:p>
        </w:tc>
        <w:tc>
          <w:tcPr>
            <w:tcW w:w="1540" w:type="dxa"/>
            <w:tcBorders>
              <w:top w:val="nil"/>
              <w:left w:val="single" w:color="auto" w:sz="4" w:space="0"/>
              <w:bottom w:val="nil"/>
              <w:right w:val="nil"/>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eastAsia" w:ascii="Times New Roman" w:hAnsi="Times New Roman" w:cs="Times New Roman"/>
                <w:color w:val="auto"/>
                <w:kern w:val="0"/>
                <w:sz w:val="18"/>
                <w:szCs w:val="18"/>
                <w:lang w:val="en-US" w:eastAsia="zh-CN"/>
              </w:rPr>
              <w:t>3.91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spacing w:line="320" w:lineRule="exact"/>
              <w:rPr>
                <w:rFonts w:ascii="Times New Roman" w:hAnsi="Times New Roman" w:cs="Times New Roman"/>
                <w:color w:val="auto"/>
                <w:szCs w:val="24"/>
              </w:rPr>
            </w:pPr>
            <w:r>
              <w:rPr>
                <w:rFonts w:ascii="Times New Roman" w:hAnsi="Times New Roman" w:cs="Times New Roman"/>
                <w:color w:val="auto"/>
                <w:kern w:val="0"/>
                <w:szCs w:val="21"/>
              </w:rPr>
              <w:t>　互联网和相关服务</w:t>
            </w:r>
          </w:p>
        </w:tc>
        <w:tc>
          <w:tcPr>
            <w:tcW w:w="1540" w:type="dxa"/>
            <w:tcBorders>
              <w:top w:val="nil"/>
              <w:left w:val="single" w:color="auto" w:sz="4" w:space="0"/>
              <w:bottom w:val="nil"/>
              <w:right w:val="single" w:color="auto" w:sz="4" w:space="0"/>
            </w:tcBorders>
            <w:vAlign w:val="bottom"/>
          </w:tcPr>
          <w:p>
            <w:pPr>
              <w:widowControl/>
              <w:spacing w:line="320" w:lineRule="exact"/>
              <w:ind w:left="57" w:right="468" w:rightChars="223"/>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0.87</w:t>
            </w:r>
          </w:p>
        </w:tc>
        <w:tc>
          <w:tcPr>
            <w:tcW w:w="1540" w:type="dxa"/>
            <w:tcBorders>
              <w:top w:val="nil"/>
              <w:left w:val="single" w:color="auto" w:sz="4" w:space="0"/>
              <w:bottom w:val="nil"/>
              <w:right w:val="single" w:color="auto" w:sz="4" w:space="0"/>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0.19</w:t>
            </w:r>
          </w:p>
        </w:tc>
        <w:tc>
          <w:tcPr>
            <w:tcW w:w="1540" w:type="dxa"/>
            <w:tcBorders>
              <w:top w:val="nil"/>
              <w:left w:val="single" w:color="auto" w:sz="4" w:space="0"/>
              <w:bottom w:val="nil"/>
              <w:right w:val="nil"/>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1.93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single" w:color="auto" w:sz="12" w:space="0"/>
              <w:right w:val="single" w:color="auto" w:sz="4" w:space="0"/>
            </w:tcBorders>
          </w:tcPr>
          <w:p>
            <w:pPr>
              <w:spacing w:line="320" w:lineRule="exact"/>
              <w:rPr>
                <w:rFonts w:ascii="Times New Roman" w:hAnsi="Times New Roman" w:cs="Times New Roman"/>
                <w:color w:val="auto"/>
                <w:szCs w:val="24"/>
              </w:rPr>
            </w:pPr>
            <w:r>
              <w:rPr>
                <w:rFonts w:ascii="Times New Roman" w:hAnsi="Times New Roman" w:cs="Times New Roman"/>
                <w:color w:val="auto"/>
              </w:rPr>
              <w:t>　</w:t>
            </w:r>
            <w:r>
              <w:rPr>
                <w:rFonts w:ascii="Times New Roman" w:hAnsi="Times New Roman" w:cs="Times New Roman"/>
                <w:color w:val="auto"/>
                <w:kern w:val="0"/>
                <w:szCs w:val="21"/>
              </w:rPr>
              <w:t>软件和信息技术服务业</w:t>
            </w:r>
          </w:p>
        </w:tc>
        <w:tc>
          <w:tcPr>
            <w:tcW w:w="1540" w:type="dxa"/>
            <w:tcBorders>
              <w:top w:val="nil"/>
              <w:left w:val="single" w:color="auto" w:sz="4" w:space="0"/>
              <w:bottom w:val="single" w:color="auto" w:sz="12" w:space="0"/>
              <w:right w:val="single" w:color="auto" w:sz="4" w:space="0"/>
            </w:tcBorders>
            <w:vAlign w:val="bottom"/>
          </w:tcPr>
          <w:p>
            <w:pPr>
              <w:widowControl/>
              <w:spacing w:line="320" w:lineRule="exact"/>
              <w:ind w:left="57" w:right="468" w:rightChars="223"/>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4.28</w:t>
            </w:r>
          </w:p>
        </w:tc>
        <w:tc>
          <w:tcPr>
            <w:tcW w:w="1540" w:type="dxa"/>
            <w:tcBorders>
              <w:top w:val="nil"/>
              <w:left w:val="single" w:color="auto" w:sz="4" w:space="0"/>
              <w:bottom w:val="single" w:color="auto" w:sz="12" w:space="0"/>
              <w:right w:val="single" w:color="auto" w:sz="4" w:space="0"/>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0.53</w:t>
            </w:r>
          </w:p>
        </w:tc>
        <w:tc>
          <w:tcPr>
            <w:tcW w:w="1540" w:type="dxa"/>
            <w:tcBorders>
              <w:top w:val="nil"/>
              <w:left w:val="single" w:color="auto" w:sz="4" w:space="0"/>
              <w:bottom w:val="single" w:color="auto" w:sz="12" w:space="0"/>
              <w:right w:val="nil"/>
            </w:tcBorders>
            <w:vAlign w:val="bottom"/>
          </w:tcPr>
          <w:p>
            <w:pPr>
              <w:widowControl/>
              <w:spacing w:line="320" w:lineRule="exac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17.10</w:t>
            </w:r>
          </w:p>
        </w:tc>
      </w:tr>
    </w:tbl>
    <w:p>
      <w:pPr>
        <w:widowControl/>
        <w:spacing w:line="620" w:lineRule="exact"/>
        <w:ind w:firstLine="640" w:firstLineChars="200"/>
        <w:jc w:val="left"/>
        <w:rPr>
          <w:rFonts w:ascii="Times New Roman" w:hAnsi="Times New Roman" w:eastAsia="黑体" w:cs="Times New Roman"/>
          <w:color w:val="auto"/>
          <w:kern w:val="0"/>
          <w:sz w:val="32"/>
          <w:szCs w:val="32"/>
        </w:rPr>
      </w:pPr>
    </w:p>
    <w:p>
      <w:pPr>
        <w:widowControl/>
        <w:spacing w:line="600" w:lineRule="exact"/>
        <w:ind w:firstLine="640" w:firstLineChars="200"/>
        <w:jc w:val="left"/>
        <w:rPr>
          <w:rFonts w:ascii="Times New Roman" w:hAnsi="Times New Roman" w:eastAsia="黑体" w:cs="Times New Roman"/>
          <w:color w:val="auto"/>
          <w:kern w:val="0"/>
          <w:sz w:val="32"/>
          <w:szCs w:val="32"/>
        </w:rPr>
      </w:pPr>
      <w:r>
        <w:rPr>
          <w:rFonts w:hint="eastAsia" w:ascii="Times New Roman" w:hAnsi="Times New Roman" w:eastAsia="黑体" w:cs="Times New Roman"/>
          <w:color w:val="auto"/>
          <w:kern w:val="0"/>
          <w:sz w:val="32"/>
          <w:szCs w:val="32"/>
          <w:lang w:eastAsia="zh-CN"/>
        </w:rPr>
        <w:t>五</w:t>
      </w:r>
      <w:r>
        <w:rPr>
          <w:rFonts w:ascii="Times New Roman" w:hAnsi="Times New Roman" w:eastAsia="黑体" w:cs="Times New Roman"/>
          <w:color w:val="auto"/>
          <w:kern w:val="0"/>
          <w:sz w:val="32"/>
          <w:szCs w:val="32"/>
        </w:rPr>
        <w:t>、房地产业</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共有房地产业企业法人单位</w:t>
      </w:r>
      <w:r>
        <w:rPr>
          <w:rFonts w:hint="eastAsia" w:ascii="Times New Roman" w:hAnsi="Times New Roman" w:eastAsia="仿宋_GB2312" w:cs="Times New Roman"/>
          <w:color w:val="auto"/>
          <w:sz w:val="32"/>
          <w:szCs w:val="32"/>
          <w:lang w:val="en-US" w:eastAsia="zh-CN"/>
        </w:rPr>
        <w:t>357</w:t>
      </w:r>
      <w:r>
        <w:rPr>
          <w:rFonts w:ascii="Times New Roman" w:hAnsi="Times New Roman" w:eastAsia="仿宋_GB2312" w:cs="Times New Roman"/>
          <w:color w:val="auto"/>
          <w:kern w:val="0"/>
          <w:sz w:val="32"/>
          <w:szCs w:val="32"/>
        </w:rPr>
        <w:t>个，比2013年末增长</w:t>
      </w:r>
      <w:r>
        <w:rPr>
          <w:rFonts w:hint="eastAsia" w:ascii="Times New Roman" w:hAnsi="Times New Roman" w:eastAsia="仿宋_GB2312" w:cs="Times New Roman"/>
          <w:color w:val="auto"/>
          <w:kern w:val="0"/>
          <w:sz w:val="32"/>
          <w:szCs w:val="32"/>
          <w:lang w:val="en-US" w:eastAsia="zh-CN"/>
        </w:rPr>
        <w:t>176.7</w:t>
      </w:r>
      <w:r>
        <w:rPr>
          <w:rFonts w:ascii="Times New Roman" w:hAnsi="Times New Roman" w:eastAsia="仿宋_GB2312" w:cs="Times New Roman"/>
          <w:color w:val="auto"/>
          <w:kern w:val="0"/>
          <w:sz w:val="32"/>
          <w:szCs w:val="32"/>
        </w:rPr>
        <w:t>%。其中，房地产开发经营企业</w:t>
      </w:r>
      <w:r>
        <w:rPr>
          <w:rFonts w:hint="eastAsia" w:ascii="Times New Roman" w:hAnsi="Times New Roman" w:eastAsia="仿宋_GB2312" w:cs="Times New Roman"/>
          <w:color w:val="auto"/>
          <w:sz w:val="32"/>
          <w:szCs w:val="32"/>
          <w:lang w:val="en-US" w:eastAsia="zh-CN"/>
        </w:rPr>
        <w:t>54</w:t>
      </w:r>
      <w:r>
        <w:rPr>
          <w:rFonts w:ascii="Times New Roman" w:hAnsi="Times New Roman" w:eastAsia="仿宋_GB2312" w:cs="Times New Roman"/>
          <w:color w:val="auto"/>
          <w:kern w:val="0"/>
          <w:sz w:val="32"/>
          <w:szCs w:val="32"/>
        </w:rPr>
        <w:t>个，物业管理企业</w:t>
      </w:r>
      <w:r>
        <w:rPr>
          <w:rFonts w:hint="eastAsia" w:ascii="Times New Roman" w:hAnsi="Times New Roman" w:eastAsia="仿宋_GB2312" w:cs="Times New Roman"/>
          <w:color w:val="auto"/>
          <w:sz w:val="32"/>
          <w:szCs w:val="32"/>
          <w:lang w:val="en-US" w:eastAsia="zh-CN"/>
        </w:rPr>
        <w:t>102</w:t>
      </w:r>
      <w:r>
        <w:rPr>
          <w:rFonts w:ascii="Times New Roman" w:hAnsi="Times New Roman" w:eastAsia="仿宋_GB2312" w:cs="Times New Roman"/>
          <w:color w:val="auto"/>
          <w:kern w:val="0"/>
          <w:sz w:val="32"/>
          <w:szCs w:val="32"/>
        </w:rPr>
        <w:t>个，房地产中介服务企业</w:t>
      </w:r>
      <w:r>
        <w:rPr>
          <w:rFonts w:hint="eastAsia" w:ascii="Times New Roman" w:hAnsi="Times New Roman" w:eastAsia="仿宋_GB2312" w:cs="Times New Roman"/>
          <w:color w:val="auto"/>
          <w:sz w:val="32"/>
          <w:szCs w:val="32"/>
          <w:lang w:val="en-US" w:eastAsia="zh-CN"/>
        </w:rPr>
        <w:t>172</w:t>
      </w:r>
      <w:r>
        <w:rPr>
          <w:rFonts w:ascii="Times New Roman" w:hAnsi="Times New Roman" w:eastAsia="仿宋_GB2312" w:cs="Times New Roman"/>
          <w:color w:val="auto"/>
          <w:kern w:val="0"/>
          <w:sz w:val="32"/>
          <w:szCs w:val="32"/>
        </w:rPr>
        <w:t>个，分别比2013年末增长</w:t>
      </w:r>
      <w:r>
        <w:rPr>
          <w:rFonts w:hint="eastAsia" w:ascii="Times New Roman" w:hAnsi="Times New Roman" w:eastAsia="仿宋_GB2312" w:cs="Times New Roman"/>
          <w:color w:val="auto"/>
          <w:sz w:val="32"/>
          <w:szCs w:val="32"/>
          <w:lang w:val="en-US" w:eastAsia="zh-CN"/>
        </w:rPr>
        <w:t>12.5</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sz w:val="32"/>
          <w:szCs w:val="32"/>
          <w:lang w:val="en-US" w:eastAsia="zh-CN"/>
        </w:rPr>
        <w:t>240.0</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251.0</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房地产业企业法人单位的从业人员为</w:t>
      </w:r>
      <w:r>
        <w:rPr>
          <w:rFonts w:hint="eastAsia" w:ascii="Times New Roman" w:hAnsi="Times New Roman" w:eastAsia="仿宋_GB2312" w:cs="Times New Roman"/>
          <w:color w:val="auto"/>
          <w:sz w:val="32"/>
          <w:szCs w:val="32"/>
          <w:lang w:val="en-US" w:eastAsia="zh-CN"/>
        </w:rPr>
        <w:t>8168</w:t>
      </w:r>
      <w:r>
        <w:rPr>
          <w:rFonts w:ascii="Times New Roman" w:hAnsi="Times New Roman" w:eastAsia="仿宋_GB2312" w:cs="Times New Roman"/>
          <w:color w:val="auto"/>
          <w:kern w:val="0"/>
          <w:sz w:val="32"/>
          <w:szCs w:val="32"/>
        </w:rPr>
        <w:t>人，比2013年末增长</w:t>
      </w:r>
      <w:r>
        <w:rPr>
          <w:rFonts w:hint="eastAsia" w:ascii="Times New Roman" w:hAnsi="Times New Roman" w:eastAsia="仿宋_GB2312" w:cs="Times New Roman"/>
          <w:color w:val="auto"/>
          <w:sz w:val="32"/>
          <w:szCs w:val="32"/>
          <w:lang w:val="en-US" w:eastAsia="zh-CN"/>
        </w:rPr>
        <w:t>110.2</w:t>
      </w:r>
      <w:r>
        <w:rPr>
          <w:rFonts w:ascii="Times New Roman" w:hAnsi="Times New Roman" w:eastAsia="仿宋_GB2312" w:cs="Times New Roman"/>
          <w:color w:val="auto"/>
          <w:kern w:val="0"/>
          <w:sz w:val="32"/>
          <w:szCs w:val="32"/>
        </w:rPr>
        <w:t>%。其中，房地产开发经营企业</w:t>
      </w:r>
      <w:r>
        <w:rPr>
          <w:rFonts w:hint="eastAsia" w:ascii="Times New Roman" w:hAnsi="Times New Roman" w:eastAsia="仿宋_GB2312" w:cs="Times New Roman"/>
          <w:color w:val="auto"/>
          <w:sz w:val="32"/>
          <w:szCs w:val="32"/>
          <w:lang w:val="en-US" w:eastAsia="zh-CN"/>
        </w:rPr>
        <w:t>1286</w:t>
      </w:r>
      <w:r>
        <w:rPr>
          <w:rFonts w:ascii="Times New Roman" w:hAnsi="Times New Roman" w:eastAsia="仿宋_GB2312" w:cs="Times New Roman"/>
          <w:color w:val="auto"/>
          <w:kern w:val="0"/>
          <w:sz w:val="32"/>
          <w:szCs w:val="32"/>
        </w:rPr>
        <w:t>人，</w:t>
      </w:r>
      <w:r>
        <w:rPr>
          <w:rFonts w:hint="eastAsia" w:ascii="Times New Roman" w:hAnsi="Times New Roman" w:eastAsia="仿宋_GB2312" w:cs="Times New Roman"/>
          <w:color w:val="auto"/>
          <w:kern w:val="0"/>
          <w:sz w:val="32"/>
          <w:szCs w:val="32"/>
          <w:lang w:eastAsia="zh-CN"/>
        </w:rPr>
        <w:t>下降</w:t>
      </w:r>
      <w:r>
        <w:rPr>
          <w:rFonts w:hint="eastAsia" w:ascii="Times New Roman" w:hAnsi="Times New Roman" w:eastAsia="仿宋_GB2312" w:cs="Times New Roman"/>
          <w:color w:val="auto"/>
          <w:kern w:val="0"/>
          <w:sz w:val="32"/>
          <w:szCs w:val="32"/>
          <w:lang w:val="en-US" w:eastAsia="zh-CN"/>
        </w:rPr>
        <w:t>25.1</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w:t>
      </w:r>
      <w:r>
        <w:rPr>
          <w:rFonts w:ascii="Times New Roman" w:hAnsi="Times New Roman" w:eastAsia="仿宋_GB2312" w:cs="Times New Roman"/>
          <w:color w:val="auto"/>
          <w:kern w:val="0"/>
          <w:sz w:val="32"/>
          <w:szCs w:val="32"/>
        </w:rPr>
        <w:t>物业管理企业</w:t>
      </w:r>
      <w:r>
        <w:rPr>
          <w:rFonts w:hint="eastAsia" w:ascii="Times New Roman" w:hAnsi="Times New Roman" w:eastAsia="仿宋_GB2312" w:cs="Times New Roman"/>
          <w:color w:val="auto"/>
          <w:kern w:val="0"/>
          <w:sz w:val="32"/>
          <w:szCs w:val="32"/>
          <w:lang w:val="en-US" w:eastAsia="zh-CN"/>
        </w:rPr>
        <w:t>4279</w:t>
      </w:r>
      <w:r>
        <w:rPr>
          <w:rFonts w:ascii="Times New Roman" w:hAnsi="Times New Roman" w:eastAsia="仿宋_GB2312" w:cs="Times New Roman"/>
          <w:color w:val="auto"/>
          <w:kern w:val="0"/>
          <w:sz w:val="32"/>
          <w:szCs w:val="32"/>
        </w:rPr>
        <w:t>人，</w:t>
      </w:r>
      <w:r>
        <w:rPr>
          <w:rFonts w:hint="eastAsia" w:ascii="Times New Roman" w:hAnsi="Times New Roman" w:eastAsia="仿宋_GB2312" w:cs="Times New Roman"/>
          <w:color w:val="auto"/>
          <w:kern w:val="0"/>
          <w:sz w:val="32"/>
          <w:szCs w:val="32"/>
          <w:lang w:eastAsia="zh-CN"/>
        </w:rPr>
        <w:t>增长</w:t>
      </w:r>
      <w:r>
        <w:rPr>
          <w:rFonts w:hint="eastAsia" w:ascii="Times New Roman" w:hAnsi="Times New Roman" w:eastAsia="仿宋_GB2312" w:cs="Times New Roman"/>
          <w:color w:val="auto"/>
          <w:kern w:val="0"/>
          <w:sz w:val="32"/>
          <w:szCs w:val="32"/>
          <w:lang w:val="en-US" w:eastAsia="zh-CN"/>
        </w:rPr>
        <w:t>183.6</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w:t>
      </w:r>
      <w:r>
        <w:rPr>
          <w:rFonts w:ascii="Times New Roman" w:hAnsi="Times New Roman" w:eastAsia="仿宋_GB2312" w:cs="Times New Roman"/>
          <w:color w:val="auto"/>
          <w:kern w:val="0"/>
          <w:sz w:val="32"/>
          <w:szCs w:val="32"/>
        </w:rPr>
        <w:t>房地产中介服务企业</w:t>
      </w:r>
      <w:r>
        <w:rPr>
          <w:rFonts w:hint="eastAsia" w:ascii="Times New Roman" w:hAnsi="Times New Roman" w:eastAsia="仿宋_GB2312" w:cs="Times New Roman"/>
          <w:color w:val="auto"/>
          <w:sz w:val="32"/>
          <w:szCs w:val="32"/>
          <w:lang w:val="en-US" w:eastAsia="zh-CN"/>
        </w:rPr>
        <w:t>2223</w:t>
      </w:r>
      <w:r>
        <w:rPr>
          <w:rFonts w:ascii="Times New Roman" w:hAnsi="Times New Roman" w:eastAsia="仿宋_GB2312" w:cs="Times New Roman"/>
          <w:color w:val="auto"/>
          <w:kern w:val="0"/>
          <w:sz w:val="32"/>
          <w:szCs w:val="32"/>
        </w:rPr>
        <w:t>人，</w:t>
      </w:r>
      <w:r>
        <w:rPr>
          <w:rFonts w:hint="eastAsia" w:ascii="Times New Roman" w:hAnsi="Times New Roman" w:eastAsia="仿宋_GB2312" w:cs="Times New Roman"/>
          <w:color w:val="auto"/>
          <w:sz w:val="32"/>
          <w:szCs w:val="32"/>
          <w:lang w:eastAsia="zh-CN"/>
        </w:rPr>
        <w:t>增长</w:t>
      </w:r>
      <w:r>
        <w:rPr>
          <w:rFonts w:hint="eastAsia" w:ascii="Times New Roman" w:hAnsi="Times New Roman" w:eastAsia="仿宋_GB2312" w:cs="Times New Roman"/>
          <w:color w:val="auto"/>
          <w:sz w:val="32"/>
          <w:szCs w:val="32"/>
          <w:lang w:val="en-US" w:eastAsia="zh-CN"/>
        </w:rPr>
        <w:t>263.8</w:t>
      </w:r>
      <w:r>
        <w:rPr>
          <w:rFonts w:ascii="Times New Roman" w:hAnsi="Times New Roman" w:eastAsia="仿宋_GB2312" w:cs="Times New Roman"/>
          <w:color w:val="auto"/>
          <w:kern w:val="0"/>
          <w:sz w:val="32"/>
          <w:szCs w:val="32"/>
        </w:rPr>
        <w:t>%（详见表4-1</w:t>
      </w:r>
      <w:r>
        <w:rPr>
          <w:rFonts w:hint="eastAsia" w:ascii="Times New Roman" w:hAnsi="Times New Roman" w:eastAsia="仿宋_GB2312" w:cs="Times New Roman"/>
          <w:color w:val="auto"/>
          <w:kern w:val="0"/>
          <w:sz w:val="32"/>
          <w:szCs w:val="32"/>
          <w:lang w:val="en-US" w:eastAsia="zh-CN"/>
        </w:rPr>
        <w:t>2</w:t>
      </w:r>
      <w:r>
        <w:rPr>
          <w:rFonts w:ascii="Times New Roman" w:hAnsi="Times New Roman" w:eastAsia="仿宋_GB2312" w:cs="Times New Roman"/>
          <w:color w:val="auto"/>
          <w:kern w:val="0"/>
          <w:sz w:val="32"/>
          <w:szCs w:val="32"/>
        </w:rPr>
        <w:t>）。</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ascii="Times New Roman" w:hAnsi="Times New Roman" w:eastAsia="仿宋_GB2312" w:cs="Times New Roman"/>
          <w:color w:val="FF0000"/>
          <w:kern w:val="0"/>
          <w:sz w:val="32"/>
          <w:szCs w:val="32"/>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78"/>
        <w:gridCol w:w="2676"/>
        <w:gridCol w:w="25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2</w:t>
            </w:r>
            <w:r>
              <w:rPr>
                <w:rFonts w:ascii="黑体" w:hAnsi="黑体" w:eastAsia="黑体" w:cs="Times New Roman"/>
                <w:bCs/>
                <w:color w:val="auto"/>
                <w:kern w:val="0"/>
                <w:sz w:val="24"/>
              </w:rPr>
              <w:t>　按行业中类分组的房地产业企业法人单位和从业人员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078"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color w:val="auto"/>
                <w:kern w:val="0"/>
                <w:szCs w:val="21"/>
              </w:rPr>
              <w:t> </w:t>
            </w:r>
          </w:p>
        </w:tc>
        <w:tc>
          <w:tcPr>
            <w:tcW w:w="2676"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55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76" w:type="dxa"/>
            <w:tcBorders>
              <w:top w:val="single" w:color="auto" w:sz="4" w:space="0"/>
              <w:left w:val="single" w:color="auto" w:sz="4" w:space="0"/>
              <w:bottom w:val="nil"/>
              <w:right w:val="single" w:color="auto" w:sz="4" w:space="0"/>
            </w:tcBorders>
            <w:vAlign w:val="center"/>
          </w:tcPr>
          <w:p>
            <w:pPr>
              <w:keepNext w:val="0"/>
              <w:keepLines w:val="0"/>
              <w:widowControl/>
              <w:suppressLineNumbers w:val="0"/>
              <w:ind w:right="985" w:rightChars="469"/>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357</w:t>
            </w:r>
          </w:p>
        </w:tc>
        <w:tc>
          <w:tcPr>
            <w:tcW w:w="2552" w:type="dxa"/>
            <w:tcBorders>
              <w:top w:val="single" w:color="auto" w:sz="4" w:space="0"/>
              <w:left w:val="single" w:color="auto" w:sz="4" w:space="0"/>
              <w:bottom w:val="nil"/>
              <w:right w:val="nil"/>
            </w:tcBorders>
            <w:vAlign w:val="center"/>
          </w:tcPr>
          <w:p>
            <w:pPr>
              <w:keepNext w:val="0"/>
              <w:keepLines w:val="0"/>
              <w:widowControl/>
              <w:suppressLineNumbers w:val="0"/>
              <w:ind w:right="985" w:rightChars="469"/>
              <w:jc w:val="right"/>
              <w:textAlignment w:val="center"/>
              <w:rPr>
                <w:rFonts w:ascii="Times New Roman" w:hAnsi="Times New Roman" w:cs="Times New Roman"/>
                <w:b/>
                <w:color w:val="auto"/>
                <w:szCs w:val="24"/>
              </w:rPr>
            </w:pPr>
            <w:r>
              <w:rPr>
                <w:rFonts w:hint="eastAsia" w:ascii="Times New Roman" w:hAnsi="Times New Roman" w:cs="Times New Roman"/>
                <w:b/>
                <w:color w:val="auto"/>
                <w:szCs w:val="24"/>
                <w:lang w:val="en-US" w:eastAsia="zh-CN"/>
              </w:rPr>
              <w:t>8168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房地产开发经营</w:t>
            </w:r>
          </w:p>
        </w:tc>
        <w:tc>
          <w:tcPr>
            <w:tcW w:w="2676" w:type="dxa"/>
            <w:tcBorders>
              <w:top w:val="nil"/>
              <w:left w:val="single" w:color="auto" w:sz="4" w:space="0"/>
              <w:bottom w:val="nil"/>
              <w:right w:val="single" w:color="auto" w:sz="4" w:space="0"/>
            </w:tcBorders>
            <w:vAlign w:val="center"/>
          </w:tcPr>
          <w:p>
            <w:pPr>
              <w:ind w:right="985" w:rightChars="469"/>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54</w:t>
            </w:r>
          </w:p>
        </w:tc>
        <w:tc>
          <w:tcPr>
            <w:tcW w:w="2552" w:type="dxa"/>
            <w:tcBorders>
              <w:top w:val="nil"/>
              <w:left w:val="single" w:color="auto" w:sz="4" w:space="0"/>
              <w:bottom w:val="nil"/>
              <w:right w:val="nil"/>
            </w:tcBorders>
            <w:vAlign w:val="center"/>
          </w:tcPr>
          <w:p>
            <w:pPr>
              <w:ind w:right="985" w:rightChars="469"/>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1286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物业管理</w:t>
            </w:r>
          </w:p>
        </w:tc>
        <w:tc>
          <w:tcPr>
            <w:tcW w:w="2676" w:type="dxa"/>
            <w:tcBorders>
              <w:top w:val="nil"/>
              <w:left w:val="single" w:color="auto" w:sz="4" w:space="0"/>
              <w:bottom w:val="nil"/>
              <w:right w:val="single" w:color="auto" w:sz="4" w:space="0"/>
            </w:tcBorders>
            <w:vAlign w:val="center"/>
          </w:tcPr>
          <w:p>
            <w:pPr>
              <w:ind w:right="985" w:rightChars="469"/>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102</w:t>
            </w:r>
          </w:p>
        </w:tc>
        <w:tc>
          <w:tcPr>
            <w:tcW w:w="2552" w:type="dxa"/>
            <w:tcBorders>
              <w:top w:val="nil"/>
              <w:left w:val="single" w:color="auto" w:sz="4" w:space="0"/>
              <w:bottom w:val="nil"/>
              <w:right w:val="nil"/>
            </w:tcBorders>
            <w:vAlign w:val="center"/>
          </w:tcPr>
          <w:p>
            <w:pPr>
              <w:ind w:right="985" w:rightChars="469"/>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4279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房地产中介服务</w:t>
            </w:r>
          </w:p>
        </w:tc>
        <w:tc>
          <w:tcPr>
            <w:tcW w:w="2676" w:type="dxa"/>
            <w:tcBorders>
              <w:top w:val="nil"/>
              <w:left w:val="single" w:color="auto" w:sz="4" w:space="0"/>
              <w:bottom w:val="nil"/>
              <w:right w:val="single" w:color="auto" w:sz="4" w:space="0"/>
            </w:tcBorders>
            <w:vAlign w:val="center"/>
          </w:tcPr>
          <w:p>
            <w:pPr>
              <w:ind w:right="985" w:rightChars="469"/>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172</w:t>
            </w:r>
          </w:p>
        </w:tc>
        <w:tc>
          <w:tcPr>
            <w:tcW w:w="2552" w:type="dxa"/>
            <w:tcBorders>
              <w:top w:val="nil"/>
              <w:left w:val="single" w:color="auto" w:sz="4" w:space="0"/>
              <w:bottom w:val="nil"/>
              <w:right w:val="nil"/>
            </w:tcBorders>
            <w:vAlign w:val="center"/>
          </w:tcPr>
          <w:p>
            <w:pPr>
              <w:ind w:right="985" w:rightChars="469"/>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2223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widowControl/>
              <w:spacing w:line="240" w:lineRule="atLeast"/>
              <w:ind w:left="57" w:right="57" w:firstLine="210" w:firstLineChars="100"/>
              <w:rPr>
                <w:rFonts w:ascii="Times New Roman" w:hAnsi="Times New Roman" w:cs="Times New Roman"/>
                <w:color w:val="auto"/>
                <w:kern w:val="0"/>
                <w:sz w:val="18"/>
                <w:szCs w:val="18"/>
              </w:rPr>
            </w:pPr>
            <w:r>
              <w:rPr>
                <w:rFonts w:ascii="Times New Roman" w:hAnsi="Times New Roman" w:cs="Times New Roman"/>
                <w:color w:val="auto"/>
                <w:kern w:val="0"/>
                <w:szCs w:val="21"/>
              </w:rPr>
              <w:t>房地产租赁经营</w:t>
            </w:r>
          </w:p>
        </w:tc>
        <w:tc>
          <w:tcPr>
            <w:tcW w:w="2676" w:type="dxa"/>
            <w:tcBorders>
              <w:top w:val="nil"/>
              <w:left w:val="single" w:color="auto" w:sz="4" w:space="0"/>
              <w:bottom w:val="nil"/>
              <w:right w:val="single" w:color="auto" w:sz="4" w:space="0"/>
            </w:tcBorders>
            <w:vAlign w:val="center"/>
          </w:tcPr>
          <w:p>
            <w:pPr>
              <w:ind w:right="985" w:rightChars="469"/>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10</w:t>
            </w:r>
          </w:p>
        </w:tc>
        <w:tc>
          <w:tcPr>
            <w:tcW w:w="2552" w:type="dxa"/>
            <w:tcBorders>
              <w:top w:val="nil"/>
              <w:left w:val="single" w:color="auto" w:sz="4" w:space="0"/>
              <w:bottom w:val="nil"/>
              <w:right w:val="nil"/>
            </w:tcBorders>
            <w:vAlign w:val="center"/>
          </w:tcPr>
          <w:p>
            <w:pPr>
              <w:ind w:right="985" w:rightChars="469"/>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201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其他房地产业</w:t>
            </w:r>
          </w:p>
        </w:tc>
        <w:tc>
          <w:tcPr>
            <w:tcW w:w="2676" w:type="dxa"/>
            <w:tcBorders>
              <w:top w:val="nil"/>
              <w:left w:val="single" w:color="auto" w:sz="4" w:space="0"/>
              <w:bottom w:val="single" w:color="auto" w:sz="12" w:space="0"/>
              <w:right w:val="single" w:color="auto" w:sz="4" w:space="0"/>
            </w:tcBorders>
            <w:vAlign w:val="center"/>
          </w:tcPr>
          <w:p>
            <w:pPr>
              <w:ind w:right="985" w:rightChars="469"/>
              <w:jc w:val="right"/>
              <w:rPr>
                <w:rFonts w:ascii="Times New Roman" w:hAnsi="Times New Roman" w:cs="Times New Roman"/>
                <w:color w:val="auto"/>
                <w:szCs w:val="24"/>
              </w:rPr>
            </w:pPr>
            <w:r>
              <w:rPr>
                <w:rFonts w:hint="eastAsia" w:ascii="Times New Roman" w:hAnsi="Times New Roman" w:cs="Times New Roman"/>
                <w:color w:val="auto"/>
                <w:szCs w:val="24"/>
                <w:lang w:val="en-US" w:eastAsia="zh-CN"/>
              </w:rPr>
              <w:t>19</w:t>
            </w:r>
          </w:p>
        </w:tc>
        <w:tc>
          <w:tcPr>
            <w:tcW w:w="2552" w:type="dxa"/>
            <w:tcBorders>
              <w:top w:val="nil"/>
              <w:left w:val="single" w:color="auto" w:sz="4" w:space="0"/>
              <w:bottom w:val="single" w:color="auto" w:sz="12" w:space="0"/>
              <w:right w:val="nil"/>
            </w:tcBorders>
            <w:vAlign w:val="center"/>
          </w:tcPr>
          <w:p>
            <w:pPr>
              <w:ind w:right="985" w:rightChars="469"/>
              <w:jc w:val="right"/>
              <w:rPr>
                <w:rFonts w:hint="eastAsia" w:ascii="Times New Roman" w:hAnsi="Times New Roman" w:cs="Times New Roman"/>
                <w:color w:val="auto"/>
                <w:szCs w:val="24"/>
                <w:lang w:val="en-US" w:eastAsia="zh-CN"/>
              </w:rPr>
            </w:pPr>
            <w:r>
              <w:rPr>
                <w:rFonts w:hint="eastAsia" w:ascii="Times New Roman" w:hAnsi="Times New Roman" w:cs="Times New Roman"/>
                <w:color w:val="auto"/>
                <w:szCs w:val="24"/>
                <w:lang w:val="en-US" w:eastAsia="zh-CN"/>
              </w:rPr>
              <w:t>179</w:t>
            </w:r>
          </w:p>
        </w:tc>
      </w:tr>
    </w:tbl>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房地产业企业法人单位的资产总计为</w:t>
      </w:r>
      <w:r>
        <w:rPr>
          <w:rFonts w:hint="eastAsia" w:ascii="Times New Roman" w:hAnsi="Times New Roman" w:eastAsia="仿宋_GB2312" w:cs="Times New Roman"/>
          <w:color w:val="auto"/>
          <w:sz w:val="32"/>
          <w:szCs w:val="32"/>
          <w:lang w:val="en-US" w:eastAsia="zh-CN"/>
        </w:rPr>
        <w:t>136.18</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sz w:val="32"/>
          <w:szCs w:val="32"/>
          <w:lang w:val="en-US" w:eastAsia="zh-CN"/>
        </w:rPr>
        <w:t>12.0</w:t>
      </w:r>
      <w:r>
        <w:rPr>
          <w:rFonts w:ascii="Times New Roman" w:hAnsi="Times New Roman" w:eastAsia="仿宋_GB2312" w:cs="Times New Roman"/>
          <w:color w:val="auto"/>
          <w:kern w:val="0"/>
          <w:sz w:val="32"/>
          <w:szCs w:val="32"/>
        </w:rPr>
        <w:t>%。其中，房地产开发企业</w:t>
      </w:r>
      <w:r>
        <w:rPr>
          <w:rFonts w:hint="eastAsia" w:ascii="Times New Roman" w:hAnsi="Times New Roman" w:eastAsia="仿宋_GB2312" w:cs="Times New Roman"/>
          <w:color w:val="auto"/>
          <w:sz w:val="32"/>
          <w:szCs w:val="32"/>
          <w:lang w:val="en-US" w:eastAsia="zh-CN"/>
        </w:rPr>
        <w:t>127.26</w:t>
      </w:r>
      <w:r>
        <w:rPr>
          <w:rFonts w:ascii="Times New Roman" w:hAnsi="Times New Roman" w:eastAsia="仿宋_GB2312" w:cs="Times New Roman"/>
          <w:color w:val="auto"/>
          <w:kern w:val="0"/>
          <w:sz w:val="32"/>
          <w:szCs w:val="32"/>
        </w:rPr>
        <w:t>亿元，物业管理企业</w:t>
      </w:r>
      <w:r>
        <w:rPr>
          <w:rFonts w:hint="eastAsia" w:ascii="Times New Roman" w:hAnsi="Times New Roman" w:eastAsia="仿宋_GB2312" w:cs="Times New Roman"/>
          <w:color w:val="auto"/>
          <w:sz w:val="32"/>
          <w:szCs w:val="32"/>
          <w:lang w:val="en-US" w:eastAsia="zh-CN"/>
        </w:rPr>
        <w:t>5.6</w:t>
      </w:r>
      <w:r>
        <w:rPr>
          <w:rFonts w:ascii="Times New Roman" w:hAnsi="Times New Roman" w:eastAsia="仿宋_GB2312" w:cs="Times New Roman"/>
          <w:color w:val="auto"/>
          <w:kern w:val="0"/>
          <w:sz w:val="32"/>
          <w:szCs w:val="32"/>
        </w:rPr>
        <w:t>亿元，房地产中介服务企业</w:t>
      </w:r>
      <w:r>
        <w:rPr>
          <w:rFonts w:hint="eastAsia" w:ascii="Times New Roman" w:hAnsi="Times New Roman" w:eastAsia="仿宋_GB2312" w:cs="Times New Roman"/>
          <w:color w:val="auto"/>
          <w:sz w:val="32"/>
          <w:szCs w:val="32"/>
          <w:lang w:val="en-US" w:eastAsia="zh-CN"/>
        </w:rPr>
        <w:t>1.31</w:t>
      </w:r>
      <w:r>
        <w:rPr>
          <w:rFonts w:ascii="Times New Roman" w:hAnsi="Times New Roman" w:eastAsia="仿宋_GB2312" w:cs="Times New Roman"/>
          <w:color w:val="auto"/>
          <w:kern w:val="0"/>
          <w:sz w:val="32"/>
          <w:szCs w:val="32"/>
        </w:rPr>
        <w:t>亿元，分别比2013年末增长</w:t>
      </w:r>
      <w:r>
        <w:rPr>
          <w:rFonts w:hint="eastAsia" w:ascii="Times New Roman" w:hAnsi="Times New Roman" w:eastAsia="仿宋_GB2312" w:cs="Times New Roman"/>
          <w:color w:val="auto"/>
          <w:sz w:val="32"/>
          <w:szCs w:val="32"/>
          <w:lang w:val="en-US" w:eastAsia="zh-CN"/>
        </w:rPr>
        <w:t>7.0</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sz w:val="32"/>
          <w:szCs w:val="32"/>
          <w:lang w:val="en-US" w:eastAsia="zh-CN"/>
        </w:rPr>
        <w:t>711.6</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sz w:val="32"/>
          <w:szCs w:val="32"/>
          <w:lang w:val="en-US" w:eastAsia="zh-CN"/>
        </w:rPr>
        <w:t>26.0</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114.98</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71.67</w:t>
      </w:r>
      <w:r>
        <w:rPr>
          <w:rFonts w:ascii="Times New Roman" w:hAnsi="Times New Roman" w:eastAsia="仿宋_GB2312" w:cs="Times New Roman"/>
          <w:color w:val="auto"/>
          <w:kern w:val="0"/>
          <w:sz w:val="32"/>
          <w:szCs w:val="32"/>
        </w:rPr>
        <w:t>亿元（详见表4-1</w:t>
      </w:r>
      <w:r>
        <w:rPr>
          <w:rFonts w:hint="eastAsia" w:ascii="Times New Roman" w:hAnsi="Times New Roman" w:eastAsia="仿宋_GB2312" w:cs="Times New Roman"/>
          <w:color w:val="auto"/>
          <w:kern w:val="0"/>
          <w:sz w:val="32"/>
          <w:szCs w:val="32"/>
          <w:lang w:val="en-US" w:eastAsia="zh-CN"/>
        </w:rPr>
        <w:t>3</w:t>
      </w:r>
      <w:r>
        <w:rPr>
          <w:rFonts w:ascii="Times New Roman" w:hAnsi="Times New Roman" w:eastAsia="仿宋_GB2312" w:cs="Times New Roman"/>
          <w:color w:val="auto"/>
          <w:kern w:val="0"/>
          <w:sz w:val="32"/>
          <w:szCs w:val="32"/>
        </w:rPr>
        <w:t>）。</w:t>
      </w:r>
    </w:p>
    <w:tbl>
      <w:tblPr>
        <w:tblStyle w:val="5"/>
        <w:tblpPr w:leftFromText="180" w:rightFromText="180" w:vertAnchor="text" w:horzAnchor="page" w:tblpX="1774" w:tblpY="588"/>
        <w:tblOverlap w:val="never"/>
        <w:tblW w:w="8306"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686"/>
        <w:gridCol w:w="1540"/>
        <w:gridCol w:w="1540"/>
        <w:gridCol w:w="1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trPr>
        <w:tc>
          <w:tcPr>
            <w:tcW w:w="8306"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3</w:t>
            </w:r>
            <w:r>
              <w:rPr>
                <w:rFonts w:ascii="黑体" w:hAnsi="黑体" w:eastAsia="黑体" w:cs="Times New Roman"/>
                <w:bCs/>
                <w:color w:val="auto"/>
                <w:kern w:val="0"/>
                <w:sz w:val="24"/>
              </w:rPr>
              <w:t>　按行业中类分组的房地产业企业法人单位主要经济指标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trPr>
        <w:tc>
          <w:tcPr>
            <w:tcW w:w="3686"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top"/>
          </w:tcPr>
          <w:p>
            <w:pPr>
              <w:keepNext w:val="0"/>
              <w:keepLines w:val="0"/>
              <w:widowControl/>
              <w:suppressLineNumbers w:val="0"/>
              <w:ind w:right="468" w:rightChars="223"/>
              <w:jc w:val="right"/>
              <w:textAlignment w:val="center"/>
              <w:rPr>
                <w:rFonts w:hint="eastAsia" w:ascii="Times New Roman" w:hAnsi="Times New Roman" w:cs="Times New Roman"/>
                <w:b/>
                <w:color w:val="auto"/>
                <w:szCs w:val="24"/>
                <w:lang w:val="en-US" w:eastAsia="zh-CN"/>
              </w:rPr>
            </w:pPr>
            <w:r>
              <w:rPr>
                <w:rFonts w:hint="default" w:ascii="Times New Roman" w:hAnsi="Times New Roman" w:cs="Times New Roman"/>
                <w:b/>
                <w:color w:val="auto"/>
                <w:szCs w:val="24"/>
                <w:lang w:val="en-US" w:eastAsia="zh-CN"/>
              </w:rPr>
              <w:t xml:space="preserve">136.18 </w:t>
            </w:r>
          </w:p>
        </w:tc>
        <w:tc>
          <w:tcPr>
            <w:tcW w:w="1540" w:type="dxa"/>
            <w:tcBorders>
              <w:top w:val="single" w:color="auto" w:sz="4" w:space="0"/>
              <w:left w:val="single" w:color="auto" w:sz="4" w:space="0"/>
              <w:bottom w:val="nil"/>
              <w:right w:val="single" w:color="auto" w:sz="4" w:space="0"/>
            </w:tcBorders>
            <w:vAlign w:val="top"/>
          </w:tcPr>
          <w:p>
            <w:pPr>
              <w:keepNext w:val="0"/>
              <w:keepLines w:val="0"/>
              <w:widowControl/>
              <w:suppressLineNumbers w:val="0"/>
              <w:ind w:right="468" w:rightChars="223"/>
              <w:jc w:val="right"/>
              <w:textAlignment w:val="center"/>
              <w:rPr>
                <w:rFonts w:hint="eastAsia" w:ascii="Times New Roman" w:hAnsi="Times New Roman" w:cs="Times New Roman"/>
                <w:b/>
                <w:color w:val="auto"/>
                <w:szCs w:val="24"/>
                <w:lang w:val="en-US" w:eastAsia="zh-CN"/>
              </w:rPr>
            </w:pPr>
            <w:r>
              <w:rPr>
                <w:rFonts w:hint="default" w:ascii="Times New Roman" w:hAnsi="Times New Roman" w:cs="Times New Roman"/>
                <w:b/>
                <w:color w:val="auto"/>
                <w:szCs w:val="24"/>
                <w:lang w:val="en-US" w:eastAsia="zh-CN"/>
              </w:rPr>
              <w:t xml:space="preserve">114.98 </w:t>
            </w:r>
          </w:p>
        </w:tc>
        <w:tc>
          <w:tcPr>
            <w:tcW w:w="1540" w:type="dxa"/>
            <w:tcBorders>
              <w:top w:val="single" w:color="auto" w:sz="4" w:space="0"/>
              <w:left w:val="single" w:color="auto" w:sz="4" w:space="0"/>
              <w:bottom w:val="nil"/>
              <w:right w:val="nil"/>
            </w:tcBorders>
            <w:vAlign w:val="top"/>
          </w:tcPr>
          <w:p>
            <w:pPr>
              <w:keepNext w:val="0"/>
              <w:keepLines w:val="0"/>
              <w:widowControl/>
              <w:suppressLineNumbers w:val="0"/>
              <w:ind w:right="468" w:rightChars="223"/>
              <w:jc w:val="right"/>
              <w:textAlignment w:val="center"/>
              <w:rPr>
                <w:rFonts w:hint="eastAsia" w:ascii="Times New Roman" w:hAnsi="Times New Roman" w:cs="Times New Roman"/>
                <w:b/>
                <w:color w:val="auto"/>
                <w:szCs w:val="24"/>
                <w:lang w:val="en-US" w:eastAsia="zh-CN"/>
              </w:rPr>
            </w:pPr>
            <w:r>
              <w:rPr>
                <w:rFonts w:hint="default" w:ascii="Times New Roman" w:hAnsi="Times New Roman" w:cs="Times New Roman"/>
                <w:b/>
                <w:color w:val="auto"/>
                <w:szCs w:val="24"/>
                <w:lang w:val="en-US" w:eastAsia="zh-CN"/>
              </w:rPr>
              <w:t xml:space="preserve">71.67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房地产开发经营</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127.26 </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111.71 </w:t>
            </w:r>
          </w:p>
        </w:tc>
        <w:tc>
          <w:tcPr>
            <w:tcW w:w="1540" w:type="dxa"/>
            <w:tcBorders>
              <w:top w:val="nil"/>
              <w:left w:val="single" w:color="auto" w:sz="4" w:space="0"/>
              <w:bottom w:val="nil"/>
              <w:right w:val="nil"/>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64.49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物业管理</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5.60 </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2.07 </w:t>
            </w:r>
          </w:p>
        </w:tc>
        <w:tc>
          <w:tcPr>
            <w:tcW w:w="1540" w:type="dxa"/>
            <w:tcBorders>
              <w:top w:val="nil"/>
              <w:left w:val="single" w:color="auto" w:sz="4" w:space="0"/>
              <w:bottom w:val="nil"/>
              <w:right w:val="nil"/>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3.28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房地产中介服务</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1.31 </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0.35 </w:t>
            </w:r>
          </w:p>
        </w:tc>
        <w:tc>
          <w:tcPr>
            <w:tcW w:w="1540" w:type="dxa"/>
            <w:tcBorders>
              <w:top w:val="nil"/>
              <w:left w:val="single" w:color="auto" w:sz="4" w:space="0"/>
              <w:bottom w:val="nil"/>
              <w:right w:val="nil"/>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3.33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房地产租赁经营</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1.92 </w:t>
            </w:r>
          </w:p>
        </w:tc>
        <w:tc>
          <w:tcPr>
            <w:tcW w:w="1540" w:type="dxa"/>
            <w:tcBorders>
              <w:top w:val="nil"/>
              <w:left w:val="single" w:color="auto" w:sz="4" w:space="0"/>
              <w:bottom w:val="nil"/>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0.84 </w:t>
            </w:r>
          </w:p>
        </w:tc>
        <w:tc>
          <w:tcPr>
            <w:tcW w:w="1540" w:type="dxa"/>
            <w:tcBorders>
              <w:top w:val="nil"/>
              <w:left w:val="single" w:color="auto" w:sz="4" w:space="0"/>
              <w:bottom w:val="nil"/>
              <w:right w:val="nil"/>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0.33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trPr>
        <w:tc>
          <w:tcPr>
            <w:tcW w:w="3686" w:type="dxa"/>
            <w:tcBorders>
              <w:top w:val="nil"/>
              <w:left w:val="nil"/>
              <w:bottom w:val="single" w:color="auto" w:sz="12" w:space="0"/>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w:t>
            </w:r>
            <w:r>
              <w:rPr>
                <w:rFonts w:ascii="Times New Roman" w:hAnsi="Times New Roman" w:cs="Times New Roman"/>
                <w:color w:val="auto"/>
                <w:kern w:val="0"/>
                <w:szCs w:val="21"/>
              </w:rPr>
              <w:t>其他房地产业</w:t>
            </w:r>
          </w:p>
        </w:tc>
        <w:tc>
          <w:tcPr>
            <w:tcW w:w="1540" w:type="dxa"/>
            <w:tcBorders>
              <w:top w:val="nil"/>
              <w:left w:val="single" w:color="auto" w:sz="4" w:space="0"/>
              <w:bottom w:val="single" w:color="auto" w:sz="12" w:space="0"/>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0.09 </w:t>
            </w:r>
          </w:p>
        </w:tc>
        <w:tc>
          <w:tcPr>
            <w:tcW w:w="1540" w:type="dxa"/>
            <w:tcBorders>
              <w:top w:val="nil"/>
              <w:left w:val="single" w:color="auto" w:sz="4" w:space="0"/>
              <w:bottom w:val="single" w:color="auto" w:sz="12" w:space="0"/>
              <w:right w:val="single" w:color="auto" w:sz="4" w:space="0"/>
            </w:tcBorders>
            <w:vAlign w:val="top"/>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0.00 </w:t>
            </w:r>
          </w:p>
        </w:tc>
        <w:tc>
          <w:tcPr>
            <w:tcW w:w="1540" w:type="dxa"/>
            <w:tcBorders>
              <w:top w:val="nil"/>
              <w:left w:val="single" w:color="auto" w:sz="4" w:space="0"/>
              <w:bottom w:val="single" w:color="auto" w:sz="12" w:space="0"/>
              <w:right w:val="nil"/>
            </w:tcBorders>
            <w:vAlign w:val="bottom"/>
          </w:tcPr>
          <w:p>
            <w:pPr>
              <w:ind w:right="468" w:rightChars="223"/>
              <w:jc w:val="right"/>
              <w:rPr>
                <w:rFonts w:hint="eastAsia" w:ascii="Times New Roman" w:hAnsi="Times New Roman" w:cs="Times New Roman"/>
                <w:color w:val="auto"/>
                <w:szCs w:val="24"/>
                <w:lang w:val="en-US" w:eastAsia="zh-CN"/>
              </w:rPr>
            </w:pPr>
            <w:r>
              <w:rPr>
                <w:rFonts w:hint="default" w:ascii="Times New Roman" w:hAnsi="Times New Roman" w:cs="Times New Roman"/>
                <w:color w:val="auto"/>
                <w:szCs w:val="24"/>
                <w:lang w:val="en-US" w:eastAsia="zh-CN"/>
              </w:rPr>
              <w:t xml:space="preserve">0.25 </w:t>
            </w:r>
          </w:p>
        </w:tc>
      </w:tr>
    </w:tbl>
    <w:p>
      <w:pPr>
        <w:widowControl/>
        <w:spacing w:line="600" w:lineRule="exact"/>
        <w:ind w:firstLine="640" w:firstLineChars="200"/>
        <w:jc w:val="left"/>
        <w:rPr>
          <w:rFonts w:ascii="Times New Roman" w:hAnsi="Times New Roman" w:eastAsia="黑体" w:cs="Times New Roman"/>
          <w:color w:val="FF0000"/>
          <w:kern w:val="0"/>
          <w:sz w:val="32"/>
          <w:szCs w:val="32"/>
        </w:rPr>
      </w:pPr>
    </w:p>
    <w:p>
      <w:pPr>
        <w:widowControl/>
        <w:spacing w:line="600" w:lineRule="exact"/>
        <w:ind w:firstLine="640" w:firstLineChars="200"/>
        <w:jc w:val="left"/>
        <w:rPr>
          <w:rFonts w:ascii="Times New Roman" w:hAnsi="Times New Roman" w:eastAsia="黑体" w:cs="Times New Roman"/>
          <w:color w:val="auto"/>
          <w:kern w:val="0"/>
          <w:sz w:val="32"/>
          <w:szCs w:val="32"/>
        </w:rPr>
      </w:pPr>
      <w:r>
        <w:rPr>
          <w:rFonts w:hint="eastAsia" w:ascii="Times New Roman" w:hAnsi="Times New Roman" w:eastAsia="黑体" w:cs="Times New Roman"/>
          <w:color w:val="auto"/>
          <w:kern w:val="0"/>
          <w:sz w:val="32"/>
          <w:szCs w:val="32"/>
          <w:lang w:eastAsia="zh-CN"/>
        </w:rPr>
        <w:t>六</w:t>
      </w:r>
      <w:r>
        <w:rPr>
          <w:rFonts w:ascii="Times New Roman" w:hAnsi="Times New Roman" w:eastAsia="黑体" w:cs="Times New Roman"/>
          <w:color w:val="auto"/>
          <w:kern w:val="0"/>
          <w:sz w:val="32"/>
          <w:szCs w:val="32"/>
        </w:rPr>
        <w:t>、租赁和商务服务业</w:t>
      </w: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（一）企业法人单位数和从业人员</w:t>
      </w:r>
      <w:r>
        <w:rPr>
          <w:rFonts w:ascii="Times New Roman" w:hAnsi="Times New Roman" w:eastAsia="仿宋_GB2312" w:cs="Times New Roman"/>
          <w:color w:val="auto"/>
          <w:kern w:val="0"/>
          <w:sz w:val="32"/>
          <w:szCs w:val="32"/>
        </w:rPr>
        <w:t>。</w:t>
      </w:r>
    </w:p>
    <w:p>
      <w:pPr>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2018年末，全</w:t>
      </w:r>
      <w:r>
        <w:rPr>
          <w:rFonts w:hint="eastAsia" w:ascii="Times New Roman" w:hAnsi="Times New Roman" w:eastAsia="仿宋_GB2312" w:cs="Times New Roman"/>
          <w:color w:val="auto"/>
          <w:kern w:val="0"/>
          <w:sz w:val="32"/>
          <w:szCs w:val="32"/>
          <w:lang w:eastAsia="zh-CN"/>
        </w:rPr>
        <w:t>区</w:t>
      </w:r>
      <w:r>
        <w:rPr>
          <w:rFonts w:ascii="Times New Roman" w:hAnsi="Times New Roman" w:eastAsia="仿宋_GB2312" w:cs="Times New Roman"/>
          <w:color w:val="auto"/>
          <w:kern w:val="0"/>
          <w:sz w:val="32"/>
          <w:szCs w:val="32"/>
        </w:rPr>
        <w:t>共有租赁和商务服务业企业法人单位</w:t>
      </w:r>
      <w:r>
        <w:rPr>
          <w:rFonts w:hint="eastAsia" w:ascii="Times New Roman" w:hAnsi="Times New Roman" w:eastAsia="仿宋_GB2312" w:cs="Times New Roman"/>
          <w:color w:val="auto"/>
          <w:sz w:val="32"/>
          <w:szCs w:val="32"/>
          <w:lang w:val="en-US" w:eastAsia="zh-CN"/>
        </w:rPr>
        <w:t>3309</w:t>
      </w:r>
      <w:r>
        <w:rPr>
          <w:rFonts w:ascii="Times New Roman" w:hAnsi="Times New Roman" w:eastAsia="仿宋_GB2312" w:cs="Times New Roman"/>
          <w:color w:val="auto"/>
          <w:kern w:val="0"/>
          <w:sz w:val="32"/>
          <w:szCs w:val="32"/>
        </w:rPr>
        <w:t>个，从业人员</w:t>
      </w:r>
      <w:r>
        <w:rPr>
          <w:rFonts w:hint="eastAsia" w:ascii="Times New Roman" w:hAnsi="Times New Roman" w:eastAsia="仿宋_GB2312" w:cs="Times New Roman"/>
          <w:color w:val="auto"/>
          <w:sz w:val="32"/>
          <w:szCs w:val="32"/>
          <w:lang w:val="en-US" w:eastAsia="zh-CN"/>
        </w:rPr>
        <w:t>41399</w:t>
      </w:r>
      <w:r>
        <w:rPr>
          <w:rFonts w:ascii="Times New Roman" w:hAnsi="Times New Roman" w:eastAsia="仿宋_GB2312" w:cs="Times New Roman"/>
          <w:color w:val="auto"/>
          <w:kern w:val="0"/>
          <w:sz w:val="32"/>
          <w:szCs w:val="32"/>
        </w:rPr>
        <w:t>人，分别比2013年末增长</w:t>
      </w:r>
      <w:r>
        <w:rPr>
          <w:rFonts w:hint="eastAsia" w:ascii="Times New Roman" w:hAnsi="Times New Roman" w:eastAsia="仿宋_GB2312" w:cs="Times New Roman"/>
          <w:color w:val="auto"/>
          <w:sz w:val="32"/>
          <w:szCs w:val="32"/>
          <w:lang w:val="en-US" w:eastAsia="zh-CN"/>
        </w:rPr>
        <w:t>1490.9</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885.5</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在租赁和商务服务业企业法人单位中，租赁业占</w:t>
      </w:r>
      <w:r>
        <w:rPr>
          <w:rFonts w:hint="eastAsia" w:ascii="Times New Roman" w:hAnsi="Times New Roman" w:eastAsia="仿宋_GB2312" w:cs="Times New Roman"/>
          <w:color w:val="auto"/>
          <w:kern w:val="0"/>
          <w:sz w:val="32"/>
          <w:szCs w:val="32"/>
          <w:lang w:val="en-US" w:eastAsia="zh-CN"/>
        </w:rPr>
        <w:t>10</w:t>
      </w:r>
      <w:r>
        <w:rPr>
          <w:rFonts w:ascii="Times New Roman" w:hAnsi="Times New Roman" w:eastAsia="仿宋_GB2312" w:cs="Times New Roman"/>
          <w:color w:val="auto"/>
          <w:kern w:val="0"/>
          <w:sz w:val="32"/>
          <w:szCs w:val="32"/>
        </w:rPr>
        <w:t>%，商务服务业占</w:t>
      </w:r>
      <w:r>
        <w:rPr>
          <w:rFonts w:hint="eastAsia" w:ascii="Times New Roman" w:hAnsi="Times New Roman" w:eastAsia="仿宋_GB2312" w:cs="Times New Roman"/>
          <w:color w:val="auto"/>
          <w:sz w:val="32"/>
          <w:szCs w:val="32"/>
          <w:lang w:val="en-US" w:eastAsia="zh-CN"/>
        </w:rPr>
        <w:t>90</w:t>
      </w:r>
      <w:r>
        <w:rPr>
          <w:rFonts w:ascii="Times New Roman" w:hAnsi="Times New Roman" w:eastAsia="仿宋_GB2312" w:cs="Times New Roman"/>
          <w:color w:val="auto"/>
          <w:kern w:val="0"/>
          <w:sz w:val="32"/>
          <w:szCs w:val="32"/>
        </w:rPr>
        <w:t>%。在租赁和商务服务业企业法人单位从业人员中，租赁业占</w:t>
      </w:r>
      <w:r>
        <w:rPr>
          <w:rFonts w:hint="eastAsia" w:ascii="Times New Roman" w:hAnsi="Times New Roman" w:eastAsia="仿宋_GB2312" w:cs="Times New Roman"/>
          <w:color w:val="auto"/>
          <w:sz w:val="32"/>
          <w:szCs w:val="32"/>
          <w:lang w:val="en-US" w:eastAsia="zh-CN"/>
        </w:rPr>
        <w:t>9.7</w:t>
      </w:r>
      <w:r>
        <w:rPr>
          <w:rFonts w:ascii="Times New Roman" w:hAnsi="Times New Roman" w:eastAsia="仿宋_GB2312" w:cs="Times New Roman"/>
          <w:color w:val="auto"/>
          <w:kern w:val="0"/>
          <w:sz w:val="32"/>
          <w:szCs w:val="32"/>
        </w:rPr>
        <w:t>%，商务服务业占</w:t>
      </w:r>
      <w:r>
        <w:rPr>
          <w:rFonts w:hint="eastAsia" w:ascii="Times New Roman" w:hAnsi="Times New Roman" w:eastAsia="仿宋_GB2312" w:cs="Times New Roman"/>
          <w:color w:val="auto"/>
          <w:sz w:val="32"/>
          <w:szCs w:val="32"/>
          <w:lang w:val="en-US" w:eastAsia="zh-CN"/>
        </w:rPr>
        <w:t>90.3</w:t>
      </w:r>
      <w:r>
        <w:rPr>
          <w:rFonts w:ascii="Times New Roman" w:hAnsi="Times New Roman" w:eastAsia="仿宋_GB2312" w:cs="Times New Roman"/>
          <w:color w:val="auto"/>
          <w:kern w:val="0"/>
          <w:sz w:val="32"/>
          <w:szCs w:val="32"/>
        </w:rPr>
        <w:t>%（详见表4-1</w:t>
      </w:r>
      <w:r>
        <w:rPr>
          <w:rFonts w:hint="eastAsia" w:ascii="Times New Roman" w:hAnsi="Times New Roman" w:eastAsia="仿宋_GB2312" w:cs="Times New Roman"/>
          <w:color w:val="auto"/>
          <w:kern w:val="0"/>
          <w:sz w:val="32"/>
          <w:szCs w:val="32"/>
          <w:lang w:val="en-US" w:eastAsia="zh-CN"/>
        </w:rPr>
        <w:t>4</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78"/>
        <w:gridCol w:w="2676"/>
        <w:gridCol w:w="255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4</w:t>
            </w:r>
            <w:r>
              <w:rPr>
                <w:rFonts w:ascii="黑体" w:hAnsi="黑体" w:eastAsia="黑体" w:cs="Times New Roman"/>
                <w:bCs/>
                <w:color w:val="auto"/>
                <w:kern w:val="0"/>
                <w:sz w:val="24"/>
              </w:rPr>
              <w:t>　按行业大类分组的租赁和商务服务业企业法人单位和从业人员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078"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color w:val="auto"/>
                <w:kern w:val="0"/>
                <w:szCs w:val="21"/>
              </w:rPr>
              <w:t> </w:t>
            </w:r>
          </w:p>
        </w:tc>
        <w:tc>
          <w:tcPr>
            <w:tcW w:w="2676"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552"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676"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985" w:rightChars="469"/>
              <w:jc w:val="right"/>
              <w:textAlignment w:val="bottom"/>
              <w:rPr>
                <w:rFonts w:ascii="Times New Roman" w:hAnsi="Times New Roman" w:cs="Times New Roman"/>
                <w:b/>
                <w:color w:val="auto"/>
                <w:kern w:val="0"/>
                <w:sz w:val="18"/>
                <w:szCs w:val="18"/>
              </w:rPr>
            </w:pPr>
            <w:r>
              <w:rPr>
                <w:rFonts w:hint="default" w:ascii="Times New Roman" w:hAnsi="Times New Roman" w:cs="Times New Roman"/>
                <w:b/>
                <w:color w:val="auto"/>
                <w:kern w:val="0"/>
                <w:sz w:val="18"/>
                <w:szCs w:val="18"/>
                <w:lang w:val="en-US" w:eastAsia="zh-CN"/>
              </w:rPr>
              <w:t>3309</w:t>
            </w:r>
          </w:p>
        </w:tc>
        <w:tc>
          <w:tcPr>
            <w:tcW w:w="2552" w:type="dxa"/>
            <w:tcBorders>
              <w:top w:val="single" w:color="auto" w:sz="4" w:space="0"/>
              <w:left w:val="single" w:color="auto" w:sz="4" w:space="0"/>
              <w:bottom w:val="nil"/>
              <w:right w:val="nil"/>
            </w:tcBorders>
            <w:vAlign w:val="bottom"/>
          </w:tcPr>
          <w:p>
            <w:pPr>
              <w:keepNext w:val="0"/>
              <w:keepLines w:val="0"/>
              <w:widowControl/>
              <w:suppressLineNumbers w:val="0"/>
              <w:ind w:right="985" w:rightChars="469"/>
              <w:jc w:val="right"/>
              <w:textAlignment w:val="bottom"/>
              <w:rPr>
                <w:rFonts w:ascii="Times New Roman" w:hAnsi="Times New Roman" w:cs="Times New Roman"/>
                <w:b/>
                <w:color w:val="auto"/>
                <w:kern w:val="0"/>
                <w:sz w:val="18"/>
                <w:szCs w:val="18"/>
              </w:rPr>
            </w:pPr>
            <w:r>
              <w:rPr>
                <w:rFonts w:hint="default" w:ascii="Times New Roman" w:hAnsi="Times New Roman" w:cs="Times New Roman"/>
                <w:b/>
                <w:color w:val="auto"/>
                <w:kern w:val="0"/>
                <w:sz w:val="18"/>
                <w:szCs w:val="18"/>
                <w:lang w:val="en-US" w:eastAsia="zh-CN"/>
              </w:rPr>
              <w:t>41399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租赁业</w:t>
            </w:r>
          </w:p>
        </w:tc>
        <w:tc>
          <w:tcPr>
            <w:tcW w:w="2676" w:type="dxa"/>
            <w:tcBorders>
              <w:top w:val="nil"/>
              <w:left w:val="single" w:color="auto" w:sz="4" w:space="0"/>
              <w:bottom w:val="nil"/>
              <w:right w:val="single" w:color="auto" w:sz="4" w:space="0"/>
            </w:tcBorders>
            <w:vAlign w:val="bottom"/>
          </w:tcPr>
          <w:p>
            <w:pPr>
              <w:widowControl/>
              <w:spacing w:line="240" w:lineRule="atLeast"/>
              <w:ind w:left="57" w:right="985" w:rightChars="469"/>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330</w:t>
            </w:r>
          </w:p>
        </w:tc>
        <w:tc>
          <w:tcPr>
            <w:tcW w:w="2552" w:type="dxa"/>
            <w:tcBorders>
              <w:top w:val="nil"/>
              <w:left w:val="single" w:color="auto" w:sz="4" w:space="0"/>
              <w:bottom w:val="nil"/>
              <w:right w:val="nil"/>
            </w:tcBorders>
            <w:vAlign w:val="bottom"/>
          </w:tcPr>
          <w:p>
            <w:pPr>
              <w:widowControl/>
              <w:spacing w:line="240" w:lineRule="atLeast"/>
              <w:ind w:left="57" w:right="985" w:rightChars="469"/>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4018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078"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商务服务业</w:t>
            </w:r>
          </w:p>
        </w:tc>
        <w:tc>
          <w:tcPr>
            <w:tcW w:w="2676" w:type="dxa"/>
            <w:tcBorders>
              <w:top w:val="nil"/>
              <w:left w:val="single" w:color="auto" w:sz="4" w:space="0"/>
              <w:bottom w:val="single" w:color="auto" w:sz="12" w:space="0"/>
              <w:right w:val="single" w:color="auto" w:sz="4" w:space="0"/>
            </w:tcBorders>
            <w:vAlign w:val="bottom"/>
          </w:tcPr>
          <w:p>
            <w:pPr>
              <w:widowControl/>
              <w:spacing w:line="240" w:lineRule="atLeast"/>
              <w:ind w:left="57" w:right="985" w:rightChars="469"/>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2979</w:t>
            </w:r>
          </w:p>
        </w:tc>
        <w:tc>
          <w:tcPr>
            <w:tcW w:w="2552" w:type="dxa"/>
            <w:tcBorders>
              <w:top w:val="nil"/>
              <w:left w:val="single" w:color="auto" w:sz="4" w:space="0"/>
              <w:bottom w:val="single" w:color="auto" w:sz="12" w:space="0"/>
              <w:right w:val="nil"/>
            </w:tcBorders>
            <w:vAlign w:val="bottom"/>
          </w:tcPr>
          <w:p>
            <w:pPr>
              <w:widowControl/>
              <w:spacing w:line="240" w:lineRule="atLeast"/>
              <w:ind w:left="57" w:right="985" w:rightChars="469"/>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37381</w:t>
            </w:r>
          </w:p>
        </w:tc>
      </w:tr>
    </w:tbl>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在租赁和商务服务业企业法人单位中，</w:t>
      </w:r>
      <w:r>
        <w:rPr>
          <w:rFonts w:hint="eastAsia" w:ascii="Times New Roman" w:hAnsi="Times New Roman" w:eastAsia="仿宋_GB2312" w:cs="Times New Roman"/>
          <w:color w:val="auto"/>
          <w:kern w:val="0"/>
          <w:sz w:val="32"/>
          <w:szCs w:val="32"/>
          <w:lang w:eastAsia="zh-CN"/>
        </w:rPr>
        <w:t>全部为</w:t>
      </w:r>
      <w:r>
        <w:rPr>
          <w:rFonts w:ascii="Times New Roman" w:hAnsi="Times New Roman" w:eastAsia="仿宋_GB2312" w:cs="Times New Roman"/>
          <w:color w:val="auto"/>
          <w:kern w:val="0"/>
          <w:sz w:val="32"/>
          <w:szCs w:val="32"/>
        </w:rPr>
        <w:t>内资企业</w:t>
      </w:r>
      <w:r>
        <w:rPr>
          <w:rFonts w:hint="eastAsia" w:ascii="Times New Roman" w:hAnsi="Times New Roman" w:eastAsia="仿宋_GB2312" w:cs="Times New Roman"/>
          <w:color w:val="auto"/>
          <w:kern w:val="0"/>
          <w:sz w:val="32"/>
          <w:szCs w:val="32"/>
          <w:lang w:eastAsia="zh-CN"/>
        </w:rPr>
        <w:t>。其中，有限责任公司占</w:t>
      </w:r>
      <w:r>
        <w:rPr>
          <w:rFonts w:hint="eastAsia" w:ascii="Times New Roman" w:hAnsi="Times New Roman" w:eastAsia="仿宋_GB2312" w:cs="Times New Roman"/>
          <w:color w:val="auto"/>
          <w:kern w:val="0"/>
          <w:sz w:val="32"/>
          <w:szCs w:val="32"/>
          <w:lang w:val="en-US" w:eastAsia="zh-CN"/>
        </w:rPr>
        <w:t>0.8</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，私营企业占</w:t>
      </w:r>
      <w:r>
        <w:rPr>
          <w:rFonts w:hint="eastAsia" w:ascii="Times New Roman" w:hAnsi="Times New Roman" w:eastAsia="仿宋_GB2312" w:cs="Times New Roman"/>
          <w:color w:val="auto"/>
          <w:kern w:val="0"/>
          <w:sz w:val="32"/>
          <w:szCs w:val="32"/>
          <w:lang w:val="en-US" w:eastAsia="zh-CN"/>
        </w:rPr>
        <w:t>97.7%</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在租赁和商务服务业企业法人单位从业人员中，</w:t>
      </w:r>
      <w:r>
        <w:rPr>
          <w:rFonts w:hint="eastAsia" w:ascii="Times New Roman" w:hAnsi="Times New Roman" w:eastAsia="仿宋_GB2312" w:cs="Times New Roman"/>
          <w:color w:val="auto"/>
          <w:kern w:val="0"/>
          <w:sz w:val="32"/>
          <w:szCs w:val="32"/>
          <w:lang w:eastAsia="zh-CN"/>
        </w:rPr>
        <w:t>全部为</w:t>
      </w:r>
      <w:r>
        <w:rPr>
          <w:rFonts w:ascii="Times New Roman" w:hAnsi="Times New Roman" w:eastAsia="仿宋_GB2312" w:cs="Times New Roman"/>
          <w:color w:val="auto"/>
          <w:kern w:val="0"/>
          <w:sz w:val="32"/>
          <w:szCs w:val="32"/>
        </w:rPr>
        <w:t>内资企业</w:t>
      </w:r>
      <w:r>
        <w:rPr>
          <w:rFonts w:hint="eastAsia" w:ascii="Times New Roman" w:hAnsi="Times New Roman" w:eastAsia="仿宋_GB2312" w:cs="Times New Roman"/>
          <w:color w:val="auto"/>
          <w:kern w:val="0"/>
          <w:sz w:val="32"/>
          <w:szCs w:val="32"/>
          <w:lang w:eastAsia="zh-CN"/>
        </w:rPr>
        <w:t>。其中，有限责任公司占</w:t>
      </w:r>
      <w:r>
        <w:rPr>
          <w:rFonts w:hint="eastAsia" w:ascii="Times New Roman" w:hAnsi="Times New Roman" w:eastAsia="仿宋_GB2312" w:cs="Times New Roman"/>
          <w:color w:val="auto"/>
          <w:kern w:val="0"/>
          <w:sz w:val="32"/>
          <w:szCs w:val="32"/>
          <w:lang w:val="en-US" w:eastAsia="zh-CN"/>
        </w:rPr>
        <w:t>4.2</w:t>
      </w:r>
      <w:r>
        <w:rPr>
          <w:rFonts w:ascii="Times New Roman" w:hAnsi="Times New Roman" w:eastAsia="仿宋_GB2312" w:cs="Times New Roman"/>
          <w:color w:val="auto"/>
          <w:kern w:val="0"/>
          <w:sz w:val="32"/>
          <w:szCs w:val="32"/>
        </w:rPr>
        <w:t>%</w:t>
      </w:r>
      <w:r>
        <w:rPr>
          <w:rFonts w:hint="eastAsia" w:ascii="Times New Roman" w:hAnsi="Times New Roman" w:eastAsia="仿宋_GB2312" w:cs="Times New Roman"/>
          <w:color w:val="auto"/>
          <w:kern w:val="0"/>
          <w:sz w:val="32"/>
          <w:szCs w:val="32"/>
          <w:lang w:eastAsia="zh-CN"/>
        </w:rPr>
        <w:t>，私营企业占</w:t>
      </w:r>
      <w:r>
        <w:rPr>
          <w:rFonts w:hint="eastAsia" w:ascii="Times New Roman" w:hAnsi="Times New Roman" w:eastAsia="仿宋_GB2312" w:cs="Times New Roman"/>
          <w:color w:val="auto"/>
          <w:kern w:val="0"/>
          <w:sz w:val="32"/>
          <w:szCs w:val="32"/>
          <w:lang w:val="en-US" w:eastAsia="zh-CN"/>
        </w:rPr>
        <w:t>94.9%</w:t>
      </w:r>
      <w:r>
        <w:rPr>
          <w:rFonts w:ascii="Times New Roman" w:hAnsi="Times New Roman" w:eastAsia="仿宋_GB2312" w:cs="Times New Roman"/>
          <w:color w:val="auto"/>
          <w:kern w:val="0"/>
          <w:sz w:val="32"/>
          <w:szCs w:val="32"/>
        </w:rPr>
        <w:t>（详见表4-1</w:t>
      </w:r>
      <w:r>
        <w:rPr>
          <w:rFonts w:hint="eastAsia" w:ascii="Times New Roman" w:hAnsi="Times New Roman" w:eastAsia="仿宋_GB2312" w:cs="Times New Roman"/>
          <w:color w:val="auto"/>
          <w:kern w:val="0"/>
          <w:sz w:val="32"/>
          <w:szCs w:val="32"/>
          <w:lang w:val="en-US" w:eastAsia="zh-CN"/>
        </w:rPr>
        <w:t>5</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p>
    <w:tbl>
      <w:tblPr>
        <w:tblStyle w:val="5"/>
        <w:tblW w:w="8321"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386"/>
        <w:gridCol w:w="2563"/>
        <w:gridCol w:w="2357"/>
        <w:gridCol w:w="1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gridAfter w:val="1"/>
          <w:wAfter w:w="15" w:type="dxa"/>
          <w:trHeight w:val="372"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5</w:t>
            </w:r>
            <w:r>
              <w:rPr>
                <w:rFonts w:ascii="黑体" w:hAnsi="黑体" w:eastAsia="黑体" w:cs="Times New Roman"/>
                <w:bCs/>
                <w:color w:val="auto"/>
                <w:kern w:val="0"/>
                <w:sz w:val="24"/>
              </w:rPr>
              <w:t>　按登记注册类型分组的租赁和商务服务业企业法人单位和从业人员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22" w:hRule="atLeast"/>
          <w:jc w:val="center"/>
        </w:trPr>
        <w:tc>
          <w:tcPr>
            <w:tcW w:w="3386"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2563"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企业法人单位(个)</w:t>
            </w:r>
          </w:p>
        </w:tc>
        <w:tc>
          <w:tcPr>
            <w:tcW w:w="2372" w:type="dxa"/>
            <w:gridSpan w:val="2"/>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2563" w:type="dxa"/>
            <w:tcBorders>
              <w:top w:val="single" w:color="auto" w:sz="4" w:space="0"/>
              <w:left w:val="single" w:color="auto" w:sz="4" w:space="0"/>
              <w:bottom w:val="nil"/>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3309</w:t>
            </w:r>
          </w:p>
        </w:tc>
        <w:tc>
          <w:tcPr>
            <w:tcW w:w="2372" w:type="dxa"/>
            <w:gridSpan w:val="2"/>
            <w:tcBorders>
              <w:top w:val="single" w:color="auto" w:sz="4" w:space="0"/>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41399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auto"/>
                <w:kern w:val="0"/>
                <w:sz w:val="18"/>
                <w:szCs w:val="18"/>
              </w:rPr>
            </w:pPr>
            <w:r>
              <w:rPr>
                <w:rFonts w:ascii="Times New Roman" w:hAnsi="Times New Roman" w:cs="Times New Roman"/>
                <w:b/>
                <w:color w:val="auto"/>
                <w:kern w:val="0"/>
                <w:szCs w:val="21"/>
              </w:rPr>
              <w:t>内资企业</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3309</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b/>
                <w:color w:val="auto"/>
                <w:kern w:val="0"/>
                <w:sz w:val="18"/>
                <w:szCs w:val="18"/>
                <w:lang w:val="en-US" w:eastAsia="zh-CN"/>
              </w:rPr>
            </w:pPr>
            <w:r>
              <w:rPr>
                <w:rFonts w:hint="eastAsia" w:ascii="Times New Roman" w:hAnsi="Times New Roman" w:cs="Times New Roman"/>
                <w:b/>
                <w:color w:val="auto"/>
                <w:kern w:val="0"/>
                <w:sz w:val="18"/>
                <w:szCs w:val="18"/>
                <w:lang w:val="en-US" w:eastAsia="zh-CN"/>
              </w:rPr>
              <w:t>41399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集体企业</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4</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联营企业</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eastAsia"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有限责任公司</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25</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1736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股份有限公司</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23</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私营企业</w:t>
            </w:r>
          </w:p>
        </w:tc>
        <w:tc>
          <w:tcPr>
            <w:tcW w:w="2563" w:type="dxa"/>
            <w:tcBorders>
              <w:top w:val="nil"/>
              <w:left w:val="single" w:color="auto" w:sz="4" w:space="0"/>
              <w:bottom w:val="nil"/>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3232</w:t>
            </w:r>
          </w:p>
        </w:tc>
        <w:tc>
          <w:tcPr>
            <w:tcW w:w="2372" w:type="dxa"/>
            <w:gridSpan w:val="2"/>
            <w:tcBorders>
              <w:top w:val="nil"/>
              <w:left w:val="single" w:color="auto" w:sz="4" w:space="0"/>
              <w:bottom w:val="nil"/>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39277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386"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auto"/>
                <w:kern w:val="0"/>
                <w:sz w:val="18"/>
                <w:szCs w:val="18"/>
              </w:rPr>
            </w:pPr>
            <w:r>
              <w:rPr>
                <w:rFonts w:ascii="Times New Roman" w:hAnsi="Times New Roman" w:cs="Times New Roman"/>
                <w:color w:val="auto"/>
                <w:kern w:val="0"/>
                <w:szCs w:val="21"/>
              </w:rPr>
              <w:t>　　其他企业</w:t>
            </w:r>
          </w:p>
        </w:tc>
        <w:tc>
          <w:tcPr>
            <w:tcW w:w="2563" w:type="dxa"/>
            <w:tcBorders>
              <w:top w:val="nil"/>
              <w:left w:val="single" w:color="auto" w:sz="4" w:space="0"/>
              <w:bottom w:val="single" w:color="auto" w:sz="12" w:space="0"/>
              <w:right w:val="single" w:color="auto" w:sz="4" w:space="0"/>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24</w:t>
            </w:r>
          </w:p>
        </w:tc>
        <w:tc>
          <w:tcPr>
            <w:tcW w:w="2372" w:type="dxa"/>
            <w:gridSpan w:val="2"/>
            <w:tcBorders>
              <w:top w:val="nil"/>
              <w:left w:val="single" w:color="auto" w:sz="4" w:space="0"/>
              <w:bottom w:val="single" w:color="auto" w:sz="12" w:space="0"/>
              <w:right w:val="nil"/>
            </w:tcBorders>
          </w:tcPr>
          <w:p>
            <w:pPr>
              <w:widowControl/>
              <w:spacing w:line="240" w:lineRule="atLeast"/>
              <w:ind w:left="57" w:right="653" w:rightChars="0"/>
              <w:jc w:val="right"/>
              <w:rPr>
                <w:rFonts w:hint="default" w:ascii="Times New Roman" w:hAnsi="Times New Roman" w:cs="Times New Roman" w:eastAsiaTheme="minorEastAsia"/>
                <w:color w:val="auto"/>
                <w:kern w:val="0"/>
                <w:sz w:val="18"/>
                <w:szCs w:val="18"/>
                <w:lang w:val="en-US" w:eastAsia="zh-CN"/>
              </w:rPr>
            </w:pPr>
            <w:r>
              <w:rPr>
                <w:rFonts w:hint="eastAsia" w:ascii="Times New Roman" w:hAnsi="Times New Roman" w:cs="Times New Roman"/>
                <w:color w:val="auto"/>
                <w:kern w:val="0"/>
                <w:sz w:val="18"/>
                <w:szCs w:val="18"/>
                <w:lang w:val="en-US" w:eastAsia="zh-CN"/>
              </w:rPr>
              <w:t>156</w:t>
            </w:r>
          </w:p>
        </w:tc>
      </w:tr>
    </w:tbl>
    <w:p>
      <w:pPr>
        <w:widowControl/>
        <w:spacing w:line="600" w:lineRule="exact"/>
        <w:ind w:firstLine="640" w:firstLineChars="200"/>
        <w:rPr>
          <w:rFonts w:ascii="Times New Roman" w:hAnsi="Times New Roman" w:eastAsia="楷体_GB2312" w:cs="Times New Roman"/>
          <w:color w:val="auto"/>
          <w:kern w:val="0"/>
          <w:sz w:val="32"/>
          <w:szCs w:val="32"/>
        </w:rPr>
      </w:pP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r>
        <w:rPr>
          <w:rFonts w:ascii="Times New Roman" w:hAnsi="Times New Roman" w:eastAsia="仿宋_GB2312" w:cs="Times New Roman"/>
          <w:color w:val="auto"/>
          <w:kern w:val="0"/>
          <w:sz w:val="32"/>
          <w:szCs w:val="32"/>
        </w:rPr>
        <w:t>。</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2018年末，租赁和商务服务业企业法人单位资产总计</w:t>
      </w:r>
      <w:r>
        <w:rPr>
          <w:rFonts w:hint="eastAsia" w:ascii="Times New Roman" w:hAnsi="Times New Roman" w:eastAsia="仿宋_GB2312" w:cs="Times New Roman"/>
          <w:color w:val="auto"/>
          <w:sz w:val="32"/>
          <w:szCs w:val="32"/>
          <w:lang w:val="en-US" w:eastAsia="zh-CN"/>
        </w:rPr>
        <w:t>335.22</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kern w:val="0"/>
          <w:sz w:val="32"/>
          <w:szCs w:val="32"/>
          <w:lang w:val="en-US" w:eastAsia="zh-CN"/>
        </w:rPr>
        <w:t>124.1</w:t>
      </w:r>
      <w:r>
        <w:rPr>
          <w:rFonts w:ascii="Times New Roman" w:hAnsi="Times New Roman" w:eastAsia="仿宋_GB2312" w:cs="Times New Roman"/>
          <w:color w:val="auto"/>
          <w:kern w:val="0"/>
          <w:sz w:val="32"/>
          <w:szCs w:val="32"/>
        </w:rPr>
        <w:t>%。其中，租赁业企业法人单位资产总计</w:t>
      </w:r>
      <w:r>
        <w:rPr>
          <w:rFonts w:hint="eastAsia" w:ascii="Times New Roman" w:hAnsi="Times New Roman" w:eastAsia="仿宋_GB2312" w:cs="Times New Roman"/>
          <w:color w:val="auto"/>
          <w:kern w:val="0"/>
          <w:sz w:val="32"/>
          <w:szCs w:val="32"/>
          <w:lang w:val="en-US" w:eastAsia="zh-CN"/>
        </w:rPr>
        <w:t>4.73</w:t>
      </w:r>
      <w:r>
        <w:rPr>
          <w:rFonts w:ascii="Times New Roman" w:hAnsi="Times New Roman" w:eastAsia="仿宋_GB2312" w:cs="Times New Roman"/>
          <w:color w:val="auto"/>
          <w:kern w:val="0"/>
          <w:sz w:val="32"/>
          <w:szCs w:val="32"/>
        </w:rPr>
        <w:t>亿元，商务服务业企业法人单位资产总计</w:t>
      </w:r>
      <w:r>
        <w:rPr>
          <w:rFonts w:hint="eastAsia" w:ascii="Times New Roman" w:hAnsi="Times New Roman" w:eastAsia="仿宋_GB2312" w:cs="Times New Roman"/>
          <w:color w:val="auto"/>
          <w:sz w:val="32"/>
          <w:szCs w:val="32"/>
          <w:lang w:val="en-US" w:eastAsia="zh-CN"/>
        </w:rPr>
        <w:t>330.49</w:t>
      </w:r>
      <w:r>
        <w:rPr>
          <w:rFonts w:ascii="Times New Roman" w:hAnsi="Times New Roman" w:eastAsia="仿宋_GB2312" w:cs="Times New Roman"/>
          <w:color w:val="auto"/>
          <w:kern w:val="0"/>
          <w:sz w:val="32"/>
          <w:szCs w:val="32"/>
        </w:rPr>
        <w:t>亿元，分别比2013年末增长</w:t>
      </w:r>
      <w:r>
        <w:rPr>
          <w:rFonts w:hint="eastAsia" w:ascii="Times New Roman" w:hAnsi="Times New Roman" w:eastAsia="仿宋_GB2312" w:cs="Times New Roman"/>
          <w:color w:val="auto"/>
          <w:sz w:val="32"/>
          <w:szCs w:val="32"/>
          <w:lang w:val="en-US" w:eastAsia="zh-CN"/>
        </w:rPr>
        <w:t>885.4</w:t>
      </w:r>
      <w:r>
        <w:rPr>
          <w:rFonts w:ascii="Times New Roman" w:hAnsi="Times New Roman" w:eastAsia="仿宋_GB2312" w:cs="Times New Roman"/>
          <w:color w:val="auto"/>
          <w:kern w:val="0"/>
          <w:sz w:val="32"/>
          <w:szCs w:val="32"/>
        </w:rPr>
        <w:t>%和</w:t>
      </w:r>
      <w:r>
        <w:rPr>
          <w:rFonts w:hint="eastAsia" w:ascii="Times New Roman" w:hAnsi="Times New Roman" w:eastAsia="仿宋_GB2312" w:cs="Times New Roman"/>
          <w:color w:val="auto"/>
          <w:kern w:val="0"/>
          <w:sz w:val="32"/>
          <w:szCs w:val="32"/>
          <w:lang w:val="en-US" w:eastAsia="zh-CN"/>
        </w:rPr>
        <w:t>121.6</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lang w:val="en-US" w:eastAsia="zh-CN"/>
        </w:rPr>
        <w:t>180.01</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lang w:val="en-US" w:eastAsia="zh-CN"/>
        </w:rPr>
        <w:t>82.5</w:t>
      </w:r>
      <w:r>
        <w:rPr>
          <w:rFonts w:ascii="Times New Roman" w:hAnsi="Times New Roman" w:eastAsia="仿宋_GB2312" w:cs="Times New Roman"/>
          <w:color w:val="auto"/>
          <w:kern w:val="0"/>
          <w:sz w:val="32"/>
          <w:szCs w:val="32"/>
        </w:rPr>
        <w:t>亿元（详见表4-1</w:t>
      </w:r>
      <w:r>
        <w:rPr>
          <w:rFonts w:hint="eastAsia" w:ascii="Times New Roman" w:hAnsi="Times New Roman" w:eastAsia="仿宋_GB2312" w:cs="Times New Roman"/>
          <w:color w:val="auto"/>
          <w:kern w:val="0"/>
          <w:sz w:val="32"/>
          <w:szCs w:val="32"/>
          <w:lang w:val="en-US" w:eastAsia="zh-CN"/>
        </w:rPr>
        <w:t>6</w:t>
      </w:r>
      <w:r>
        <w:rPr>
          <w:rFonts w:ascii="Times New Roman" w:hAnsi="Times New Roman" w:eastAsia="仿宋_GB2312" w:cs="Times New Roman"/>
          <w:color w:val="auto"/>
          <w:kern w:val="0"/>
          <w:sz w:val="32"/>
          <w:szCs w:val="32"/>
        </w:rPr>
        <w:t>）。</w:t>
      </w:r>
    </w:p>
    <w:tbl>
      <w:tblPr>
        <w:tblStyle w:val="5"/>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686"/>
        <w:gridCol w:w="1540"/>
        <w:gridCol w:w="1540"/>
        <w:gridCol w:w="1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4"/>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auto"/>
                <w:kern w:val="0"/>
                <w:sz w:val="24"/>
              </w:rPr>
            </w:pPr>
            <w:r>
              <w:rPr>
                <w:rFonts w:ascii="黑体" w:hAnsi="黑体" w:eastAsia="黑体" w:cs="Times New Roman"/>
                <w:bCs/>
                <w:color w:val="auto"/>
                <w:kern w:val="0"/>
                <w:sz w:val="24"/>
              </w:rPr>
              <w:t>表4-1</w:t>
            </w:r>
            <w:r>
              <w:rPr>
                <w:rFonts w:hint="eastAsia" w:ascii="黑体" w:hAnsi="黑体" w:eastAsia="黑体" w:cs="Times New Roman"/>
                <w:bCs/>
                <w:color w:val="auto"/>
                <w:kern w:val="0"/>
                <w:sz w:val="24"/>
                <w:lang w:val="en-US" w:eastAsia="zh-CN"/>
              </w:rPr>
              <w:t>6</w:t>
            </w:r>
            <w:r>
              <w:rPr>
                <w:rFonts w:ascii="黑体" w:hAnsi="黑体" w:eastAsia="黑体" w:cs="Times New Roman"/>
                <w:bCs/>
                <w:color w:val="auto"/>
                <w:kern w:val="0"/>
                <w:sz w:val="24"/>
              </w:rPr>
              <w:t>　按行业大类分组的租赁和商务服务业企业法人单位主要经济指标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686" w:type="dxa"/>
            <w:tcBorders>
              <w:top w:val="nil"/>
              <w:left w:val="nil"/>
              <w:bottom w:val="single" w:color="auto" w:sz="4" w:space="0"/>
              <w:right w:val="single" w:color="auto" w:sz="4" w:space="0"/>
            </w:tcBorders>
            <w:vAlign w:val="center"/>
          </w:tcPr>
          <w:p>
            <w:pPr>
              <w:widowControl/>
              <w:spacing w:line="240" w:lineRule="atLeast"/>
              <w:ind w:left="57" w:right="57" w:firstLine="500"/>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　</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资产总计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负债合计</w:t>
            </w:r>
          </w:p>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（亿元）</w:t>
            </w:r>
          </w:p>
        </w:tc>
        <w:tc>
          <w:tcPr>
            <w:tcW w:w="1540"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auto"/>
                <w:kern w:val="0"/>
                <w:szCs w:val="21"/>
              </w:rPr>
            </w:pPr>
            <w:r>
              <w:rPr>
                <w:rFonts w:ascii="Times New Roman" w:hAnsi="Times New Roman" w:cs="Times New Roman"/>
                <w:b/>
                <w:color w:val="auto"/>
                <w:kern w:val="0"/>
                <w:szCs w:val="21"/>
              </w:rPr>
              <w:t>营业收入</w:t>
            </w:r>
          </w:p>
          <w:p>
            <w:pPr>
              <w:widowControl/>
              <w:spacing w:line="240" w:lineRule="atLeast"/>
              <w:ind w:left="57" w:right="57"/>
              <w:jc w:val="center"/>
              <w:rPr>
                <w:rFonts w:ascii="Times New Roman" w:hAnsi="Times New Roman" w:cs="Times New Roman"/>
                <w:b/>
                <w:color w:val="auto"/>
                <w:kern w:val="0"/>
                <w:sz w:val="18"/>
                <w:szCs w:val="18"/>
              </w:rPr>
            </w:pPr>
            <w:r>
              <w:rPr>
                <w:rFonts w:ascii="Times New Roman" w:hAnsi="Times New Roman" w:cs="Times New Roman"/>
                <w:b/>
                <w:color w:val="auto"/>
                <w:kern w:val="0"/>
                <w:szCs w:val="21"/>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auto"/>
                <w:kern w:val="0"/>
                <w:sz w:val="18"/>
                <w:szCs w:val="18"/>
              </w:rPr>
            </w:pPr>
            <w:r>
              <w:rPr>
                <w:rFonts w:ascii="Times New Roman" w:hAnsi="Times New Roman" w:cs="Times New Roman"/>
                <w:b/>
                <w:bCs/>
                <w:color w:val="auto"/>
                <w:kern w:val="0"/>
                <w:szCs w:val="21"/>
              </w:rPr>
              <w:t>合　计</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468" w:rightChars="223"/>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3</w:t>
            </w:r>
            <w:r>
              <w:rPr>
                <w:rFonts w:hint="default" w:ascii="Times New Roman" w:hAnsi="Times New Roman" w:cs="Times New Roman"/>
                <w:b/>
                <w:color w:val="auto"/>
                <w:kern w:val="0"/>
                <w:sz w:val="18"/>
                <w:szCs w:val="18"/>
                <w:lang w:val="en-US" w:eastAsia="zh-CN"/>
              </w:rPr>
              <w:t>35.2</w:t>
            </w:r>
            <w:r>
              <w:rPr>
                <w:rFonts w:hint="eastAsia" w:ascii="Times New Roman" w:hAnsi="Times New Roman" w:cs="Times New Roman"/>
                <w:b/>
                <w:color w:val="auto"/>
                <w:kern w:val="0"/>
                <w:sz w:val="18"/>
                <w:szCs w:val="18"/>
                <w:lang w:val="en-US" w:eastAsia="zh-CN"/>
              </w:rPr>
              <w:t>2</w:t>
            </w:r>
            <w:r>
              <w:rPr>
                <w:rFonts w:hint="default" w:ascii="Times New Roman" w:hAnsi="Times New Roman" w:eastAsia="宋体" w:cs="Times New Roman"/>
                <w:b/>
                <w:i w:val="0"/>
                <w:color w:val="auto"/>
                <w:kern w:val="0"/>
                <w:sz w:val="18"/>
                <w:szCs w:val="18"/>
                <w:u w:val="none"/>
                <w:lang w:val="en-US" w:eastAsia="zh-CN" w:bidi="ar"/>
              </w:rPr>
              <w:t xml:space="preserve"> </w:t>
            </w:r>
          </w:p>
        </w:tc>
        <w:tc>
          <w:tcPr>
            <w:tcW w:w="1540" w:type="dxa"/>
            <w:tcBorders>
              <w:top w:val="single" w:color="auto" w:sz="4" w:space="0"/>
              <w:left w:val="single" w:color="auto" w:sz="4" w:space="0"/>
              <w:bottom w:val="nil"/>
              <w:right w:val="single" w:color="auto" w:sz="4" w:space="0"/>
            </w:tcBorders>
            <w:vAlign w:val="bottom"/>
          </w:tcPr>
          <w:p>
            <w:pPr>
              <w:keepNext w:val="0"/>
              <w:keepLines w:val="0"/>
              <w:widowControl/>
              <w:suppressLineNumbers w:val="0"/>
              <w:ind w:right="468" w:rightChars="223"/>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180.01 </w:t>
            </w:r>
          </w:p>
        </w:tc>
        <w:tc>
          <w:tcPr>
            <w:tcW w:w="1540" w:type="dxa"/>
            <w:tcBorders>
              <w:top w:val="single" w:color="auto" w:sz="4" w:space="0"/>
              <w:left w:val="single" w:color="auto" w:sz="4" w:space="0"/>
              <w:bottom w:val="nil"/>
              <w:right w:val="nil"/>
            </w:tcBorders>
            <w:vAlign w:val="bottom"/>
          </w:tcPr>
          <w:p>
            <w:pPr>
              <w:keepNext w:val="0"/>
              <w:keepLines w:val="0"/>
              <w:widowControl/>
              <w:suppressLineNumbers w:val="0"/>
              <w:ind w:right="468" w:rightChars="223"/>
              <w:jc w:val="right"/>
              <w:textAlignment w:val="bottom"/>
              <w:rPr>
                <w:rFonts w:ascii="Times New Roman" w:hAnsi="Times New Roman" w:cs="Times New Roman"/>
                <w:b/>
                <w:color w:val="auto"/>
                <w:kern w:val="0"/>
                <w:sz w:val="18"/>
                <w:szCs w:val="18"/>
              </w:rPr>
            </w:pPr>
            <w:r>
              <w:rPr>
                <w:rFonts w:hint="default" w:ascii="Times New Roman" w:hAnsi="Times New Roman" w:eastAsia="宋体" w:cs="Times New Roman"/>
                <w:b/>
                <w:i w:val="0"/>
                <w:color w:val="auto"/>
                <w:kern w:val="0"/>
                <w:sz w:val="18"/>
                <w:szCs w:val="18"/>
                <w:u w:val="none"/>
                <w:lang w:val="en-US" w:eastAsia="zh-CN" w:bidi="ar"/>
              </w:rPr>
              <w:t xml:space="preserve">82.50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nil"/>
              <w:right w:val="single" w:color="auto" w:sz="4" w:space="0"/>
            </w:tcBorders>
            <w:vAlign w:val="center"/>
          </w:tcPr>
          <w:p>
            <w:pPr>
              <w:rPr>
                <w:rFonts w:ascii="Times New Roman" w:hAnsi="Times New Roman" w:cs="Times New Roman"/>
                <w:color w:val="auto"/>
                <w:szCs w:val="24"/>
              </w:rPr>
            </w:pPr>
            <w:r>
              <w:rPr>
                <w:rFonts w:ascii="Times New Roman" w:hAnsi="Times New Roman" w:cs="Times New Roman"/>
                <w:color w:val="auto"/>
                <w:kern w:val="0"/>
                <w:szCs w:val="21"/>
              </w:rPr>
              <w:t>　租赁业</w:t>
            </w:r>
          </w:p>
        </w:tc>
        <w:tc>
          <w:tcPr>
            <w:tcW w:w="1540" w:type="dxa"/>
            <w:tcBorders>
              <w:top w:val="nil"/>
              <w:left w:val="single" w:color="auto" w:sz="4" w:space="0"/>
              <w:bottom w:val="nil"/>
              <w:right w:val="single" w:color="auto" w:sz="4" w:space="0"/>
            </w:tcBorders>
            <w:vAlign w:val="bottom"/>
          </w:tcPr>
          <w:p>
            <w:pPr>
              <w:widowControl/>
              <w:spacing w:line="240" w:lineRule="atLeast"/>
              <w:ind w:left="57" w:right="468" w:rightChars="223"/>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 xml:space="preserve">4.73 </w:t>
            </w:r>
          </w:p>
        </w:tc>
        <w:tc>
          <w:tcPr>
            <w:tcW w:w="1540" w:type="dxa"/>
            <w:tcBorders>
              <w:top w:val="nil"/>
              <w:left w:val="single" w:color="auto" w:sz="4" w:space="0"/>
              <w:bottom w:val="nil"/>
              <w:right w:val="single" w:color="auto" w:sz="4" w:space="0"/>
            </w:tcBorders>
            <w:vAlign w:val="bottom"/>
          </w:tcPr>
          <w:p>
            <w:pPr>
              <w:widowControl/>
              <w:spacing w:line="240" w:lineRule="atLeas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1.31 </w:t>
            </w:r>
          </w:p>
        </w:tc>
        <w:tc>
          <w:tcPr>
            <w:tcW w:w="1540" w:type="dxa"/>
            <w:tcBorders>
              <w:top w:val="nil"/>
              <w:left w:val="single" w:color="auto" w:sz="4" w:space="0"/>
              <w:bottom w:val="nil"/>
              <w:right w:val="nil"/>
            </w:tcBorders>
            <w:vAlign w:val="bottom"/>
          </w:tcPr>
          <w:p>
            <w:pPr>
              <w:widowControl/>
              <w:spacing w:line="240" w:lineRule="atLeas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8.45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686" w:type="dxa"/>
            <w:tcBorders>
              <w:top w:val="nil"/>
              <w:left w:val="nil"/>
              <w:bottom w:val="single" w:color="auto" w:sz="12" w:space="0"/>
              <w:right w:val="single" w:color="auto" w:sz="4" w:space="0"/>
            </w:tcBorders>
          </w:tcPr>
          <w:p>
            <w:pPr>
              <w:rPr>
                <w:rFonts w:ascii="Times New Roman" w:hAnsi="Times New Roman" w:cs="Times New Roman"/>
                <w:color w:val="auto"/>
                <w:szCs w:val="24"/>
              </w:rPr>
            </w:pPr>
            <w:r>
              <w:rPr>
                <w:rFonts w:ascii="Times New Roman" w:hAnsi="Times New Roman" w:cs="Times New Roman"/>
                <w:color w:val="auto"/>
              </w:rPr>
              <w:t>　</w:t>
            </w:r>
            <w:r>
              <w:rPr>
                <w:rFonts w:ascii="Times New Roman" w:hAnsi="Times New Roman" w:cs="Times New Roman"/>
                <w:color w:val="auto"/>
                <w:kern w:val="0"/>
                <w:szCs w:val="21"/>
              </w:rPr>
              <w:t>商务服务业</w:t>
            </w:r>
          </w:p>
        </w:tc>
        <w:tc>
          <w:tcPr>
            <w:tcW w:w="1540" w:type="dxa"/>
            <w:tcBorders>
              <w:top w:val="nil"/>
              <w:left w:val="single" w:color="auto" w:sz="4" w:space="0"/>
              <w:bottom w:val="single" w:color="auto" w:sz="12" w:space="0"/>
              <w:right w:val="single" w:color="auto" w:sz="4" w:space="0"/>
            </w:tcBorders>
            <w:vAlign w:val="bottom"/>
          </w:tcPr>
          <w:p>
            <w:pPr>
              <w:widowControl/>
              <w:spacing w:line="240" w:lineRule="atLeast"/>
              <w:ind w:left="57" w:right="468" w:rightChars="223"/>
              <w:jc w:val="right"/>
              <w:rPr>
                <w:rFonts w:ascii="Times New Roman" w:hAnsi="Times New Roman" w:cs="Times New Roman"/>
                <w:color w:val="auto"/>
                <w:kern w:val="0"/>
                <w:sz w:val="18"/>
                <w:szCs w:val="18"/>
              </w:rPr>
            </w:pPr>
            <w:r>
              <w:rPr>
                <w:rFonts w:hint="default" w:ascii="Times New Roman" w:hAnsi="Times New Roman" w:cs="Times New Roman"/>
                <w:color w:val="auto"/>
                <w:kern w:val="0"/>
                <w:sz w:val="18"/>
                <w:szCs w:val="18"/>
                <w:lang w:val="en-US" w:eastAsia="zh-CN"/>
              </w:rPr>
              <w:t xml:space="preserve">330.49 </w:t>
            </w:r>
          </w:p>
        </w:tc>
        <w:tc>
          <w:tcPr>
            <w:tcW w:w="1540" w:type="dxa"/>
            <w:tcBorders>
              <w:top w:val="nil"/>
              <w:left w:val="single" w:color="auto" w:sz="4" w:space="0"/>
              <w:bottom w:val="single" w:color="auto" w:sz="12" w:space="0"/>
              <w:right w:val="single" w:color="auto" w:sz="4" w:space="0"/>
            </w:tcBorders>
            <w:vAlign w:val="bottom"/>
          </w:tcPr>
          <w:p>
            <w:pPr>
              <w:widowControl/>
              <w:spacing w:line="240" w:lineRule="atLeas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178.70 </w:t>
            </w:r>
          </w:p>
        </w:tc>
        <w:tc>
          <w:tcPr>
            <w:tcW w:w="1540" w:type="dxa"/>
            <w:tcBorders>
              <w:top w:val="nil"/>
              <w:left w:val="single" w:color="auto" w:sz="4" w:space="0"/>
              <w:bottom w:val="single" w:color="auto" w:sz="12" w:space="0"/>
              <w:right w:val="nil"/>
            </w:tcBorders>
            <w:vAlign w:val="bottom"/>
          </w:tcPr>
          <w:p>
            <w:pPr>
              <w:widowControl/>
              <w:spacing w:line="240" w:lineRule="atLeast"/>
              <w:ind w:left="57" w:right="468" w:rightChars="223"/>
              <w:jc w:val="right"/>
              <w:rPr>
                <w:rFonts w:hint="default" w:ascii="Times New Roman" w:hAnsi="Times New Roman" w:cs="Times New Roman"/>
                <w:color w:val="auto"/>
                <w:kern w:val="0"/>
                <w:sz w:val="18"/>
                <w:szCs w:val="18"/>
                <w:lang w:val="en-US" w:eastAsia="zh-CN"/>
              </w:rPr>
            </w:pPr>
            <w:r>
              <w:rPr>
                <w:rFonts w:hint="default" w:ascii="Times New Roman" w:hAnsi="Times New Roman" w:cs="Times New Roman"/>
                <w:color w:val="auto"/>
                <w:kern w:val="0"/>
                <w:sz w:val="18"/>
                <w:szCs w:val="18"/>
                <w:lang w:val="en-US" w:eastAsia="zh-CN"/>
              </w:rPr>
              <w:t xml:space="preserve">74.05 </w:t>
            </w:r>
          </w:p>
        </w:tc>
      </w:tr>
    </w:tbl>
    <w:p>
      <w:pPr>
        <w:widowControl/>
        <w:spacing w:line="600" w:lineRule="exact"/>
        <w:ind w:firstLine="480" w:firstLineChars="200"/>
        <w:rPr>
          <w:rFonts w:ascii="Times New Roman" w:hAnsi="Times New Roman" w:eastAsia="黑体" w:cs="Times New Roman"/>
          <w:color w:val="auto"/>
          <w:kern w:val="0"/>
          <w:sz w:val="24"/>
          <w:szCs w:val="24"/>
        </w:rPr>
      </w:pPr>
    </w:p>
    <w:p>
      <w:pPr>
        <w:widowControl/>
        <w:spacing w:line="600" w:lineRule="exact"/>
        <w:ind w:firstLine="560" w:firstLineChars="200"/>
        <w:rPr>
          <w:rFonts w:ascii="Times New Roman" w:hAnsi="Times New Roman" w:eastAsia="黑体" w:cs="Times New Roman"/>
          <w:color w:val="auto"/>
          <w:kern w:val="0"/>
          <w:sz w:val="28"/>
          <w:szCs w:val="28"/>
        </w:rPr>
      </w:pPr>
      <w:r>
        <w:rPr>
          <w:rFonts w:ascii="Times New Roman" w:hAnsi="Times New Roman" w:eastAsia="黑体" w:cs="Times New Roman"/>
          <w:color w:val="auto"/>
          <w:kern w:val="0"/>
          <w:sz w:val="28"/>
          <w:szCs w:val="28"/>
        </w:rPr>
        <w:t>注释：</w:t>
      </w:r>
    </w:p>
    <w:p>
      <w:pPr>
        <w:widowControl/>
        <w:spacing w:line="600" w:lineRule="exact"/>
        <w:ind w:firstLine="560" w:firstLineChars="200"/>
        <w:rPr>
          <w:rFonts w:ascii="Times New Roman" w:hAnsi="Times New Roman" w:eastAsia="仿宋_GB2312" w:cs="Times New Roman"/>
          <w:color w:val="auto"/>
          <w:kern w:val="0"/>
          <w:sz w:val="28"/>
          <w:szCs w:val="28"/>
        </w:rPr>
      </w:pPr>
      <w:r>
        <w:rPr>
          <w:rFonts w:ascii="Times New Roman" w:hAnsi="Times New Roman" w:eastAsia="仿宋_GB2312" w:cs="Times New Roman"/>
          <w:color w:val="auto"/>
          <w:kern w:val="0"/>
          <w:sz w:val="28"/>
          <w:szCs w:val="28"/>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pPr>
        <w:widowControl/>
        <w:spacing w:line="600" w:lineRule="exact"/>
        <w:ind w:firstLine="560" w:firstLineChars="200"/>
        <w:rPr>
          <w:rFonts w:ascii="Times New Roman" w:hAnsi="Times New Roman" w:eastAsia="仿宋_GB2312" w:cs="Times New Roman"/>
          <w:color w:val="auto"/>
          <w:kern w:val="0"/>
          <w:sz w:val="28"/>
          <w:szCs w:val="28"/>
        </w:rPr>
      </w:pPr>
      <w:r>
        <w:rPr>
          <w:rFonts w:ascii="Times New Roman" w:hAnsi="Times New Roman" w:eastAsia="仿宋_GB2312" w:cs="Times New Roman"/>
          <w:color w:val="auto"/>
          <w:kern w:val="0"/>
          <w:sz w:val="28"/>
          <w:szCs w:val="28"/>
        </w:rPr>
        <w:t>[2]表中的合计数和部分计算数据因小数取舍而产生的误差，均未作机械调整。</w:t>
      </w: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cstheme="minorEastAsia"/>
                        <w:sz w:val="28"/>
                        <w:szCs w:val="28"/>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B7F68"/>
    <w:rsid w:val="00F546AB"/>
    <w:rsid w:val="034E39E1"/>
    <w:rsid w:val="046D633C"/>
    <w:rsid w:val="065A4D3A"/>
    <w:rsid w:val="06E74351"/>
    <w:rsid w:val="0CB702CC"/>
    <w:rsid w:val="0D056EA7"/>
    <w:rsid w:val="13D41F82"/>
    <w:rsid w:val="191956BE"/>
    <w:rsid w:val="250855D9"/>
    <w:rsid w:val="2721038C"/>
    <w:rsid w:val="2C883A13"/>
    <w:rsid w:val="2F041772"/>
    <w:rsid w:val="315941C1"/>
    <w:rsid w:val="3350351F"/>
    <w:rsid w:val="341B7F68"/>
    <w:rsid w:val="35C863A4"/>
    <w:rsid w:val="36946754"/>
    <w:rsid w:val="3B4D69E4"/>
    <w:rsid w:val="437D5C8D"/>
    <w:rsid w:val="4EB563C9"/>
    <w:rsid w:val="5A2646AF"/>
    <w:rsid w:val="5AC6784C"/>
    <w:rsid w:val="5B585398"/>
    <w:rsid w:val="60EC63E5"/>
    <w:rsid w:val="6C822481"/>
    <w:rsid w:val="761142B9"/>
    <w:rsid w:val="7D922D4C"/>
    <w:rsid w:val="7FD95C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jc w:val="left"/>
    </w:pPr>
    <w:rPr>
      <w:rFonts w:cs="Times New Roman"/>
      <w:kern w:val="0"/>
      <w:sz w:val="24"/>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2020-03-12T07:07:00Z</dcterms:created>
  <dc:creator>Hjb</dc:creator>
  <cp:lastModifiedBy>Hjb</cp:lastModifiedBy>
  <dcterms:modified xsi:type="dcterms:W3CDTF">2020-03-30T02:48:30Z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