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关于印发重庆市荣昌区落实生态保护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红线、环境质量底线、资源利用上线制定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生态环境准入清单实施生态环境分区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管控实施方案的通知</w:t>
      </w: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cs="方正仿宋_GBK"/>
          <w:szCs w:val="32"/>
        </w:rPr>
      </w:pPr>
      <w:r>
        <w:rPr>
          <w:rFonts w:hint="eastAsia" w:ascii="宋体" w:hAnsi="宋体" w:cs="方正仿宋_GBK"/>
          <w:szCs w:val="32"/>
        </w:rPr>
        <w:t>荣昌府发〔2020〕22号</w:t>
      </w: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cs="方正仿宋_GBK"/>
          <w:szCs w:val="32"/>
        </w:rPr>
      </w:pPr>
    </w:p>
    <w:p>
      <w:pPr>
        <w:keepNext w:val="0"/>
        <w:keepLines w:val="0"/>
        <w:pageBreakBefore w:val="0"/>
        <w:kinsoku/>
        <w:overflowPunct/>
        <w:topLinePunct w:val="0"/>
        <w:autoSpaceDE/>
        <w:autoSpaceDN/>
        <w:bidi w:val="0"/>
        <w:adjustRightInd/>
        <w:spacing w:line="600" w:lineRule="exact"/>
        <w:textAlignment w:val="auto"/>
        <w:rPr>
          <w:rFonts w:ascii="宋体" w:hAnsi="宋体" w:cs="方正仿宋_GBK"/>
          <w:szCs w:val="32"/>
        </w:rPr>
      </w:pPr>
      <w:r>
        <w:rPr>
          <w:rFonts w:hint="eastAsia" w:ascii="宋体" w:hAnsi="宋体" w:cs="方正仿宋_GBK"/>
          <w:szCs w:val="32"/>
        </w:rPr>
        <w:t>各镇人民政府，各街道办事处，区政府各部门，有关单位：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《重庆市荣昌区落实生态保护红线、环境质量底线、资源利用上线制定生态环境准入清单实施生态环境分区管控实施方案》已经区政府第</w:t>
      </w:r>
      <w:r>
        <w:rPr>
          <w:rFonts w:ascii="宋体" w:hAnsi="宋体" w:cs="方正仿宋_GBK"/>
          <w:szCs w:val="32"/>
        </w:rPr>
        <w:t>94</w:t>
      </w:r>
      <w:r>
        <w:rPr>
          <w:rFonts w:hint="eastAsia" w:ascii="宋体" w:hAnsi="宋体" w:cs="方正仿宋_GBK"/>
          <w:szCs w:val="32"/>
        </w:rPr>
        <w:t>次常务会</w:t>
      </w:r>
      <w:r>
        <w:rPr>
          <w:rFonts w:hint="eastAsia" w:ascii="宋体" w:hAnsi="宋体" w:cs="方正仿宋_GBK"/>
          <w:szCs w:val="32"/>
          <w:lang w:eastAsia="zh-CN"/>
        </w:rPr>
        <w:t>议</w:t>
      </w:r>
      <w:r>
        <w:rPr>
          <w:rFonts w:hint="eastAsia" w:ascii="宋体" w:hAnsi="宋体" w:cs="方正仿宋_GBK"/>
          <w:szCs w:val="32"/>
        </w:rPr>
        <w:t>审议通过，现印发给你们，请认真贯彻执行。</w:t>
      </w:r>
    </w:p>
    <w:p>
      <w:pPr>
        <w:keepNext w:val="0"/>
        <w:keepLines w:val="0"/>
        <w:pageBreakBefore w:val="0"/>
        <w:kinsoku/>
        <w:overflowPunct/>
        <w:topLinePunct w:val="0"/>
        <w:autoSpaceDE/>
        <w:autoSpaceDN/>
        <w:bidi w:val="0"/>
        <w:adjustRightInd/>
        <w:spacing w:line="600" w:lineRule="exact"/>
        <w:ind w:firstLine="3840" w:firstLineChars="1200"/>
        <w:textAlignment w:val="auto"/>
        <w:rPr>
          <w:rFonts w:ascii="宋体" w:hAnsi="宋体" w:cs="方正仿宋_GBK"/>
          <w:szCs w:val="32"/>
        </w:rPr>
      </w:pPr>
    </w:p>
    <w:p>
      <w:pPr>
        <w:keepNext w:val="0"/>
        <w:keepLines w:val="0"/>
        <w:pageBreakBefore w:val="0"/>
        <w:kinsoku/>
        <w:overflowPunct/>
        <w:topLinePunct w:val="0"/>
        <w:autoSpaceDE/>
        <w:autoSpaceDN/>
        <w:bidi w:val="0"/>
        <w:adjustRightInd/>
        <w:snapToGrid w:val="0"/>
        <w:spacing w:line="600" w:lineRule="exact"/>
        <w:textAlignment w:val="auto"/>
        <w:rPr>
          <w:rFonts w:hint="eastAsia" w:ascii="宋体" w:hAnsi="宋体" w:eastAsia="仿宋" w:cs="仿宋"/>
          <w:szCs w:val="32"/>
        </w:rPr>
      </w:pPr>
    </w:p>
    <w:p>
      <w:pPr>
        <w:keepNext w:val="0"/>
        <w:keepLines w:val="0"/>
        <w:pageBreakBefore w:val="0"/>
        <w:kinsoku/>
        <w:wordWrap w:val="0"/>
        <w:overflowPunct/>
        <w:topLinePunct w:val="0"/>
        <w:autoSpaceDE/>
        <w:autoSpaceDN/>
        <w:bidi w:val="0"/>
        <w:adjustRightInd/>
        <w:spacing w:line="600" w:lineRule="exact"/>
        <w:ind w:right="38" w:rightChars="12" w:firstLine="960" w:firstLineChars="300"/>
        <w:jc w:val="right"/>
        <w:textAlignment w:val="auto"/>
        <w:rPr>
          <w:rFonts w:hint="eastAsia" w:ascii="宋体" w:hAnsi="宋体" w:cs="仿宋"/>
          <w:szCs w:val="32"/>
        </w:rPr>
      </w:pPr>
      <w:r>
        <w:rPr>
          <w:rFonts w:hint="eastAsia" w:ascii="宋体" w:hAnsi="宋体" w:eastAsia="仿宋" w:cs="仿宋"/>
          <w:szCs w:val="32"/>
        </w:rPr>
        <w:t xml:space="preserve">   </w:t>
      </w:r>
      <w:r>
        <w:rPr>
          <w:rFonts w:hint="eastAsia" w:ascii="宋体" w:hAnsi="宋体" w:cs="仿宋"/>
          <w:szCs w:val="32"/>
        </w:rPr>
        <w:t xml:space="preserve">             重庆市荣昌区人民政府      </w:t>
      </w:r>
    </w:p>
    <w:p>
      <w:pPr>
        <w:keepNext w:val="0"/>
        <w:keepLines w:val="0"/>
        <w:pageBreakBefore w:val="0"/>
        <w:kinsoku/>
        <w:wordWrap w:val="0"/>
        <w:overflowPunct/>
        <w:topLinePunct w:val="0"/>
        <w:autoSpaceDE/>
        <w:autoSpaceDN/>
        <w:bidi w:val="0"/>
        <w:adjustRightInd/>
        <w:spacing w:line="600" w:lineRule="exact"/>
        <w:jc w:val="right"/>
        <w:textAlignment w:val="auto"/>
        <w:rPr>
          <w:rFonts w:hint="eastAsia" w:ascii="宋体" w:hAnsi="宋体" w:cs="仿宋"/>
          <w:szCs w:val="32"/>
        </w:rPr>
      </w:pPr>
      <w:r>
        <w:rPr>
          <w:rFonts w:hint="eastAsia" w:ascii="宋体" w:hAnsi="宋体"/>
          <w:szCs w:val="32"/>
        </w:rPr>
        <w:t xml:space="preserve">  2020</w:t>
      </w:r>
      <w:r>
        <w:rPr>
          <w:rFonts w:hint="eastAsia" w:ascii="宋体" w:hAnsi="宋体" w:cs="仿宋"/>
          <w:szCs w:val="32"/>
        </w:rPr>
        <w:t xml:space="preserve">年11月30日        </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keepNext w:val="0"/>
        <w:keepLines w:val="0"/>
        <w:pageBreakBefore w:val="0"/>
        <w:kinsoku/>
        <w:overflowPunct/>
        <w:topLinePunct w:val="0"/>
        <w:autoSpaceDE/>
        <w:autoSpaceDN/>
        <w:bidi w:val="0"/>
        <w:adjustRightInd/>
        <w:spacing w:line="600" w:lineRule="exact"/>
        <w:textAlignment w:val="auto"/>
        <w:rPr>
          <w:rFonts w:hint="eastAsia" w:ascii="宋体" w:hAnsi="宋体"/>
          <w:szCs w:val="32"/>
        </w:rPr>
      </w:pP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宋体" w:hAnsi="宋体"/>
          <w:szCs w:val="32"/>
        </w:rPr>
      </w:pPr>
      <w:r>
        <w:rPr>
          <w:rFonts w:ascii="宋体" w:hAnsi="宋体"/>
          <w:szCs w:val="32"/>
        </w:rPr>
        <w:br w:type="page"/>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重庆市荣昌区</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落实生态保护红线、环境质量底线、</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资源利用上线制定生态环境准入清单实施</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生态环境分区管控实施方案</w:t>
      </w:r>
    </w:p>
    <w:p>
      <w:pPr>
        <w:snapToGrid w:val="0"/>
        <w:ind w:firstLine="560" w:firstLineChars="200"/>
        <w:rPr>
          <w:rFonts w:ascii="宋体" w:hAnsi="宋体" w:cs="方正小标宋_GBK"/>
          <w:color w:val="FF0000"/>
          <w:sz w:val="28"/>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为全面落实《重庆市人民政府关于落实生态保护红线、环境质量底线、资源利用上线制定生态环境准入清单实施生态环境分区管控的实施意见》（渝府发〔</w:t>
      </w:r>
      <w:r>
        <w:rPr>
          <w:rFonts w:ascii="宋体" w:hAnsi="宋体" w:cs="方正仿宋_GBK"/>
          <w:szCs w:val="32"/>
        </w:rPr>
        <w:t>2020</w:t>
      </w:r>
      <w:r>
        <w:rPr>
          <w:rFonts w:hint="eastAsia" w:ascii="宋体" w:hAnsi="宋体" w:cs="方正仿宋_GBK"/>
          <w:szCs w:val="32"/>
        </w:rPr>
        <w:t>〕</w:t>
      </w:r>
      <w:r>
        <w:rPr>
          <w:rFonts w:ascii="宋体" w:hAnsi="宋体" w:cs="方正仿宋_GBK"/>
          <w:szCs w:val="32"/>
        </w:rPr>
        <w:t>11</w:t>
      </w:r>
      <w:r>
        <w:rPr>
          <w:rFonts w:hint="eastAsia" w:ascii="宋体" w:hAnsi="宋体" w:cs="方正仿宋_GBK"/>
          <w:szCs w:val="32"/>
        </w:rPr>
        <w:t>号），现结合荣昌区实际，就落实生态保护红线、环境质量底线、资源利用上线，制定生态环境准入清单（以下简称三线一单），实施生态环境分区管控，制定本实施方案。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黑体_GBK" w:cs="方正黑体_GBK"/>
          <w:szCs w:val="32"/>
        </w:rPr>
      </w:pPr>
      <w:r>
        <w:rPr>
          <w:rFonts w:hint="eastAsia" w:ascii="宋体" w:hAnsi="宋体" w:eastAsia="方正黑体_GBK" w:cs="方正黑体_GBK"/>
          <w:szCs w:val="32"/>
        </w:rPr>
        <w:t>一、总体要求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（一）指导思想。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以习近平新时代中国特色社会主义思想为指导，全面贯彻党的十九大、</w:t>
      </w:r>
      <w:r>
        <w:rPr>
          <w:rFonts w:hint="eastAsia" w:ascii="宋体" w:hAnsi="宋体" w:cs="方正仿宋_GBK"/>
          <w:szCs w:val="32"/>
          <w:lang w:eastAsia="zh-CN"/>
        </w:rPr>
        <w:t>十九届二中、三中、四中全会</w:t>
      </w:r>
      <w:r>
        <w:rPr>
          <w:rFonts w:hint="eastAsia" w:ascii="宋体" w:hAnsi="宋体" w:cs="方正仿宋_GBK"/>
          <w:szCs w:val="32"/>
        </w:rPr>
        <w:t>精神和中央经济工作会议精神，深化落实习近平总书记对重庆提出的“两点”定位、“两地”“两高”目标、发挥“三个作用”和营造良好政治生态的重要指示要求，深学笃用习近平生态文明思想，助力成渝地区双城经济圈建设，推动“一区两群”协调发展，建立以三线一单为核心的生态环境分区管控体系，加快建设山清水秀美丽之地，筑牢长江上游重要生态屏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（二）基本原则。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坚持保护优先。落实生态保护红线、环境质量底线、资源利用上线硬约束，推动形成绿色发展方式和生活方式。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坚持分类施策。针对流域、区域、行业特点，聚焦问题和目标，实施生态环境分区管控。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坚持稳中求进。坚持生态环境管控内容不突破、管理要求不降低，结合经济社会发展新形势和环境质量改善新要求，定期评估调整和动态更新。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（三）总体目标。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到</w:t>
      </w:r>
      <w:r>
        <w:rPr>
          <w:rFonts w:ascii="宋体" w:hAnsi="宋体" w:cs="方正仿宋_GBK"/>
          <w:szCs w:val="32"/>
        </w:rPr>
        <w:t>2020</w:t>
      </w:r>
      <w:r>
        <w:rPr>
          <w:rFonts w:hint="eastAsia" w:ascii="宋体" w:hAnsi="宋体" w:cs="方正仿宋_GBK"/>
          <w:szCs w:val="32"/>
        </w:rPr>
        <w:t>年，生态环境质量总体改善，主要污染物排放总量减少，环境风险得到有效管控，资源节约型和环境友好型社会建设取得进展，生态环境保护水平同全面建成小康社会目标相适应。</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到</w:t>
      </w:r>
      <w:r>
        <w:rPr>
          <w:rFonts w:ascii="宋体" w:hAnsi="宋体" w:cs="方正仿宋_GBK"/>
          <w:szCs w:val="32"/>
        </w:rPr>
        <w:t>2025</w:t>
      </w:r>
      <w:r>
        <w:rPr>
          <w:rFonts w:hint="eastAsia" w:ascii="宋体" w:hAnsi="宋体" w:cs="方正仿宋_GBK"/>
          <w:szCs w:val="32"/>
        </w:rPr>
        <w:t>年，产业结构调整深入推进，绿色发展和绿色生活水平显著提升，生态环境质量持续改善，环境风险得到有效管控，主要污染物排放量持续减少，生态系统稳定性进一步提升，环境治理体系和治理能力现代化水平明显提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到</w:t>
      </w:r>
      <w:r>
        <w:rPr>
          <w:rFonts w:ascii="宋体" w:hAnsi="宋体" w:cs="方正仿宋_GBK"/>
          <w:szCs w:val="32"/>
        </w:rPr>
        <w:t>2035</w:t>
      </w:r>
      <w:r>
        <w:rPr>
          <w:rFonts w:hint="eastAsia" w:ascii="宋体" w:hAnsi="宋体" w:cs="方正仿宋_GBK"/>
          <w:szCs w:val="32"/>
        </w:rPr>
        <w:t>年，节约资源和保护生态环境的空间格局、产业结构、生产方式、生活方式总体形成，生态环境质量实现根本好转。</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到本世纪中叶，生态文明全面提升，实现生态环境治理体系和治理能力现代化。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黑体_GBK" w:cs="方正黑体_GBK"/>
          <w:szCs w:val="32"/>
        </w:rPr>
      </w:pPr>
      <w:r>
        <w:rPr>
          <w:rFonts w:hint="eastAsia" w:ascii="宋体" w:hAnsi="宋体" w:eastAsia="方正黑体_GBK" w:cs="方正黑体_GBK"/>
          <w:szCs w:val="32"/>
        </w:rPr>
        <w:t>二、分区管控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（四）环境管控单元划分。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环境管控单元包括优先保护单元、重点管控单元、一般管控单元三类。优先保护单元指以生态环境保护为主的区域，主要包括饮用水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全区国土空间按优先保护单元、重点管控单元、一般管控单元三大类划分为</w:t>
      </w:r>
      <w:r>
        <w:rPr>
          <w:rFonts w:ascii="宋体" w:hAnsi="宋体" w:cs="方正仿宋_GBK"/>
          <w:szCs w:val="32"/>
        </w:rPr>
        <w:t>17</w:t>
      </w:r>
      <w:r>
        <w:rPr>
          <w:rFonts w:hint="eastAsia" w:ascii="宋体" w:hAnsi="宋体" w:cs="方正仿宋_GBK"/>
          <w:szCs w:val="32"/>
        </w:rPr>
        <w:t>个环境管控单元。其中，优先保护单元</w:t>
      </w:r>
      <w:r>
        <w:rPr>
          <w:rFonts w:ascii="宋体" w:hAnsi="宋体" w:cs="方正仿宋_GBK"/>
          <w:szCs w:val="32"/>
        </w:rPr>
        <w:t>6</w:t>
      </w:r>
      <w:r>
        <w:rPr>
          <w:rFonts w:hint="eastAsia" w:ascii="宋体" w:hAnsi="宋体" w:cs="方正仿宋_GBK"/>
          <w:szCs w:val="32"/>
        </w:rPr>
        <w:t>个，面积占比</w:t>
      </w:r>
      <w:r>
        <w:rPr>
          <w:rFonts w:ascii="宋体" w:hAnsi="宋体" w:cs="方正仿宋_GBK"/>
          <w:szCs w:val="32"/>
        </w:rPr>
        <w:t>10.5%</w:t>
      </w:r>
      <w:r>
        <w:rPr>
          <w:rFonts w:hint="eastAsia" w:ascii="宋体" w:hAnsi="宋体" w:cs="方正仿宋_GBK"/>
          <w:szCs w:val="32"/>
        </w:rPr>
        <w:t>；重点管控单元</w:t>
      </w:r>
      <w:r>
        <w:rPr>
          <w:rFonts w:ascii="宋体" w:hAnsi="宋体" w:cs="方正仿宋_GBK"/>
          <w:szCs w:val="32"/>
        </w:rPr>
        <w:t>5</w:t>
      </w:r>
      <w:r>
        <w:rPr>
          <w:rFonts w:hint="eastAsia" w:ascii="宋体" w:hAnsi="宋体" w:cs="方正仿宋_GBK"/>
          <w:szCs w:val="32"/>
        </w:rPr>
        <w:t>个，面积占比</w:t>
      </w:r>
      <w:r>
        <w:rPr>
          <w:rFonts w:ascii="宋体" w:hAnsi="宋体" w:cs="方正仿宋_GBK"/>
          <w:szCs w:val="32"/>
        </w:rPr>
        <w:t>38.3%</w:t>
      </w:r>
      <w:r>
        <w:rPr>
          <w:rFonts w:hint="eastAsia" w:ascii="宋体" w:hAnsi="宋体" w:cs="方正仿宋_GBK"/>
          <w:szCs w:val="32"/>
        </w:rPr>
        <w:t>；一般管控单元</w:t>
      </w:r>
      <w:r>
        <w:rPr>
          <w:rFonts w:ascii="宋体" w:hAnsi="宋体" w:cs="方正仿宋_GBK"/>
          <w:szCs w:val="32"/>
        </w:rPr>
        <w:t>6</w:t>
      </w:r>
      <w:r>
        <w:rPr>
          <w:rFonts w:hint="eastAsia" w:ascii="宋体" w:hAnsi="宋体" w:cs="方正仿宋_GBK"/>
          <w:szCs w:val="32"/>
        </w:rPr>
        <w:t>个，面积占比</w:t>
      </w:r>
      <w:r>
        <w:rPr>
          <w:rFonts w:ascii="宋体" w:hAnsi="宋体" w:cs="方正仿宋_GBK"/>
          <w:szCs w:val="32"/>
        </w:rPr>
        <w:t>51.2%</w:t>
      </w:r>
      <w:r>
        <w:rPr>
          <w:rFonts w:hint="eastAsia" w:ascii="宋体" w:hAnsi="宋体" w:cs="方正仿宋_GBK"/>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（五）分区环境管控要求。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实施差异化管理。对区内濑溪河、清流河、高升桥水库等水体及铜鼓山、螺罐山、古佛山等生态屏障，持续加大保护力度，提升生态稳定性。大力推进各园区产业升级，严格工业布局约束，强化污染物排放控制，提升绿色发展水平。优化商业区、居住区布局，持续推进城市水体治理保护，严控扬尘及生活大气污染，提升人居环境质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黑体_GBK" w:cs="方正黑体_GBK"/>
          <w:szCs w:val="32"/>
        </w:rPr>
      </w:pPr>
      <w:r>
        <w:rPr>
          <w:rFonts w:hint="eastAsia" w:ascii="宋体" w:hAnsi="宋体" w:eastAsia="方正黑体_GBK" w:cs="方正黑体_GBK"/>
          <w:szCs w:val="32"/>
        </w:rPr>
        <w:t>三、工作要求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（六）实施与应用。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根据市级总体管控要求，细化落实全区各具体单元管控要求，并将相应管控要求数据上传至三线一单数据应用平台。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区域资源开发、产业布局和结构调整、城镇建设、重大项目选址应将环境管控单元及生态环境准入清单作为重要依据，相关政策、规划、方案需说明与三线一单的符合性，在政策制定、规划编制、执法监管中不得变通突破、降低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国土空间规划、相关规划应将落实到具体空间的生态、水、大气、土壤、资源利用等红线、底线和上线要求作为编制的基础。</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区域、流域等产业发展应将三线一单提出的要求作为产业准入负面清单编制基础，具体管控单元的管控要求作为产业准入负面清单在具体区域、园区和单元落地的支撑。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监管开发建设行为和生产活动时，应将三线一单作为重要依据。生态环境分区管控要求应作为生态环境监管的重点内容。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（七）更新与调整。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dstrike/>
          <w:color w:val="000000"/>
          <w:szCs w:val="32"/>
        </w:rPr>
      </w:pPr>
      <w:r>
        <w:rPr>
          <w:rFonts w:hint="eastAsia" w:ascii="宋体" w:hAnsi="宋体" w:cs="方正仿宋_GBK"/>
          <w:color w:val="000000"/>
          <w:szCs w:val="32"/>
        </w:rPr>
        <w:t>区生态环境局</w:t>
      </w:r>
      <w:r>
        <w:rPr>
          <w:rFonts w:hint="eastAsia" w:ascii="宋体" w:hAnsi="宋体" w:cs="方正仿宋_GBK"/>
          <w:color w:val="000000"/>
          <w:szCs w:val="32"/>
          <w:shd w:val="clear" w:color="auto" w:fill="FFFFFF"/>
        </w:rPr>
        <w:t>每</w:t>
      </w:r>
      <w:r>
        <w:rPr>
          <w:rFonts w:ascii="宋体" w:hAnsi="宋体" w:cs="方正仿宋_GBK"/>
          <w:color w:val="000000"/>
          <w:szCs w:val="32"/>
          <w:shd w:val="clear" w:color="auto" w:fill="FFFFFF"/>
        </w:rPr>
        <w:t>5</w:t>
      </w:r>
      <w:r>
        <w:rPr>
          <w:rFonts w:hint="eastAsia" w:ascii="宋体" w:hAnsi="宋体" w:cs="方正仿宋_GBK"/>
          <w:color w:val="000000"/>
          <w:szCs w:val="32"/>
          <w:shd w:val="clear" w:color="auto" w:fill="FFFFFF"/>
        </w:rPr>
        <w:t>年根据实施情况对三线一单进行更新调整，</w:t>
      </w:r>
      <w:r>
        <w:rPr>
          <w:rFonts w:ascii="宋体" w:hAnsi="宋体" w:cs="方正仿宋_GBK"/>
          <w:color w:val="000000"/>
          <w:szCs w:val="32"/>
          <w:shd w:val="clear" w:color="auto" w:fill="FFFFFF"/>
        </w:rPr>
        <w:t>5</w:t>
      </w:r>
      <w:r>
        <w:rPr>
          <w:rFonts w:hint="eastAsia" w:ascii="宋体" w:hAnsi="宋体" w:cs="方正仿宋_GBK"/>
          <w:color w:val="000000"/>
          <w:szCs w:val="32"/>
          <w:shd w:val="clear" w:color="auto" w:fill="FFFFFF"/>
        </w:rPr>
        <w:t>年内因国家和地方发展战略、生态保护红线、自然保护地、生态环境质量目标调整，三线一单确需进行更新的，按相关程序报批。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黑体_GBK" w:cs="方正黑体_GBK"/>
          <w:szCs w:val="32"/>
        </w:rPr>
      </w:pPr>
      <w:r>
        <w:rPr>
          <w:rFonts w:hint="eastAsia" w:ascii="宋体" w:hAnsi="宋体" w:eastAsia="方正黑体_GBK" w:cs="方正黑体_GBK"/>
          <w:szCs w:val="32"/>
        </w:rPr>
        <w:t>四、保障措施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（八）组织保障。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区生态环境部门组织全区三线一单实施、评估、更新调整和宣传工作，区级有关部门结合本单位职责职能做好三线一单实施工作，并积极参与更新调整和宣传工作。同时，各镇人民政府、各街道办事处履行属地管辖职责，配合做好本辖区三线一单实施和宣传等相关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（九）资金、技术保障。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组建长期稳定的专业技术团队，安排专项财政资金，切实保障三线一单实施、评估、更新调整、数据应用和维护等。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color w:val="000000"/>
          <w:szCs w:val="32"/>
        </w:rPr>
      </w:pPr>
      <w:r>
        <w:rPr>
          <w:rFonts w:hint="eastAsia" w:ascii="宋体" w:hAnsi="宋体" w:cs="方正仿宋_GBK"/>
          <w:color w:val="000000"/>
          <w:szCs w:val="32"/>
        </w:rPr>
        <w:t>本实施方案自发布之日起施行。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宋体" w:hAnsi="宋体" w:cs="方正仿宋_GBK"/>
          <w:szCs w:val="32"/>
        </w:rPr>
      </w:pPr>
      <w:r>
        <w:rPr>
          <w:rFonts w:hint="eastAsia" w:ascii="宋体" w:hAnsi="宋体" w:cs="方正仿宋_GBK"/>
          <w:szCs w:val="32"/>
        </w:rPr>
        <w:t>附件：</w:t>
      </w:r>
      <w:r>
        <w:rPr>
          <w:rFonts w:ascii="宋体" w:hAnsi="宋体" w:cs="方正仿宋_GBK"/>
          <w:szCs w:val="32"/>
        </w:rPr>
        <w:t>1</w:t>
      </w:r>
      <w:r>
        <w:rPr>
          <w:rFonts w:hint="eastAsia" w:ascii="宋体" w:hAnsi="宋体" w:cs="方正仿宋_GBK"/>
          <w:szCs w:val="32"/>
        </w:rPr>
        <w:t>﹒荣昌区环境管控单元一览表</w:t>
      </w:r>
    </w:p>
    <w:p>
      <w:pPr>
        <w:keepNext w:val="0"/>
        <w:keepLines w:val="0"/>
        <w:pageBreakBefore w:val="0"/>
        <w:widowControl w:val="0"/>
        <w:kinsoku/>
        <w:wordWrap/>
        <w:overflowPunct/>
        <w:topLinePunct w:val="0"/>
        <w:autoSpaceDE/>
        <w:autoSpaceDN/>
        <w:bidi w:val="0"/>
        <w:adjustRightInd/>
        <w:spacing w:line="600" w:lineRule="exact"/>
        <w:ind w:firstLine="1600" w:firstLineChars="500"/>
        <w:textAlignment w:val="auto"/>
        <w:rPr>
          <w:rFonts w:ascii="宋体" w:hAnsi="宋体" w:cs="方正仿宋_GBK"/>
          <w:szCs w:val="32"/>
        </w:rPr>
      </w:pPr>
      <w:r>
        <w:rPr>
          <w:rFonts w:ascii="宋体" w:hAnsi="宋体" w:cs="方正仿宋_GBK"/>
          <w:szCs w:val="32"/>
        </w:rPr>
        <w:t>2</w:t>
      </w:r>
      <w:r>
        <w:rPr>
          <w:rFonts w:hint="eastAsia" w:ascii="宋体" w:hAnsi="宋体" w:cs="方正仿宋_GBK"/>
          <w:szCs w:val="32"/>
        </w:rPr>
        <w:t>﹒荣昌区总体管控要求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方正黑体_GBK"/>
          <w:szCs w:val="32"/>
          <w:lang w:eastAsia="zh-CN"/>
        </w:rPr>
      </w:pPr>
      <w:r>
        <w:rPr>
          <w:rFonts w:hint="eastAsia" w:ascii="宋体" w:hAnsi="宋体" w:eastAsia="方正黑体_GBK"/>
          <w:szCs w:val="32"/>
        </w:rPr>
        <w:br w:type="page"/>
      </w:r>
      <w:r>
        <w:rPr>
          <w:rFonts w:hint="eastAsia" w:ascii="宋体" w:hAnsi="宋体" w:eastAsia="方正黑体_GBK"/>
          <w:szCs w:val="32"/>
        </w:rPr>
        <w:t>附件</w:t>
      </w:r>
      <w:r>
        <w:rPr>
          <w:rFonts w:hint="eastAsia" w:ascii="宋体" w:hAnsi="宋体" w:eastAsia="方正黑体_GBK"/>
          <w:szCs w:val="32"/>
          <w:lang w:val="en-US" w:eastAsia="zh-CN"/>
        </w:rPr>
        <w:t>1</w:t>
      </w:r>
    </w:p>
    <w:p>
      <w:pPr>
        <w:pStyle w:val="7"/>
        <w:rPr>
          <w:rFonts w:hint="eastAsia" w:ascii="宋体" w:hAnsi="宋体"/>
        </w:rPr>
      </w:pPr>
    </w:p>
    <w:p>
      <w:pPr>
        <w:spacing w:after="289" w:afterLines="50"/>
        <w:jc w:val="center"/>
        <w:rPr>
          <w:rFonts w:ascii="宋体" w:hAnsi="宋体" w:eastAsia="方正小标宋_GBK" w:cs="方正小标宋_GBK"/>
          <w:szCs w:val="32"/>
        </w:rPr>
      </w:pPr>
      <w:r>
        <w:rPr>
          <w:rFonts w:hint="eastAsia" w:ascii="宋体" w:hAnsi="宋体" w:eastAsia="方正小标宋_GBK" w:cs="方正小标宋_GBK"/>
          <w:szCs w:val="32"/>
        </w:rPr>
        <w:t>荣昌区环境管控单元一览表</w:t>
      </w:r>
    </w:p>
    <w:tbl>
      <w:tblPr>
        <w:tblStyle w:val="12"/>
        <w:tblW w:w="8883" w:type="dxa"/>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716"/>
        <w:gridCol w:w="1341"/>
        <w:gridCol w:w="2218"/>
        <w:gridCol w:w="4608"/>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tblHeader/>
          <w:jc w:val="center"/>
        </w:trPr>
        <w:tc>
          <w:tcPr>
            <w:tcW w:w="716" w:type="dxa"/>
            <w:vAlign w:val="center"/>
          </w:tcPr>
          <w:p>
            <w:pPr>
              <w:pStyle w:val="18"/>
              <w:adjustRightInd w:val="0"/>
              <w:snapToGrid w:val="0"/>
              <w:rPr>
                <w:rFonts w:eastAsia="方正黑体_GBK"/>
                <w:bCs/>
                <w:sz w:val="28"/>
                <w:szCs w:val="28"/>
              </w:rPr>
            </w:pPr>
            <w:r>
              <w:rPr>
                <w:rFonts w:hint="eastAsia" w:eastAsia="方正黑体_GBK"/>
                <w:bCs/>
                <w:sz w:val="28"/>
                <w:szCs w:val="28"/>
              </w:rPr>
              <w:t>序号</w:t>
            </w:r>
          </w:p>
        </w:tc>
        <w:tc>
          <w:tcPr>
            <w:tcW w:w="1341" w:type="dxa"/>
            <w:vAlign w:val="center"/>
          </w:tcPr>
          <w:p>
            <w:pPr>
              <w:pStyle w:val="18"/>
              <w:adjustRightInd w:val="0"/>
              <w:snapToGrid w:val="0"/>
              <w:rPr>
                <w:rFonts w:eastAsia="方正黑体_GBK"/>
                <w:sz w:val="28"/>
                <w:szCs w:val="28"/>
              </w:rPr>
            </w:pPr>
            <w:r>
              <w:rPr>
                <w:rFonts w:hint="eastAsia" w:eastAsia="方正黑体_GBK"/>
                <w:bCs/>
                <w:sz w:val="28"/>
                <w:szCs w:val="28"/>
              </w:rPr>
              <w:t>类型</w:t>
            </w:r>
          </w:p>
        </w:tc>
        <w:tc>
          <w:tcPr>
            <w:tcW w:w="2218" w:type="dxa"/>
            <w:vAlign w:val="center"/>
          </w:tcPr>
          <w:p>
            <w:pPr>
              <w:pStyle w:val="18"/>
              <w:adjustRightInd w:val="0"/>
              <w:snapToGrid w:val="0"/>
              <w:rPr>
                <w:rFonts w:eastAsia="方正黑体_GBK"/>
                <w:bCs/>
                <w:sz w:val="28"/>
                <w:szCs w:val="28"/>
              </w:rPr>
            </w:pPr>
            <w:r>
              <w:rPr>
                <w:rFonts w:hint="eastAsia" w:eastAsia="方正黑体_GBK"/>
                <w:bCs/>
                <w:sz w:val="28"/>
                <w:szCs w:val="28"/>
              </w:rPr>
              <w:t>编码</w:t>
            </w:r>
          </w:p>
        </w:tc>
        <w:tc>
          <w:tcPr>
            <w:tcW w:w="4608" w:type="dxa"/>
            <w:vAlign w:val="center"/>
          </w:tcPr>
          <w:p>
            <w:pPr>
              <w:pStyle w:val="18"/>
              <w:adjustRightInd w:val="0"/>
              <w:snapToGrid w:val="0"/>
              <w:rPr>
                <w:rFonts w:eastAsia="方正黑体_GBK"/>
                <w:bCs/>
                <w:sz w:val="28"/>
                <w:szCs w:val="28"/>
              </w:rPr>
            </w:pPr>
            <w:r>
              <w:rPr>
                <w:rFonts w:hint="eastAsia" w:eastAsia="方正黑体_GBK"/>
                <w:bCs/>
                <w:sz w:val="28"/>
                <w:szCs w:val="28"/>
              </w:rPr>
              <w:t>名称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restart"/>
            <w:vAlign w:val="center"/>
          </w:tcPr>
          <w:p>
            <w:pPr>
              <w:pStyle w:val="18"/>
              <w:adjustRightInd w:val="0"/>
              <w:snapToGrid w:val="0"/>
              <w:rPr>
                <w:rFonts w:eastAsia="方正仿宋_GBK"/>
                <w:sz w:val="28"/>
                <w:szCs w:val="28"/>
              </w:rPr>
            </w:pPr>
            <w:r>
              <w:rPr>
                <w:rFonts w:eastAsia="方正仿宋_GBK"/>
                <w:sz w:val="28"/>
                <w:szCs w:val="28"/>
              </w:rPr>
              <w:t>1</w:t>
            </w:r>
          </w:p>
        </w:tc>
        <w:tc>
          <w:tcPr>
            <w:tcW w:w="1341" w:type="dxa"/>
            <w:vMerge w:val="restart"/>
            <w:vAlign w:val="center"/>
          </w:tcPr>
          <w:p>
            <w:pPr>
              <w:pStyle w:val="18"/>
              <w:adjustRightInd w:val="0"/>
              <w:snapToGrid w:val="0"/>
              <w:rPr>
                <w:rFonts w:eastAsia="方正仿宋_GBK"/>
                <w:sz w:val="28"/>
                <w:szCs w:val="28"/>
              </w:rPr>
            </w:pPr>
            <w:r>
              <w:rPr>
                <w:rFonts w:hint="eastAsia" w:eastAsia="方正仿宋_GBK"/>
                <w:sz w:val="28"/>
                <w:szCs w:val="28"/>
              </w:rPr>
              <w:t>优先保护单元</w:t>
            </w:r>
          </w:p>
        </w:tc>
        <w:tc>
          <w:tcPr>
            <w:tcW w:w="2218" w:type="dxa"/>
            <w:vAlign w:val="center"/>
          </w:tcPr>
          <w:p>
            <w:pPr>
              <w:snapToGrid w:val="0"/>
              <w:jc w:val="center"/>
              <w:rPr>
                <w:rFonts w:ascii="宋体" w:hAnsi="宋体"/>
                <w:sz w:val="28"/>
                <w:szCs w:val="28"/>
              </w:rPr>
            </w:pPr>
            <w:r>
              <w:rPr>
                <w:rFonts w:ascii="宋体" w:hAnsi="宋体"/>
                <w:sz w:val="28"/>
                <w:szCs w:val="28"/>
              </w:rPr>
              <w:t>ZH50015310001</w:t>
            </w:r>
          </w:p>
        </w:tc>
        <w:tc>
          <w:tcPr>
            <w:tcW w:w="4608" w:type="dxa"/>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荣昌区昌州街道高升桥水库渝荣水务公司水源地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snapToGrid w:val="0"/>
              <w:jc w:val="center"/>
              <w:rPr>
                <w:rFonts w:ascii="宋体" w:hAnsi="宋体"/>
                <w:sz w:val="28"/>
                <w:szCs w:val="28"/>
              </w:rPr>
            </w:pPr>
            <w:r>
              <w:rPr>
                <w:rFonts w:ascii="宋体" w:hAnsi="宋体"/>
                <w:sz w:val="28"/>
                <w:szCs w:val="28"/>
              </w:rPr>
              <w:t>ZH50015310002</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荣昌区濑溪河沙堡水厂水源地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snapToGrid w:val="0"/>
              <w:jc w:val="center"/>
              <w:rPr>
                <w:rFonts w:ascii="宋体" w:hAnsi="宋体"/>
                <w:sz w:val="28"/>
                <w:szCs w:val="28"/>
              </w:rPr>
            </w:pPr>
            <w:r>
              <w:rPr>
                <w:rFonts w:ascii="宋体" w:hAnsi="宋体"/>
                <w:sz w:val="28"/>
                <w:szCs w:val="28"/>
              </w:rPr>
              <w:t>ZH50015310003</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重庆市岚峰森林公园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snapToGrid w:val="0"/>
              <w:jc w:val="center"/>
              <w:rPr>
                <w:rFonts w:ascii="宋体" w:hAnsi="宋体"/>
                <w:sz w:val="28"/>
                <w:szCs w:val="28"/>
              </w:rPr>
            </w:pPr>
            <w:r>
              <w:rPr>
                <w:rFonts w:ascii="宋体" w:hAnsi="宋体"/>
                <w:sz w:val="28"/>
                <w:szCs w:val="28"/>
              </w:rPr>
              <w:t>ZH50015310004</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重庆濑溪河国家湿地公园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snapToGrid w:val="0"/>
              <w:jc w:val="center"/>
              <w:rPr>
                <w:rFonts w:ascii="宋体" w:hAnsi="宋体"/>
                <w:sz w:val="28"/>
                <w:szCs w:val="28"/>
              </w:rPr>
            </w:pPr>
            <w:r>
              <w:rPr>
                <w:rFonts w:ascii="宋体" w:hAnsi="宋体"/>
                <w:sz w:val="28"/>
                <w:szCs w:val="28"/>
              </w:rPr>
              <w:t>ZH50015310005</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荣昌区水土保持功能区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snapToGrid w:val="0"/>
              <w:jc w:val="center"/>
              <w:rPr>
                <w:rFonts w:ascii="宋体" w:hAnsi="宋体"/>
                <w:sz w:val="28"/>
                <w:szCs w:val="28"/>
              </w:rPr>
            </w:pPr>
            <w:r>
              <w:rPr>
                <w:rFonts w:ascii="宋体" w:hAnsi="宋体"/>
                <w:sz w:val="28"/>
                <w:szCs w:val="28"/>
              </w:rPr>
              <w:t>ZH50015310006</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荣昌区一般生态空间</w:t>
            </w:r>
            <w:r>
              <w:rPr>
                <w:rFonts w:eastAsia="方正仿宋_GBK" w:cs="方正仿宋_GBK"/>
                <w:sz w:val="28"/>
                <w:szCs w:val="28"/>
              </w:rPr>
              <w:t>-</w:t>
            </w:r>
            <w:r>
              <w:rPr>
                <w:rFonts w:hint="eastAsia" w:eastAsia="方正仿宋_GBK" w:cs="方正仿宋_GBK"/>
                <w:sz w:val="28"/>
                <w:szCs w:val="28"/>
              </w:rPr>
              <w:t>水土保持</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restart"/>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2</w:t>
            </w:r>
          </w:p>
        </w:tc>
        <w:tc>
          <w:tcPr>
            <w:tcW w:w="1341" w:type="dxa"/>
            <w:vMerge w:val="restart"/>
            <w:tcMar>
              <w:top w:w="0" w:type="dxa"/>
              <w:left w:w="108" w:type="dxa"/>
              <w:bottom w:w="0" w:type="dxa"/>
              <w:right w:w="108" w:type="dxa"/>
            </w:tcMar>
            <w:vAlign w:val="center"/>
          </w:tcPr>
          <w:p>
            <w:pPr>
              <w:pStyle w:val="18"/>
              <w:adjustRightInd w:val="0"/>
              <w:snapToGrid w:val="0"/>
              <w:rPr>
                <w:rFonts w:eastAsia="方正仿宋_GBK"/>
                <w:sz w:val="28"/>
                <w:szCs w:val="28"/>
              </w:rPr>
            </w:pPr>
            <w:r>
              <w:rPr>
                <w:rFonts w:hint="eastAsia" w:eastAsia="方正仿宋_GBK"/>
                <w:sz w:val="28"/>
                <w:szCs w:val="28"/>
              </w:rPr>
              <w:t>重点管控单元</w:t>
            </w: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ZH50015320001</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荣昌区重点管控单元</w:t>
            </w:r>
            <w:r>
              <w:rPr>
                <w:rFonts w:eastAsia="方正仿宋_GBK" w:cs="方正仿宋_GBK"/>
                <w:sz w:val="28"/>
                <w:szCs w:val="28"/>
              </w:rPr>
              <w:t>-</w:t>
            </w:r>
            <w:r>
              <w:rPr>
                <w:rFonts w:hint="eastAsia" w:eastAsia="方正仿宋_GBK" w:cs="方正仿宋_GBK"/>
                <w:sz w:val="28"/>
                <w:szCs w:val="28"/>
              </w:rPr>
              <w:t>马鞍河天皇</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ZH50015320002</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荣昌区重点管控单元</w:t>
            </w:r>
            <w:r>
              <w:rPr>
                <w:rFonts w:eastAsia="方正仿宋_GBK" w:cs="方正仿宋_GBK"/>
                <w:sz w:val="28"/>
                <w:szCs w:val="28"/>
              </w:rPr>
              <w:t>-</w:t>
            </w:r>
            <w:r>
              <w:rPr>
                <w:rFonts w:hint="eastAsia" w:eastAsia="方正仿宋_GBK" w:cs="方正仿宋_GBK"/>
                <w:sz w:val="28"/>
                <w:szCs w:val="28"/>
              </w:rPr>
              <w:t>渔箭河长岭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ZH50015320003</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荣昌区重点管控单元</w:t>
            </w:r>
            <w:r>
              <w:rPr>
                <w:rFonts w:eastAsia="方正仿宋_GBK" w:cs="方正仿宋_GBK"/>
                <w:sz w:val="28"/>
                <w:szCs w:val="28"/>
              </w:rPr>
              <w:t>-</w:t>
            </w:r>
            <w:r>
              <w:rPr>
                <w:rFonts w:hint="eastAsia" w:eastAsia="方正仿宋_GBK" w:cs="方正仿宋_GBK"/>
                <w:sz w:val="28"/>
                <w:szCs w:val="28"/>
              </w:rPr>
              <w:t>濑溪河高洞电站</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kern w:val="0"/>
                <w:sz w:val="28"/>
                <w:szCs w:val="28"/>
              </w:rPr>
              <w:t>ZH50015320004</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kern w:val="0"/>
                <w:sz w:val="28"/>
                <w:szCs w:val="28"/>
              </w:rPr>
              <w:t>荣昌区城镇开发边界</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kern w:val="0"/>
                <w:sz w:val="28"/>
                <w:szCs w:val="28"/>
              </w:rPr>
              <w:t>ZH50015320005</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kern w:val="0"/>
                <w:sz w:val="28"/>
                <w:szCs w:val="28"/>
              </w:rPr>
              <w:t>板桥工业园区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restart"/>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3</w:t>
            </w:r>
          </w:p>
        </w:tc>
        <w:tc>
          <w:tcPr>
            <w:tcW w:w="1341" w:type="dxa"/>
            <w:vMerge w:val="restart"/>
            <w:tcMar>
              <w:top w:w="0" w:type="dxa"/>
              <w:left w:w="108" w:type="dxa"/>
              <w:bottom w:w="0" w:type="dxa"/>
              <w:right w:w="108" w:type="dxa"/>
            </w:tcMar>
            <w:vAlign w:val="center"/>
          </w:tcPr>
          <w:p>
            <w:pPr>
              <w:pStyle w:val="18"/>
              <w:adjustRightInd w:val="0"/>
              <w:snapToGrid w:val="0"/>
              <w:rPr>
                <w:rFonts w:eastAsia="方正仿宋_GBK"/>
                <w:sz w:val="28"/>
                <w:szCs w:val="28"/>
              </w:rPr>
            </w:pPr>
            <w:r>
              <w:rPr>
                <w:rFonts w:hint="eastAsia" w:eastAsia="方正仿宋_GBK"/>
                <w:sz w:val="28"/>
                <w:szCs w:val="28"/>
              </w:rPr>
              <w:t>一般管控单元</w:t>
            </w: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ZH50015330001</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濑溪河峰高河</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ZH50015330002</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濑溪河清升河</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ZH50015330003</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濑溪河沙堡</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ZH50015330004</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清流河大埂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ZH50015330005</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新峰河高升桥水库</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716"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1341" w:type="dxa"/>
            <w:vMerge w:val="continue"/>
            <w:tcMar>
              <w:top w:w="0" w:type="dxa"/>
              <w:left w:w="108" w:type="dxa"/>
              <w:bottom w:w="0" w:type="dxa"/>
              <w:right w:w="108" w:type="dxa"/>
            </w:tcMar>
            <w:vAlign w:val="center"/>
          </w:tcPr>
          <w:p>
            <w:pPr>
              <w:pStyle w:val="18"/>
              <w:adjustRightInd w:val="0"/>
              <w:snapToGrid w:val="0"/>
              <w:rPr>
                <w:rFonts w:eastAsia="方正仿宋_GBK"/>
                <w:sz w:val="28"/>
                <w:szCs w:val="28"/>
              </w:rPr>
            </w:pPr>
          </w:p>
        </w:tc>
        <w:tc>
          <w:tcPr>
            <w:tcW w:w="2218" w:type="dxa"/>
            <w:tcMar>
              <w:top w:w="0" w:type="dxa"/>
              <w:left w:w="108" w:type="dxa"/>
              <w:bottom w:w="0" w:type="dxa"/>
              <w:right w:w="108" w:type="dxa"/>
            </w:tcMar>
            <w:vAlign w:val="center"/>
          </w:tcPr>
          <w:p>
            <w:pPr>
              <w:pStyle w:val="18"/>
              <w:adjustRightInd w:val="0"/>
              <w:snapToGrid w:val="0"/>
              <w:rPr>
                <w:rFonts w:eastAsia="方正仿宋_GBK"/>
                <w:sz w:val="28"/>
                <w:szCs w:val="28"/>
              </w:rPr>
            </w:pPr>
            <w:r>
              <w:rPr>
                <w:rFonts w:eastAsia="方正仿宋_GBK"/>
                <w:sz w:val="28"/>
                <w:szCs w:val="28"/>
              </w:rPr>
              <w:t>ZH50015330006</w:t>
            </w:r>
          </w:p>
        </w:tc>
        <w:tc>
          <w:tcPr>
            <w:tcW w:w="4608" w:type="dxa"/>
            <w:tcMar>
              <w:top w:w="0" w:type="dxa"/>
              <w:left w:w="108" w:type="dxa"/>
              <w:bottom w:w="0" w:type="dxa"/>
              <w:right w:w="108" w:type="dxa"/>
            </w:tcMar>
            <w:vAlign w:val="center"/>
          </w:tcPr>
          <w:p>
            <w:pPr>
              <w:pStyle w:val="18"/>
              <w:adjustRightInd w:val="0"/>
              <w:snapToGrid w:val="0"/>
              <w:jc w:val="both"/>
              <w:rPr>
                <w:rFonts w:eastAsia="方正仿宋_GBK" w:cs="方正仿宋_GBK"/>
                <w:sz w:val="28"/>
                <w:szCs w:val="28"/>
              </w:rPr>
            </w:pPr>
            <w:r>
              <w:rPr>
                <w:rFonts w:hint="eastAsia" w:eastAsia="方正仿宋_GBK" w:cs="方正仿宋_GBK"/>
                <w:sz w:val="28"/>
                <w:szCs w:val="28"/>
              </w:rPr>
              <w:t>荣昌区一般管控单元</w:t>
            </w:r>
            <w:r>
              <w:rPr>
                <w:rFonts w:eastAsia="方正仿宋_GBK" w:cs="方正仿宋_GBK"/>
                <w:sz w:val="28"/>
                <w:szCs w:val="28"/>
              </w:rPr>
              <w:t>-</w:t>
            </w:r>
            <w:r>
              <w:rPr>
                <w:rFonts w:hint="eastAsia" w:eastAsia="方正仿宋_GBK" w:cs="方正仿宋_GBK"/>
                <w:sz w:val="28"/>
                <w:szCs w:val="28"/>
              </w:rPr>
              <w:t>珠溪河新堰</w:t>
            </w:r>
          </w:p>
        </w:tc>
      </w:tr>
    </w:tbl>
    <w:p>
      <w:pPr>
        <w:adjustRightInd w:val="0"/>
        <w:snapToGrid w:val="0"/>
        <w:spacing w:line="560" w:lineRule="exact"/>
        <w:ind w:firstLine="640" w:firstLineChars="200"/>
        <w:rPr>
          <w:rFonts w:hint="eastAsia" w:ascii="宋体" w:hAnsi="宋体" w:cs="方正仿宋_GBK"/>
          <w:szCs w:val="32"/>
        </w:rPr>
      </w:pPr>
    </w:p>
    <w:p>
      <w:pPr>
        <w:rPr>
          <w:rFonts w:hint="eastAsia" w:ascii="宋体" w:hAnsi="宋体" w:eastAsia="方正黑体_GBK"/>
          <w:szCs w:val="32"/>
        </w:rPr>
      </w:pPr>
      <w:r>
        <w:rPr>
          <w:rFonts w:ascii="宋体" w:hAnsi="宋体"/>
        </w:rPr>
        <w:br w:type="page"/>
      </w:r>
      <w:r>
        <w:rPr>
          <w:rFonts w:hint="eastAsia" w:ascii="宋体" w:hAnsi="宋体" w:eastAsia="方正黑体_GBK"/>
          <w:szCs w:val="32"/>
        </w:rPr>
        <w:t>附件2</w:t>
      </w:r>
    </w:p>
    <w:p>
      <w:pPr>
        <w:pStyle w:val="7"/>
        <w:rPr>
          <w:rFonts w:ascii="宋体" w:hAnsi="宋体"/>
        </w:rPr>
      </w:pPr>
    </w:p>
    <w:p>
      <w:pPr>
        <w:snapToGrid w:val="0"/>
        <w:spacing w:after="289" w:afterLines="50"/>
        <w:jc w:val="center"/>
        <w:rPr>
          <w:rFonts w:ascii="宋体" w:hAnsi="宋体" w:eastAsia="方正小标宋_GBK" w:cs="方正小标宋_GBK"/>
          <w:sz w:val="36"/>
          <w:szCs w:val="36"/>
        </w:rPr>
      </w:pPr>
      <w:r>
        <w:rPr>
          <w:rFonts w:hint="eastAsia" w:ascii="宋体" w:hAnsi="宋体" w:eastAsia="方正小标宋_GBK" w:cs="方正小标宋_GBK"/>
          <w:sz w:val="36"/>
          <w:szCs w:val="36"/>
        </w:rPr>
        <w:t>荣昌区总体管控要求</w:t>
      </w:r>
    </w:p>
    <w:tbl>
      <w:tblPr>
        <w:tblStyle w:val="12"/>
        <w:tblW w:w="9154" w:type="dxa"/>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419"/>
        <w:gridCol w:w="773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tblHeader/>
          <w:jc w:val="center"/>
        </w:trPr>
        <w:tc>
          <w:tcPr>
            <w:tcW w:w="1419" w:type="dxa"/>
            <w:vMerge w:val="restart"/>
            <w:vAlign w:val="center"/>
          </w:tcPr>
          <w:p>
            <w:pPr>
              <w:pStyle w:val="19"/>
              <w:snapToGrid w:val="0"/>
              <w:spacing w:beforeLines="0" w:after="0" w:line="240" w:lineRule="auto"/>
              <w:rPr>
                <w:rFonts w:ascii="宋体" w:hAnsi="宋体" w:eastAsia="方正黑体_GBK"/>
                <w:spacing w:val="0"/>
                <w:sz w:val="28"/>
                <w:szCs w:val="28"/>
              </w:rPr>
            </w:pPr>
            <w:r>
              <w:rPr>
                <w:rFonts w:hint="eastAsia" w:ascii="宋体" w:hAnsi="宋体" w:eastAsia="方正黑体_GBK"/>
                <w:spacing w:val="0"/>
                <w:sz w:val="28"/>
                <w:szCs w:val="28"/>
              </w:rPr>
              <w:t>管控类别</w:t>
            </w:r>
          </w:p>
        </w:tc>
        <w:tc>
          <w:tcPr>
            <w:tcW w:w="7735" w:type="dxa"/>
            <w:vMerge w:val="restart"/>
            <w:vAlign w:val="center"/>
          </w:tcPr>
          <w:p>
            <w:pPr>
              <w:pStyle w:val="19"/>
              <w:snapToGrid w:val="0"/>
              <w:spacing w:beforeLines="0" w:after="0" w:line="240" w:lineRule="auto"/>
              <w:rPr>
                <w:rFonts w:ascii="宋体" w:hAnsi="宋体" w:eastAsia="方正黑体_GBK"/>
                <w:spacing w:val="0"/>
                <w:sz w:val="28"/>
                <w:szCs w:val="28"/>
              </w:rPr>
            </w:pPr>
            <w:r>
              <w:rPr>
                <w:rFonts w:hint="eastAsia" w:ascii="宋体" w:hAnsi="宋体" w:eastAsia="方正黑体_GBK"/>
                <w:spacing w:val="0"/>
                <w:sz w:val="28"/>
                <w:szCs w:val="28"/>
              </w:rPr>
              <w:t>总体管控要求</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tblHeader/>
          <w:jc w:val="center"/>
        </w:trPr>
        <w:tc>
          <w:tcPr>
            <w:tcW w:w="1419" w:type="dxa"/>
            <w:vMerge w:val="continue"/>
            <w:vAlign w:val="center"/>
          </w:tcPr>
          <w:p>
            <w:pPr>
              <w:pStyle w:val="19"/>
              <w:snapToGrid w:val="0"/>
              <w:spacing w:beforeLines="0" w:after="0" w:line="240" w:lineRule="auto"/>
              <w:rPr>
                <w:rFonts w:ascii="宋体" w:hAnsi="宋体"/>
                <w:spacing w:val="0"/>
                <w:sz w:val="28"/>
                <w:szCs w:val="28"/>
              </w:rPr>
            </w:pPr>
          </w:p>
        </w:tc>
        <w:tc>
          <w:tcPr>
            <w:tcW w:w="7735" w:type="dxa"/>
            <w:vMerge w:val="continue"/>
            <w:vAlign w:val="center"/>
          </w:tcPr>
          <w:p>
            <w:pPr>
              <w:pStyle w:val="19"/>
              <w:snapToGrid w:val="0"/>
              <w:spacing w:beforeLines="0" w:after="0" w:line="240" w:lineRule="auto"/>
              <w:ind w:firstLine="562" w:firstLineChars="200"/>
              <w:jc w:val="both"/>
              <w:rPr>
                <w:rFonts w:ascii="宋体" w:hAnsi="宋体"/>
                <w:b/>
                <w:spacing w:val="0"/>
                <w:sz w:val="28"/>
                <w:szCs w:val="28"/>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Merge w:val="restart"/>
            <w:vAlign w:val="center"/>
          </w:tcPr>
          <w:p>
            <w:pPr>
              <w:pStyle w:val="19"/>
              <w:snapToGrid w:val="0"/>
              <w:spacing w:beforeLines="0" w:after="0" w:line="240" w:lineRule="auto"/>
              <w:rPr>
                <w:rFonts w:ascii="宋体" w:hAnsi="宋体"/>
                <w:spacing w:val="0"/>
                <w:sz w:val="28"/>
                <w:szCs w:val="28"/>
              </w:rPr>
            </w:pPr>
            <w:r>
              <w:rPr>
                <w:rFonts w:hint="eastAsia" w:ascii="宋体" w:hAnsi="宋体"/>
                <w:spacing w:val="0"/>
                <w:sz w:val="28"/>
                <w:szCs w:val="28"/>
              </w:rPr>
              <w:t>空间布局约束</w:t>
            </w:r>
          </w:p>
        </w:tc>
        <w:tc>
          <w:tcPr>
            <w:tcW w:w="7735" w:type="dxa"/>
            <w:vAlign w:val="center"/>
          </w:tcPr>
          <w:p>
            <w:pPr>
              <w:pStyle w:val="18"/>
              <w:widowControl w:val="0"/>
              <w:numPr>
                <w:ilvl w:val="0"/>
                <w:numId w:val="1"/>
              </w:numPr>
              <w:adjustRightInd w:val="0"/>
              <w:snapToGrid w:val="0"/>
              <w:ind w:left="0" w:firstLine="560" w:firstLineChars="200"/>
              <w:jc w:val="both"/>
              <w:rPr>
                <w:rFonts w:eastAsia="方正仿宋_GBK"/>
                <w:sz w:val="28"/>
                <w:szCs w:val="28"/>
              </w:rPr>
            </w:pPr>
            <w:r>
              <w:rPr>
                <w:rFonts w:hint="eastAsia" w:eastAsia="方正仿宋_GBK"/>
                <w:sz w:val="28"/>
                <w:szCs w:val="28"/>
              </w:rPr>
              <w:t>　严格限制新建、扩建可能对荣昌中心城区大气产生影响的燃用煤、重油等重污染燃料的工业项目。</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Merge w:val="continue"/>
            <w:vAlign w:val="center"/>
          </w:tcPr>
          <w:p>
            <w:pPr>
              <w:pStyle w:val="19"/>
              <w:snapToGrid w:val="0"/>
              <w:spacing w:beforeLines="0" w:after="0" w:line="240" w:lineRule="auto"/>
              <w:rPr>
                <w:rFonts w:ascii="宋体" w:hAnsi="宋体"/>
                <w:spacing w:val="0"/>
                <w:sz w:val="28"/>
                <w:szCs w:val="28"/>
              </w:rPr>
            </w:pPr>
          </w:p>
        </w:tc>
        <w:tc>
          <w:tcPr>
            <w:tcW w:w="7735" w:type="dxa"/>
            <w:vAlign w:val="center"/>
          </w:tcPr>
          <w:p>
            <w:pPr>
              <w:pStyle w:val="18"/>
              <w:widowControl w:val="0"/>
              <w:numPr>
                <w:ilvl w:val="0"/>
                <w:numId w:val="1"/>
              </w:numPr>
              <w:adjustRightInd w:val="0"/>
              <w:snapToGrid w:val="0"/>
              <w:ind w:left="0" w:firstLine="560" w:firstLineChars="200"/>
              <w:jc w:val="both"/>
              <w:rPr>
                <w:rFonts w:eastAsia="方正仿宋_GBK"/>
                <w:sz w:val="28"/>
                <w:szCs w:val="28"/>
              </w:rPr>
            </w:pPr>
            <w:r>
              <w:rPr>
                <w:rFonts w:hint="eastAsia" w:eastAsia="方正仿宋_GBK"/>
                <w:sz w:val="28"/>
                <w:szCs w:val="28"/>
              </w:rPr>
              <w:t>　可适当布局园区主导产业配套必需的、对环境影响小、风险可控的化工项目（含小规模化学原料药）。</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Merge w:val="restart"/>
            <w:vAlign w:val="center"/>
          </w:tcPr>
          <w:p>
            <w:pPr>
              <w:pStyle w:val="19"/>
              <w:snapToGrid w:val="0"/>
              <w:spacing w:beforeLines="0" w:after="0" w:line="240" w:lineRule="auto"/>
              <w:rPr>
                <w:rFonts w:ascii="宋体" w:hAnsi="宋体"/>
                <w:spacing w:val="0"/>
                <w:sz w:val="28"/>
                <w:szCs w:val="28"/>
              </w:rPr>
            </w:pPr>
            <w:r>
              <w:rPr>
                <w:rFonts w:hint="eastAsia" w:ascii="宋体" w:hAnsi="宋体"/>
                <w:spacing w:val="0"/>
                <w:sz w:val="28"/>
                <w:szCs w:val="28"/>
              </w:rPr>
              <w:t>污染物排放管控</w:t>
            </w:r>
          </w:p>
        </w:tc>
        <w:tc>
          <w:tcPr>
            <w:tcW w:w="7735" w:type="dxa"/>
            <w:vAlign w:val="center"/>
          </w:tcPr>
          <w:p>
            <w:pPr>
              <w:pStyle w:val="18"/>
              <w:widowControl w:val="0"/>
              <w:numPr>
                <w:ilvl w:val="0"/>
                <w:numId w:val="1"/>
              </w:numPr>
              <w:adjustRightInd w:val="0"/>
              <w:snapToGrid w:val="0"/>
              <w:ind w:left="0" w:firstLine="560" w:firstLineChars="200"/>
              <w:jc w:val="both"/>
              <w:rPr>
                <w:rFonts w:eastAsia="方正仿宋_GBK"/>
                <w:sz w:val="28"/>
                <w:szCs w:val="28"/>
              </w:rPr>
            </w:pPr>
            <w:r>
              <w:rPr>
                <w:rFonts w:hint="eastAsia" w:eastAsia="方正仿宋_GBK"/>
                <w:sz w:val="28"/>
                <w:szCs w:val="28"/>
              </w:rPr>
              <w:t>　进一步完善镇街污水处理设施运行管理长效机制，落实保障，加强日常巡查，确保设施有效运行。加强城乡污水管网配套建设，现有合流制排水系统逐步实施雨污分流改造或采取截流、调蓄和治理等措施。加大马鞍河、渔箭河治理力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Merge w:val="continue"/>
            <w:vAlign w:val="center"/>
          </w:tcPr>
          <w:p>
            <w:pPr>
              <w:pStyle w:val="19"/>
              <w:snapToGrid w:val="0"/>
              <w:spacing w:beforeLines="0" w:after="0" w:line="240" w:lineRule="auto"/>
              <w:rPr>
                <w:rFonts w:ascii="宋体" w:hAnsi="宋体"/>
                <w:spacing w:val="0"/>
                <w:sz w:val="28"/>
                <w:szCs w:val="28"/>
              </w:rPr>
            </w:pPr>
          </w:p>
        </w:tc>
        <w:tc>
          <w:tcPr>
            <w:tcW w:w="7735" w:type="dxa"/>
            <w:vAlign w:val="center"/>
          </w:tcPr>
          <w:p>
            <w:pPr>
              <w:pStyle w:val="18"/>
              <w:widowControl w:val="0"/>
              <w:numPr>
                <w:ilvl w:val="0"/>
                <w:numId w:val="1"/>
              </w:numPr>
              <w:adjustRightInd w:val="0"/>
              <w:snapToGrid w:val="0"/>
              <w:ind w:left="0" w:firstLine="560" w:firstLineChars="200"/>
              <w:jc w:val="both"/>
              <w:rPr>
                <w:rFonts w:eastAsia="方正仿宋_GBK"/>
                <w:sz w:val="28"/>
                <w:szCs w:val="28"/>
              </w:rPr>
            </w:pPr>
            <w:r>
              <w:rPr>
                <w:rFonts w:hint="eastAsia" w:eastAsia="方正仿宋_GBK"/>
                <w:sz w:val="28"/>
                <w:szCs w:val="28"/>
              </w:rPr>
              <w:t>　坚持源头减量、过程控制、末端利用的治理路径，以规模养殖场为重点，以畜禽养殖废弃物集中收贮、处理和沼液安全还田为主要处理方向，以农用有机肥和农村能源为主要利用方向，全面推进畜禽养殖废弃物资源化利用，加快构建种养循环的可持续发展新格局。</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Merge w:val="continue"/>
            <w:vAlign w:val="center"/>
          </w:tcPr>
          <w:p>
            <w:pPr>
              <w:pStyle w:val="19"/>
              <w:snapToGrid w:val="0"/>
              <w:spacing w:beforeLines="0" w:after="0" w:line="240" w:lineRule="auto"/>
              <w:rPr>
                <w:rFonts w:ascii="宋体" w:hAnsi="宋体"/>
                <w:spacing w:val="0"/>
                <w:sz w:val="28"/>
                <w:szCs w:val="28"/>
              </w:rPr>
            </w:pPr>
          </w:p>
        </w:tc>
        <w:tc>
          <w:tcPr>
            <w:tcW w:w="7735" w:type="dxa"/>
            <w:vAlign w:val="center"/>
          </w:tcPr>
          <w:p>
            <w:pPr>
              <w:pStyle w:val="18"/>
              <w:widowControl w:val="0"/>
              <w:numPr>
                <w:ilvl w:val="0"/>
                <w:numId w:val="1"/>
              </w:numPr>
              <w:adjustRightInd w:val="0"/>
              <w:snapToGrid w:val="0"/>
              <w:ind w:left="0" w:firstLine="560" w:firstLineChars="200"/>
              <w:jc w:val="both"/>
              <w:rPr>
                <w:rFonts w:eastAsia="方正仿宋_GBK"/>
                <w:sz w:val="28"/>
                <w:szCs w:val="28"/>
              </w:rPr>
            </w:pPr>
            <w:r>
              <w:rPr>
                <w:rFonts w:hint="eastAsia" w:eastAsia="方正仿宋_GBK"/>
                <w:sz w:val="28"/>
                <w:szCs w:val="28"/>
              </w:rPr>
              <w:t>　城市建成区禁止新建</w:t>
            </w:r>
            <w:r>
              <w:rPr>
                <w:rFonts w:eastAsia="方正仿宋_GBK"/>
                <w:sz w:val="28"/>
                <w:szCs w:val="28"/>
              </w:rPr>
              <w:t>20</w:t>
            </w:r>
            <w:r>
              <w:rPr>
                <w:rFonts w:hint="eastAsia" w:eastAsia="方正仿宋_GBK"/>
                <w:sz w:val="28"/>
                <w:szCs w:val="28"/>
              </w:rPr>
              <w:t>蒸吨</w:t>
            </w:r>
            <w:r>
              <w:rPr>
                <w:rFonts w:eastAsia="方正仿宋_GBK"/>
                <w:sz w:val="28"/>
                <w:szCs w:val="28"/>
              </w:rPr>
              <w:t>/</w:t>
            </w:r>
            <w:r>
              <w:rPr>
                <w:rFonts w:hint="eastAsia" w:eastAsia="方正仿宋_GBK"/>
                <w:sz w:val="28"/>
                <w:szCs w:val="28"/>
              </w:rPr>
              <w:t>小时及以下的燃煤锅炉。逐步扩大高污染燃料禁燃区范围。新增和更换的公交车、出租车和公务车推广纯电动车。加大扬尘源控制力度。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Align w:val="center"/>
          </w:tcPr>
          <w:p>
            <w:pPr>
              <w:pStyle w:val="19"/>
              <w:snapToGrid w:val="0"/>
              <w:spacing w:beforeLines="0" w:after="0" w:line="240" w:lineRule="auto"/>
              <w:rPr>
                <w:rFonts w:ascii="宋体" w:hAnsi="宋体"/>
                <w:spacing w:val="0"/>
                <w:sz w:val="28"/>
                <w:szCs w:val="28"/>
              </w:rPr>
            </w:pPr>
            <w:r>
              <w:rPr>
                <w:rFonts w:hint="eastAsia" w:ascii="宋体" w:hAnsi="宋体"/>
                <w:spacing w:val="0"/>
                <w:sz w:val="28"/>
                <w:szCs w:val="28"/>
              </w:rPr>
              <w:t>环境风险防控</w:t>
            </w:r>
          </w:p>
        </w:tc>
        <w:tc>
          <w:tcPr>
            <w:tcW w:w="7735" w:type="dxa"/>
            <w:vAlign w:val="center"/>
          </w:tcPr>
          <w:p>
            <w:pPr>
              <w:pStyle w:val="19"/>
              <w:numPr>
                <w:ilvl w:val="0"/>
                <w:numId w:val="1"/>
              </w:numPr>
              <w:snapToGrid w:val="0"/>
              <w:spacing w:beforeLines="0" w:after="0" w:line="240" w:lineRule="auto"/>
              <w:ind w:left="0" w:firstLine="560" w:firstLineChars="200"/>
              <w:jc w:val="both"/>
              <w:rPr>
                <w:rFonts w:ascii="宋体" w:hAnsi="宋体"/>
                <w:spacing w:val="0"/>
                <w:sz w:val="28"/>
                <w:szCs w:val="28"/>
              </w:rPr>
            </w:pPr>
            <w:r>
              <w:rPr>
                <w:rFonts w:hint="eastAsia" w:ascii="宋体" w:hAnsi="宋体"/>
                <w:spacing w:val="0"/>
                <w:sz w:val="28"/>
                <w:szCs w:val="28"/>
              </w:rPr>
              <w:t>　禁止建设存在重大环境安全隐患的工业项目。</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4" w:hRule="atLeast"/>
          <w:jc w:val="center"/>
        </w:trPr>
        <w:tc>
          <w:tcPr>
            <w:tcW w:w="1419" w:type="dxa"/>
            <w:vAlign w:val="center"/>
          </w:tcPr>
          <w:p>
            <w:pPr>
              <w:pStyle w:val="19"/>
              <w:snapToGrid w:val="0"/>
              <w:spacing w:beforeLines="0" w:after="0" w:line="240" w:lineRule="auto"/>
              <w:rPr>
                <w:rFonts w:ascii="宋体" w:hAnsi="宋体"/>
                <w:spacing w:val="0"/>
                <w:sz w:val="28"/>
                <w:szCs w:val="28"/>
              </w:rPr>
            </w:pPr>
            <w:r>
              <w:rPr>
                <w:rFonts w:hint="eastAsia" w:ascii="宋体" w:hAnsi="宋体"/>
                <w:spacing w:val="0"/>
                <w:sz w:val="28"/>
                <w:szCs w:val="28"/>
              </w:rPr>
              <w:t>资源利用效率</w:t>
            </w:r>
          </w:p>
        </w:tc>
        <w:tc>
          <w:tcPr>
            <w:tcW w:w="7735" w:type="dxa"/>
            <w:vAlign w:val="center"/>
          </w:tcPr>
          <w:p>
            <w:pPr>
              <w:pStyle w:val="19"/>
              <w:numPr>
                <w:ilvl w:val="0"/>
                <w:numId w:val="1"/>
              </w:numPr>
              <w:snapToGrid w:val="0"/>
              <w:spacing w:beforeLines="0" w:after="0" w:line="240" w:lineRule="auto"/>
              <w:ind w:left="0" w:firstLine="560" w:firstLineChars="200"/>
              <w:jc w:val="both"/>
              <w:rPr>
                <w:rFonts w:ascii="宋体" w:hAnsi="宋体"/>
                <w:spacing w:val="0"/>
                <w:sz w:val="28"/>
                <w:szCs w:val="28"/>
              </w:rPr>
            </w:pPr>
            <w:r>
              <w:rPr>
                <w:rFonts w:hint="eastAsia" w:ascii="宋体" w:hAnsi="宋体"/>
                <w:spacing w:val="0"/>
                <w:sz w:val="28"/>
                <w:szCs w:val="28"/>
              </w:rPr>
              <w:t>　严格限制建设高耗水的工业项目。</w:t>
            </w:r>
          </w:p>
        </w:tc>
      </w:tr>
    </w:tbl>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1312;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BR89qo3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jtbVh6p7gCm0LGz1zvKYJkrl7eoYIG1SPArUqYJOxQPmMPWs35k46H+eU9Tj/8T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olUVXWAAAABwEAAA8AAAAAAAAAAQAgAAAAIgAAAGRycy9kb3ducmV2&#10;LnhtbFBLAQIUABQAAAAIAIdO4kAUfPaqNwIAAG8EAAAOAAAAAAAAAAEAIAAAACUBAABkcnMvZTJv&#10;RG9jLnhtbFBLBQYAAAAABgAGAFkBAADO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81955"/>
    <w:multiLevelType w:val="multilevel"/>
    <w:tmpl w:val="65681955"/>
    <w:lvl w:ilvl="0" w:tentative="0">
      <w:start w:val="1"/>
      <w:numFmt w:val="chineseCountingThousand"/>
      <w:lvlText w:val="第%1条"/>
      <w:lvlJc w:val="left"/>
      <w:pPr>
        <w:tabs>
          <w:tab w:val="left" w:pos="0"/>
        </w:tabs>
        <w:ind w:left="1035" w:hanging="1035"/>
      </w:pPr>
      <w:rPr>
        <w:rFonts w:hint="eastAsia" w:ascii="方正仿宋_GBK" w:eastAsia="方正仿宋_GBK" w:cs="仿宋"/>
        <w:b w:val="0"/>
        <w:i w:val="0"/>
        <w:sz w:val="28"/>
        <w:szCs w:val="28"/>
      </w:rPr>
    </w:lvl>
    <w:lvl w:ilvl="1" w:tentative="0">
      <w:start w:val="1"/>
      <w:numFmt w:val="lowerLetter"/>
      <w:lvlText w:val="%2)"/>
      <w:lvlJc w:val="left"/>
      <w:pPr>
        <w:tabs>
          <w:tab w:val="left" w:pos="0"/>
        </w:tabs>
        <w:ind w:left="840" w:hanging="420"/>
      </w:pPr>
      <w:rPr>
        <w:rFonts w:hint="eastAsia" w:cs="Times New Roman"/>
      </w:rPr>
    </w:lvl>
    <w:lvl w:ilvl="2" w:tentative="0">
      <w:start w:val="1"/>
      <w:numFmt w:val="lowerRoman"/>
      <w:lvlText w:val="%3."/>
      <w:lvlJc w:val="right"/>
      <w:pPr>
        <w:tabs>
          <w:tab w:val="left" w:pos="0"/>
        </w:tabs>
        <w:ind w:left="1260" w:hanging="420"/>
      </w:pPr>
      <w:rPr>
        <w:rFonts w:hint="eastAsia" w:cs="Times New Roman"/>
      </w:rPr>
    </w:lvl>
    <w:lvl w:ilvl="3" w:tentative="0">
      <w:start w:val="1"/>
      <w:numFmt w:val="decimal"/>
      <w:lvlText w:val="%4."/>
      <w:lvlJc w:val="left"/>
      <w:pPr>
        <w:tabs>
          <w:tab w:val="left" w:pos="0"/>
        </w:tabs>
        <w:ind w:left="1680" w:hanging="420"/>
      </w:pPr>
      <w:rPr>
        <w:rFonts w:hint="eastAsia" w:cs="Times New Roman"/>
      </w:rPr>
    </w:lvl>
    <w:lvl w:ilvl="4" w:tentative="0">
      <w:start w:val="1"/>
      <w:numFmt w:val="lowerLetter"/>
      <w:lvlText w:val="%5)"/>
      <w:lvlJc w:val="left"/>
      <w:pPr>
        <w:tabs>
          <w:tab w:val="left" w:pos="0"/>
        </w:tabs>
        <w:ind w:left="2100" w:hanging="420"/>
      </w:pPr>
      <w:rPr>
        <w:rFonts w:hint="eastAsia" w:cs="Times New Roman"/>
      </w:rPr>
    </w:lvl>
    <w:lvl w:ilvl="5" w:tentative="0">
      <w:start w:val="1"/>
      <w:numFmt w:val="lowerRoman"/>
      <w:lvlText w:val="%6."/>
      <w:lvlJc w:val="right"/>
      <w:pPr>
        <w:tabs>
          <w:tab w:val="left" w:pos="0"/>
        </w:tabs>
        <w:ind w:left="2520" w:hanging="420"/>
      </w:pPr>
      <w:rPr>
        <w:rFonts w:hint="eastAsia" w:cs="Times New Roman"/>
      </w:rPr>
    </w:lvl>
    <w:lvl w:ilvl="6" w:tentative="0">
      <w:start w:val="1"/>
      <w:numFmt w:val="decimal"/>
      <w:lvlText w:val="%7."/>
      <w:lvlJc w:val="left"/>
      <w:pPr>
        <w:tabs>
          <w:tab w:val="left" w:pos="0"/>
        </w:tabs>
        <w:ind w:left="2940" w:hanging="420"/>
      </w:pPr>
      <w:rPr>
        <w:rFonts w:hint="eastAsia" w:cs="Times New Roman"/>
      </w:rPr>
    </w:lvl>
    <w:lvl w:ilvl="7" w:tentative="0">
      <w:start w:val="1"/>
      <w:numFmt w:val="lowerLetter"/>
      <w:lvlText w:val="%8)"/>
      <w:lvlJc w:val="left"/>
      <w:pPr>
        <w:tabs>
          <w:tab w:val="left" w:pos="0"/>
        </w:tabs>
        <w:ind w:left="3360" w:hanging="420"/>
      </w:pPr>
      <w:rPr>
        <w:rFonts w:hint="eastAsia" w:cs="Times New Roman"/>
      </w:rPr>
    </w:lvl>
    <w:lvl w:ilvl="8" w:tentative="0">
      <w:start w:val="1"/>
      <w:numFmt w:val="lowerRoman"/>
      <w:lvlText w:val="%9."/>
      <w:lvlJc w:val="right"/>
      <w:pPr>
        <w:tabs>
          <w:tab w:val="left" w:pos="0"/>
        </w:tabs>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Dk2YTUyZDE3ZDVlNGZlZWM4MzIzMGMxNzRjZmYifQ=="/>
  </w:docVars>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CF75F3D"/>
    <w:rsid w:val="2DD05FE1"/>
    <w:rsid w:val="2EAE3447"/>
    <w:rsid w:val="31895E8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250C1E"/>
    <w:rsid w:val="753355A2"/>
    <w:rsid w:val="759F1C61"/>
    <w:rsid w:val="769F2DE8"/>
    <w:rsid w:val="76FDEB7C"/>
    <w:rsid w:val="79C65162"/>
    <w:rsid w:val="79EE7E31"/>
    <w:rsid w:val="7A927EC0"/>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 w:type="paragraph" w:customStyle="1" w:styleId="18">
    <w:name w:val="表格内容"/>
    <w:qFormat/>
    <w:uiPriority w:val="0"/>
    <w:pPr>
      <w:jc w:val="center"/>
    </w:pPr>
    <w:rPr>
      <w:rFonts w:ascii="宋体" w:hAnsi="宋体" w:eastAsia="宋体" w:cs="Times New Roman"/>
      <w:kern w:val="2"/>
      <w:sz w:val="21"/>
      <w:szCs w:val="21"/>
      <w:lang w:val="en-US" w:eastAsia="zh-CN" w:bidi="ar-SA"/>
    </w:rPr>
  </w:style>
  <w:style w:type="paragraph" w:customStyle="1" w:styleId="19">
    <w:name w:val="表格"/>
    <w:basedOn w:val="1"/>
    <w:qFormat/>
    <w:uiPriority w:val="0"/>
    <w:pPr>
      <w:spacing w:beforeLines="50" w:after="260" w:line="280" w:lineRule="exact"/>
      <w:jc w:val="center"/>
    </w:pPr>
    <w:rPr>
      <w:rFonts w:ascii="Calibri" w:hAnsi="Calibri"/>
      <w:spacing w:val="8"/>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3104</Words>
  <Characters>3345</Characters>
  <Lines>1</Lines>
  <Paragraphs>1</Paragraphs>
  <TotalTime>2</TotalTime>
  <ScaleCrop>false</ScaleCrop>
  <LinksUpToDate>false</LinksUpToDate>
  <CharactersWithSpaces>3384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林倩</cp:lastModifiedBy>
  <cp:lastPrinted>2022-06-08T16:09:00Z</cp:lastPrinted>
  <dcterms:modified xsi:type="dcterms:W3CDTF">2023-12-26T09:21:19Z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228191D77FD0455A92E663693231B8BB_13</vt:lpwstr>
  </property>
</Properties>
</file>