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cs="方正小标宋_GBK"/>
          <w:sz w:val="44"/>
          <w:szCs w:val="44"/>
          <w:shd w:val="clear" w:color="auto" w:fill="FFFFFF"/>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关于印发重庆市荣昌区最低生活保障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宋体" w:hAnsi="宋体" w:eastAsia="方正小标宋_GBK" w:cs="方正小标宋_GBK"/>
          <w:sz w:val="44"/>
          <w:szCs w:val="44"/>
        </w:rPr>
      </w:pPr>
      <w:r>
        <w:rPr>
          <w:rFonts w:hint="eastAsia" w:ascii="宋体" w:hAnsi="宋体" w:eastAsia="方正小标宋_GBK" w:cs="方正小标宋_GBK"/>
          <w:sz w:val="44"/>
          <w:szCs w:val="44"/>
        </w:rPr>
        <w:t>条件认定办法的通知</w:t>
      </w:r>
    </w:p>
    <w:p>
      <w:pPr>
        <w:ind w:left="320" w:leftChars="100" w:right="320" w:rightChars="100"/>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bCs/>
          <w:szCs w:val="32"/>
        </w:rPr>
        <w:t>荣昌府办发〔2017〕185号</w:t>
      </w:r>
    </w:p>
    <w:p>
      <w:pPr>
        <w:rPr>
          <w:rFonts w:hint="eastAsia" w:ascii="宋体" w:hAnsi="宋体" w:eastAsia="方正仿宋_GBK"/>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各镇人民政府，各街道办事处，区政府各部门，有关单位：</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bookmarkStart w:id="0" w:name="_GoBack"/>
      <w:r>
        <w:rPr>
          <w:rFonts w:hint="eastAsia" w:ascii="方正仿宋_GBK" w:hAnsi="方正仿宋_GBK" w:eastAsia="方正仿宋_GBK" w:cs="方正仿宋_GBK"/>
        </w:rPr>
        <w:t>重庆市荣昌区最低生活保障条件认定办法</w:t>
      </w:r>
      <w:bookmarkEnd w:id="0"/>
      <w:r>
        <w:rPr>
          <w:rFonts w:hint="eastAsia" w:ascii="方正仿宋_GBK" w:hAnsi="方正仿宋_GBK" w:eastAsia="方正仿宋_GBK" w:cs="方正仿宋_GBK"/>
        </w:rPr>
        <w:t>》已经区十七届人民政府第13次常务会议审议通过，现印发给你们，请认真贯彻执行。</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                         重庆市荣昌区人民政府办公室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                              2017年10月16日        </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宋体" w:hAnsi="宋体" w:eastAsia="方正小标宋_GBK" w:cs="方正小标宋_GBK"/>
          <w:color w:val="000000"/>
          <w:szCs w:val="32"/>
          <w:shd w:val="clear" w:color="auto" w:fill="FFFFFF"/>
        </w:rPr>
      </w:pPr>
      <w:r>
        <w:rPr>
          <w:rFonts w:hint="eastAsia" w:ascii="方正仿宋_GBK" w:hAnsi="方正仿宋_GBK" w:eastAsia="方正仿宋_GBK" w:cs="方正仿宋_GBK"/>
          <w:color w:val="000000"/>
          <w:szCs w:val="32"/>
          <w:shd w:val="clear" w:color="auto" w:fill="FFFFFF"/>
          <w:lang w:eastAsia="zh-CN"/>
        </w:rPr>
        <w:t>（此件公开发布）</w:t>
      </w:r>
      <w:r>
        <w:rPr>
          <w:rFonts w:ascii="宋体" w:hAnsi="宋体" w:eastAsia="方正小标宋_GBK" w:cs="方正小标宋_GBK"/>
          <w:color w:val="000000"/>
          <w:szCs w:val="32"/>
          <w:shd w:val="clear" w:color="auto" w:fill="FFFFFF"/>
        </w:rPr>
        <w:br w:type="page"/>
      </w:r>
    </w:p>
    <w:p>
      <w:pPr>
        <w:jc w:val="center"/>
        <w:rPr>
          <w:rFonts w:hint="eastAsia" w:ascii="宋体" w:hAnsi="宋体" w:eastAsia="方正小标宋_GBK" w:cs="方正小标宋_GBK"/>
          <w:color w:val="000000"/>
          <w:sz w:val="44"/>
          <w:szCs w:val="44"/>
          <w:shd w:val="clear" w:color="auto" w:fill="FFFFFF"/>
        </w:rPr>
      </w:pPr>
    </w:p>
    <w:p>
      <w:pPr>
        <w:spacing w:line="720" w:lineRule="exact"/>
        <w:jc w:val="center"/>
        <w:rPr>
          <w:rFonts w:ascii="宋体" w:hAnsi="宋体" w:eastAsia="方正小标宋_GBK" w:cs="方正小标宋_GBK"/>
          <w:color w:val="000000"/>
          <w:sz w:val="44"/>
          <w:szCs w:val="44"/>
          <w:shd w:val="clear" w:color="auto" w:fill="FFFFFF"/>
        </w:rPr>
      </w:pPr>
      <w:r>
        <w:rPr>
          <w:rFonts w:hint="eastAsia" w:ascii="宋体" w:hAnsi="宋体" w:eastAsia="方正小标宋_GBK" w:cs="方正小标宋_GBK"/>
          <w:color w:val="000000"/>
          <w:sz w:val="44"/>
          <w:szCs w:val="44"/>
          <w:shd w:val="clear" w:color="auto" w:fill="FFFFFF"/>
        </w:rPr>
        <w:t>重庆市荣昌区最低生活保障条件认定办法</w:t>
      </w:r>
    </w:p>
    <w:p>
      <w:pPr>
        <w:keepNext w:val="0"/>
        <w:keepLines w:val="0"/>
        <w:pageBreakBefore w:val="0"/>
        <w:kinsoku/>
        <w:wordWrap/>
        <w:overflowPunct/>
        <w:topLinePunct w:val="0"/>
        <w:autoSpaceDE/>
        <w:autoSpaceDN/>
        <w:bidi w:val="0"/>
        <w:adjustRightInd/>
        <w:snapToGrid/>
        <w:spacing w:line="600" w:lineRule="exact"/>
        <w:jc w:val="center"/>
        <w:rPr>
          <w:rFonts w:ascii="宋体" w:hAnsi="宋体" w:eastAsia="方正小标宋_GBK" w:cs="方正小标宋_GBK"/>
          <w:color w:val="000000"/>
          <w:sz w:val="44"/>
          <w:szCs w:val="44"/>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rPr>
          <w:rFonts w:hint="eastAsia" w:ascii="宋体" w:hAnsi="宋体" w:eastAsia="方正黑体_GBK"/>
          <w:color w:val="000000"/>
          <w:szCs w:val="32"/>
        </w:rPr>
      </w:pPr>
      <w:r>
        <w:rPr>
          <w:rFonts w:hint="eastAsia" w:ascii="宋体" w:hAnsi="宋体" w:eastAsia="方正黑体_GBK" w:cs="方正楷体_GBK"/>
          <w:color w:val="000000"/>
          <w:kern w:val="0"/>
          <w:szCs w:val="32"/>
          <w:shd w:val="clear" w:color="auto" w:fill="FFFFFF"/>
          <w:lang w:bidi="ar"/>
        </w:rPr>
        <w:t>第一章　总  则</w:t>
      </w:r>
      <w:r>
        <w:rPr>
          <w:rFonts w:hint="eastAsia" w:ascii="宋体" w:hAnsi="宋体" w:eastAsia="方正黑体_GBK" w:cs="方正楷体_GBK"/>
          <w:color w:val="000000"/>
          <w:kern w:val="0"/>
          <w:szCs w:val="32"/>
          <w:shd w:val="clear" w:color="auto" w:fill="FFFFFF"/>
          <w:lang w:bidi="ar"/>
        </w:rPr>
        <w:br w:type="textWrapping"/>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方正黑体_GBK" w:hAnsi="方正黑体_GBK" w:eastAsia="方正黑体_GBK" w:cs="方正黑体_GBK"/>
          <w:color w:val="000000"/>
          <w:kern w:val="0"/>
          <w:szCs w:val="32"/>
          <w:shd w:val="clear" w:color="auto" w:fill="FFFFFF"/>
          <w:lang w:bidi="ar"/>
        </w:rPr>
        <w:t>第一条</w:t>
      </w:r>
      <w:r>
        <w:rPr>
          <w:rFonts w:hint="eastAsia" w:ascii="宋体" w:hAnsi="宋体" w:eastAsia="方正仿宋_GBK"/>
          <w:color w:val="000000"/>
          <w:kern w:val="0"/>
          <w:szCs w:val="32"/>
          <w:shd w:val="clear" w:color="auto" w:fill="FFFFFF"/>
          <w:lang w:bidi="ar"/>
        </w:rPr>
        <w:t xml:space="preserve">  为进一步明确最低生活保障条件，公平公正认定保障对象，依据《社会救助暂行办法》《重庆市城乡居民最低生活保障条例》《重庆市人民政府关于贯彻落实国务院〈社会救助暂行办法〉的实施意见》（渝府发〔</w:t>
      </w:r>
      <w:r>
        <w:rPr>
          <w:rFonts w:ascii="宋体" w:hAnsi="宋体" w:eastAsia="方正仿宋_GBK"/>
          <w:color w:val="000000"/>
          <w:kern w:val="0"/>
          <w:szCs w:val="32"/>
          <w:shd w:val="clear" w:color="auto" w:fill="FFFFFF"/>
          <w:lang w:bidi="ar"/>
        </w:rPr>
        <w:t>2014</w:t>
      </w:r>
      <w:r>
        <w:rPr>
          <w:rFonts w:hint="eastAsia" w:ascii="宋体" w:hAnsi="宋体" w:eastAsia="方正仿宋_GBK"/>
          <w:color w:val="000000"/>
          <w:kern w:val="0"/>
          <w:szCs w:val="32"/>
          <w:shd w:val="clear" w:color="auto" w:fill="FFFFFF"/>
          <w:lang w:bidi="ar"/>
        </w:rPr>
        <w:t>〕</w:t>
      </w:r>
      <w:r>
        <w:rPr>
          <w:rFonts w:ascii="宋体" w:hAnsi="宋体" w:eastAsia="方正仿宋_GBK"/>
          <w:color w:val="000000"/>
          <w:kern w:val="0"/>
          <w:szCs w:val="32"/>
          <w:shd w:val="clear" w:color="auto" w:fill="FFFFFF"/>
          <w:lang w:bidi="ar"/>
        </w:rPr>
        <w:t>55</w:t>
      </w:r>
      <w:r>
        <w:rPr>
          <w:rFonts w:hint="eastAsia" w:ascii="宋体" w:hAnsi="宋体" w:eastAsia="方正仿宋_GBK"/>
          <w:color w:val="000000"/>
          <w:kern w:val="0"/>
          <w:szCs w:val="32"/>
          <w:shd w:val="clear" w:color="auto" w:fill="FFFFFF"/>
          <w:lang w:bidi="ar"/>
        </w:rPr>
        <w:t>号）、</w:t>
      </w:r>
      <w:r>
        <w:rPr>
          <w:rFonts w:hint="eastAsia" w:ascii="宋体" w:hAnsi="宋体" w:eastAsia="方正仿宋_GBK" w:cs="方正仿宋_GBK"/>
          <w:color w:val="000000"/>
          <w:szCs w:val="32"/>
          <w:shd w:val="clear" w:color="auto" w:fill="FFFFFF"/>
        </w:rPr>
        <w:t>《重庆市最低生活保障条件认定办法》（渝府办发〔</w:t>
      </w:r>
      <w:r>
        <w:rPr>
          <w:rFonts w:ascii="宋体" w:hAnsi="宋体" w:eastAsia="方正仿宋_GBK" w:cs="方正仿宋_GBK"/>
          <w:color w:val="000000"/>
          <w:szCs w:val="32"/>
          <w:shd w:val="clear" w:color="auto" w:fill="FFFFFF"/>
        </w:rPr>
        <w:t>2017</w:t>
      </w:r>
      <w:r>
        <w:rPr>
          <w:rFonts w:hint="eastAsia" w:ascii="宋体" w:hAnsi="宋体" w:eastAsia="方正仿宋_GBK" w:cs="方正仿宋_GBK"/>
          <w:color w:val="000000"/>
          <w:szCs w:val="32"/>
          <w:shd w:val="clear" w:color="auto" w:fill="FFFFFF"/>
        </w:rPr>
        <w:t>〕</w:t>
      </w:r>
      <w:r>
        <w:rPr>
          <w:rFonts w:ascii="宋体" w:hAnsi="宋体" w:eastAsia="方正仿宋_GBK" w:cs="方正仿宋_GBK"/>
          <w:color w:val="000000"/>
          <w:szCs w:val="32"/>
          <w:shd w:val="clear" w:color="auto" w:fill="FFFFFF"/>
        </w:rPr>
        <w:t>33</w:t>
      </w:r>
      <w:r>
        <w:rPr>
          <w:rFonts w:hint="eastAsia" w:ascii="宋体" w:hAnsi="宋体" w:eastAsia="方正仿宋_GBK" w:cs="方正仿宋_GBK"/>
          <w:color w:val="000000"/>
          <w:szCs w:val="32"/>
          <w:shd w:val="clear" w:color="auto" w:fill="FFFFFF"/>
        </w:rPr>
        <w:t>号）</w:t>
      </w:r>
      <w:r>
        <w:rPr>
          <w:rFonts w:hint="eastAsia" w:ascii="宋体" w:hAnsi="宋体" w:eastAsia="方正仿宋_GBK"/>
          <w:color w:val="000000"/>
          <w:kern w:val="0"/>
          <w:szCs w:val="32"/>
          <w:shd w:val="clear" w:color="auto" w:fill="FFFFFF"/>
          <w:lang w:bidi="ar"/>
        </w:rPr>
        <w:t>和有关法律法规，结合</w:t>
      </w:r>
      <w:r>
        <w:rPr>
          <w:rFonts w:hint="eastAsia" w:ascii="宋体" w:hAnsi="宋体" w:eastAsia="方正仿宋_GBK"/>
          <w:color w:val="000000"/>
          <w:kern w:val="0"/>
          <w:szCs w:val="32"/>
          <w:lang w:bidi="ar"/>
        </w:rPr>
        <w:t>我区</w:t>
      </w:r>
      <w:r>
        <w:rPr>
          <w:rFonts w:hint="eastAsia" w:ascii="宋体" w:hAnsi="宋体" w:eastAsia="方正仿宋_GBK"/>
          <w:color w:val="000000"/>
          <w:kern w:val="0"/>
          <w:szCs w:val="32"/>
          <w:shd w:val="clear" w:color="auto" w:fill="FFFFFF"/>
          <w:lang w:bidi="ar"/>
        </w:rPr>
        <w:t>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方正黑体_GBK" w:hAnsi="方正黑体_GBK" w:eastAsia="方正黑体_GBK" w:cs="方正黑体_GBK"/>
          <w:color w:val="000000"/>
          <w:kern w:val="0"/>
          <w:szCs w:val="32"/>
          <w:shd w:val="clear" w:color="auto" w:fill="FFFFFF"/>
          <w:lang w:bidi="ar"/>
        </w:rPr>
        <w:t>第二条</w:t>
      </w:r>
      <w:r>
        <w:rPr>
          <w:rFonts w:hint="eastAsia" w:ascii="宋体" w:hAnsi="宋体" w:eastAsia="方正黑体_GBK" w:cs="方正黑体_GBK"/>
          <w:color w:val="000000"/>
          <w:kern w:val="0"/>
          <w:szCs w:val="32"/>
          <w:shd w:val="clear" w:color="auto" w:fill="FFFFFF"/>
          <w:lang w:bidi="ar"/>
        </w:rPr>
        <w:t xml:space="preserve">  </w:t>
      </w:r>
      <w:r>
        <w:rPr>
          <w:rFonts w:hint="eastAsia" w:ascii="宋体" w:hAnsi="宋体" w:eastAsia="方正仿宋_GBK"/>
          <w:color w:val="000000"/>
          <w:kern w:val="0"/>
          <w:szCs w:val="32"/>
          <w:shd w:val="clear" w:color="auto" w:fill="FFFFFF"/>
          <w:lang w:bidi="ar"/>
        </w:rPr>
        <w:t>最低生活保障条件是指城乡居民家庭申请最低生活保障的具体条件，包括家庭成员、家庭收入、家庭财产、家庭消费支出四个方面。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方正黑体_GBK" w:hAnsi="方正黑体_GBK" w:eastAsia="方正黑体_GBK" w:cs="方正黑体_GBK"/>
          <w:color w:val="000000"/>
          <w:kern w:val="0"/>
          <w:szCs w:val="32"/>
          <w:shd w:val="clear" w:color="auto" w:fill="FFFFFF"/>
          <w:lang w:bidi="ar"/>
        </w:rPr>
        <w:t>第三条</w:t>
      </w:r>
      <w:r>
        <w:rPr>
          <w:rFonts w:hint="eastAsia" w:ascii="宋体" w:hAnsi="宋体" w:eastAsia="方正楷体_GBK" w:cs="方正黑体_GBK"/>
          <w:color w:val="000000"/>
          <w:kern w:val="0"/>
          <w:szCs w:val="32"/>
          <w:shd w:val="clear" w:color="auto" w:fill="FFFFFF"/>
          <w:lang w:bidi="ar"/>
        </w:rPr>
        <w:t xml:space="preserve">  </w:t>
      </w:r>
      <w:r>
        <w:rPr>
          <w:rFonts w:hint="eastAsia" w:ascii="宋体" w:hAnsi="宋体" w:eastAsia="方正仿宋_GBK"/>
          <w:color w:val="000000"/>
          <w:kern w:val="0"/>
          <w:szCs w:val="32"/>
          <w:shd w:val="clear" w:color="auto" w:fill="FFFFFF"/>
          <w:lang w:bidi="ar"/>
        </w:rPr>
        <w:t>本办法主要用于认定全区城乡居民家庭是否具备获得最低生活保障的资格条件。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hint="eastAsia" w:ascii="宋体" w:hAnsi="宋体" w:eastAsia="方正仿宋_GBK"/>
          <w:color w:val="000000"/>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rPr>
          <w:rFonts w:hint="eastAsia" w:ascii="宋体" w:hAnsi="宋体" w:eastAsia="方正黑体_GBK"/>
          <w:color w:val="000000"/>
          <w:szCs w:val="32"/>
        </w:rPr>
      </w:pPr>
      <w:r>
        <w:rPr>
          <w:rFonts w:hint="eastAsia" w:ascii="宋体" w:hAnsi="宋体" w:eastAsia="方正黑体_GBK" w:cs="方正楷体_GBK"/>
          <w:color w:val="000000"/>
          <w:kern w:val="0"/>
          <w:szCs w:val="32"/>
          <w:shd w:val="clear" w:color="auto" w:fill="FFFFFF"/>
          <w:lang w:bidi="ar"/>
        </w:rPr>
        <w:t>第二章　家庭成员</w:t>
      </w:r>
      <w:r>
        <w:rPr>
          <w:rFonts w:hint="eastAsia" w:ascii="宋体" w:hAnsi="宋体" w:eastAsia="方正黑体_GBK" w:cs="方正楷体_GBK"/>
          <w:color w:val="000000"/>
          <w:kern w:val="0"/>
          <w:szCs w:val="32"/>
          <w:shd w:val="clear" w:color="auto" w:fill="FFFFFF"/>
          <w:lang w:bidi="ar"/>
        </w:rPr>
        <w:br w:type="textWrapping"/>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方正仿宋_GBK"/>
        </w:rPr>
      </w:pPr>
      <w:r>
        <w:rPr>
          <w:rFonts w:hint="eastAsia" w:ascii="方正黑体_GBK" w:hAnsi="方正黑体_GBK" w:eastAsia="方正黑体_GBK" w:cs="方正黑体_GBK"/>
        </w:rPr>
        <w:t>第四条</w:t>
      </w:r>
      <w:r>
        <w:rPr>
          <w:rFonts w:hint="eastAsia" w:ascii="宋体" w:hAnsi="宋体" w:eastAsia="方正楷体_GBK"/>
        </w:rPr>
        <w:t xml:space="preserve"> </w:t>
      </w:r>
      <w:r>
        <w:rPr>
          <w:rFonts w:hint="eastAsia" w:ascii="宋体" w:hAnsi="宋体" w:eastAsia="方正仿宋_GBK"/>
        </w:rPr>
        <w:t xml:space="preserve"> 最低生活保障的家庭成员应当是具有本市居民户口且具有法定赡养、扶养、抚养义务关系的共同生活的家庭成员。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方正黑体_GBK" w:hAnsi="方正黑体_GBK" w:eastAsia="方正黑体_GBK" w:cs="方正黑体_GBK"/>
          <w:color w:val="000000"/>
          <w:kern w:val="0"/>
          <w:szCs w:val="32"/>
          <w:shd w:val="clear" w:color="auto" w:fill="FFFFFF"/>
          <w:lang w:bidi="ar"/>
        </w:rPr>
        <w:t>第五条</w:t>
      </w:r>
      <w:r>
        <w:rPr>
          <w:rFonts w:hint="eastAsia" w:ascii="宋体" w:hAnsi="宋体" w:eastAsia="方正仿宋_GBK"/>
          <w:color w:val="000000"/>
          <w:kern w:val="0"/>
          <w:szCs w:val="32"/>
          <w:shd w:val="clear" w:color="auto" w:fill="FFFFFF"/>
          <w:lang w:bidi="ar"/>
        </w:rPr>
        <w:t>　共同生活的家庭成员包括：</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（一）配偶。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（二）未成年子女。</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（三）已成年但不能独立生活的子女，包括在校接受本科及其以下学历教育的成年子女。</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（四）其他具有法定赡养、扶养、抚养义务关系并共同居住</w:t>
      </w:r>
      <w:r>
        <w:rPr>
          <w:rFonts w:ascii="宋体" w:hAnsi="宋体" w:eastAsia="方正仿宋_GBK"/>
          <w:color w:val="000000"/>
          <w:kern w:val="0"/>
          <w:szCs w:val="32"/>
          <w:shd w:val="clear" w:color="auto" w:fill="FFFFFF"/>
          <w:lang w:bidi="ar"/>
        </w:rPr>
        <w:t>3</w:t>
      </w:r>
      <w:r>
        <w:rPr>
          <w:rFonts w:hint="eastAsia" w:ascii="宋体" w:hAnsi="宋体" w:eastAsia="方正仿宋_GBK"/>
          <w:color w:val="000000"/>
          <w:kern w:val="0"/>
          <w:szCs w:val="32"/>
          <w:shd w:val="clear" w:color="auto" w:fill="FFFFFF"/>
          <w:lang w:bidi="ar"/>
        </w:rPr>
        <w:t>个月以上的人员。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方正黑体_GBK" w:hAnsi="方正黑体_GBK" w:eastAsia="方正黑体_GBK" w:cs="方正黑体_GBK"/>
          <w:color w:val="000000"/>
          <w:kern w:val="0"/>
          <w:szCs w:val="32"/>
          <w:shd w:val="clear" w:color="auto" w:fill="FFFFFF"/>
          <w:lang w:bidi="ar"/>
        </w:rPr>
        <w:t>第六条</w:t>
      </w:r>
      <w:r>
        <w:rPr>
          <w:rFonts w:hint="eastAsia" w:ascii="宋体" w:hAnsi="宋体" w:eastAsia="方正楷体_GBK" w:cs="方正黑体_GBK"/>
          <w:color w:val="000000"/>
          <w:kern w:val="0"/>
          <w:szCs w:val="32"/>
          <w:shd w:val="clear" w:color="auto" w:fill="FFFFFF"/>
          <w:lang w:bidi="ar"/>
        </w:rPr>
        <w:t xml:space="preserve">  </w:t>
      </w:r>
      <w:r>
        <w:rPr>
          <w:rFonts w:hint="eastAsia" w:ascii="宋体" w:hAnsi="宋体" w:eastAsia="方正仿宋_GBK"/>
          <w:color w:val="000000"/>
          <w:kern w:val="0"/>
          <w:szCs w:val="32"/>
          <w:shd w:val="clear" w:color="auto" w:fill="FFFFFF"/>
          <w:lang w:bidi="ar"/>
        </w:rPr>
        <w:t>特殊情形的共同生活家庭成员认定：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（一）未婚现役军人，脱离家庭独立生活一年以上的宗教教职人员，在监狱内服刑的人员，不计入共同生活的家庭成员。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（二）复员退役军人以及刑满释放、监外执行、保外就医人员回到家庭居住生活的，计入共同生活的家庭成员。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（三）家庭月人均收入在当地最低生活保障标准</w:t>
      </w:r>
      <w:r>
        <w:rPr>
          <w:rFonts w:ascii="宋体" w:hAnsi="宋体" w:eastAsia="方正仿宋_GBK"/>
          <w:color w:val="000000"/>
          <w:kern w:val="0"/>
          <w:szCs w:val="32"/>
          <w:shd w:val="clear" w:color="auto" w:fill="FFFFFF"/>
          <w:lang w:bidi="ar"/>
        </w:rPr>
        <w:t>3</w:t>
      </w:r>
      <w:r>
        <w:rPr>
          <w:rFonts w:hint="eastAsia" w:ascii="宋体" w:hAnsi="宋体" w:eastAsia="方正仿宋_GBK"/>
          <w:color w:val="000000"/>
          <w:kern w:val="0"/>
          <w:szCs w:val="32"/>
          <w:shd w:val="clear" w:color="auto" w:fill="FFFFFF"/>
          <w:lang w:bidi="ar"/>
        </w:rPr>
        <w:t>倍以内，已成年且丧失劳动能力的残疾人或者身患重特大疾病长期卧床不起的人员，可以与其共同生活的父母、兄弟姐妹分户计算。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hint="eastAsia" w:ascii="宋体" w:hAnsi="宋体" w:eastAsia="方正仿宋_GBK"/>
          <w:color w:val="000000"/>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rPr>
          <w:rFonts w:hint="eastAsia" w:ascii="宋体" w:hAnsi="宋体" w:eastAsia="方正黑体_GBK"/>
          <w:color w:val="000000"/>
          <w:szCs w:val="32"/>
        </w:rPr>
      </w:pPr>
      <w:r>
        <w:rPr>
          <w:rFonts w:hint="eastAsia" w:ascii="宋体" w:hAnsi="宋体" w:eastAsia="方正黑体_GBK" w:cs="方正楷体_GBK"/>
          <w:color w:val="000000"/>
          <w:kern w:val="0"/>
          <w:szCs w:val="32"/>
          <w:shd w:val="clear" w:color="auto" w:fill="FFFFFF"/>
          <w:lang w:bidi="ar"/>
        </w:rPr>
        <w:t>第三章　家庭收入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hint="eastAsia" w:ascii="宋体" w:hAnsi="宋体" w:eastAsia="方正楷体_GBK" w:cs="方正黑体_GBK"/>
          <w:color w:val="000000"/>
          <w:kern w:val="0"/>
          <w:szCs w:val="32"/>
          <w:shd w:val="clear" w:color="auto" w:fill="FFFFFF"/>
          <w:lang w:bidi="ar"/>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方正仿宋_GBK"/>
        </w:rPr>
      </w:pPr>
      <w:r>
        <w:rPr>
          <w:rFonts w:hint="eastAsia" w:ascii="方正黑体_GBK" w:hAnsi="方正黑体_GBK" w:eastAsia="方正黑体_GBK" w:cs="方正黑体_GBK"/>
        </w:rPr>
        <w:t>第七条</w:t>
      </w:r>
      <w:r>
        <w:rPr>
          <w:rFonts w:hint="eastAsia" w:ascii="宋体" w:hAnsi="宋体" w:eastAsia="方正楷体_GBK"/>
        </w:rPr>
        <w:t xml:space="preserve"> </w:t>
      </w:r>
      <w:r>
        <w:rPr>
          <w:rFonts w:hint="eastAsia" w:ascii="宋体" w:hAnsi="宋体" w:eastAsia="方正仿宋_GBK"/>
        </w:rPr>
        <w:t xml:space="preserve"> 家庭收入是指共同生活的家庭成员在规定期限内扣除缴纳的个人所得税、个人按规定缴纳的社会保障性支出、必要的就业成本后的全部可支配收入。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方正黑体_GBK" w:hAnsi="方正黑体_GBK" w:eastAsia="方正黑体_GBK" w:cs="方正黑体_GBK"/>
          <w:color w:val="000000"/>
          <w:kern w:val="0"/>
          <w:szCs w:val="32"/>
          <w:shd w:val="clear" w:color="auto" w:fill="FFFFFF"/>
          <w:lang w:bidi="ar"/>
        </w:rPr>
        <w:t>第八条</w:t>
      </w:r>
      <w:r>
        <w:rPr>
          <w:rFonts w:hint="eastAsia" w:ascii="宋体" w:hAnsi="宋体" w:eastAsia="方正楷体_GBK" w:cs="方正黑体_GBK"/>
          <w:color w:val="000000"/>
          <w:kern w:val="0"/>
          <w:szCs w:val="32"/>
          <w:shd w:val="clear" w:color="auto" w:fill="FFFFFF"/>
          <w:lang w:bidi="ar"/>
        </w:rPr>
        <w:t xml:space="preserve">  </w:t>
      </w:r>
      <w:r>
        <w:rPr>
          <w:rFonts w:hint="eastAsia" w:ascii="宋体" w:hAnsi="宋体" w:eastAsia="方正仿宋_GBK"/>
          <w:color w:val="000000"/>
          <w:kern w:val="0"/>
          <w:szCs w:val="32"/>
          <w:shd w:val="clear" w:color="auto" w:fill="FFFFFF"/>
          <w:lang w:bidi="ar"/>
        </w:rPr>
        <w:t>获得最低生活保障，家庭月人均收入应当低于最低生活保障标准。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家庭月人均收入，按照申请人家庭成员月收入总额除以核定的家庭人口数确定。从事非农业生产的家庭成员月收入，按照提出申请前一个月的收入确定；从事农业生产的家庭成员月收入，按照提出申请前</w:t>
      </w:r>
      <w:r>
        <w:rPr>
          <w:rFonts w:ascii="宋体" w:hAnsi="宋体" w:eastAsia="方正仿宋_GBK"/>
          <w:color w:val="000000"/>
          <w:kern w:val="0"/>
          <w:szCs w:val="32"/>
          <w:shd w:val="clear" w:color="auto" w:fill="FFFFFF"/>
          <w:lang w:bidi="ar"/>
        </w:rPr>
        <w:t>12</w:t>
      </w:r>
      <w:r>
        <w:rPr>
          <w:rFonts w:hint="eastAsia" w:ascii="宋体" w:hAnsi="宋体" w:eastAsia="方正仿宋_GBK"/>
          <w:color w:val="000000"/>
          <w:kern w:val="0"/>
          <w:szCs w:val="32"/>
          <w:shd w:val="clear" w:color="auto" w:fill="FFFFFF"/>
          <w:lang w:bidi="ar"/>
        </w:rPr>
        <w:t>个月内货币和实物的总收入（扣除直接生产经营成本）除以</w:t>
      </w:r>
      <w:r>
        <w:rPr>
          <w:rFonts w:ascii="宋体" w:hAnsi="宋体" w:eastAsia="方正仿宋_GBK"/>
          <w:color w:val="000000"/>
          <w:kern w:val="0"/>
          <w:szCs w:val="32"/>
          <w:shd w:val="clear" w:color="auto" w:fill="FFFFFF"/>
          <w:lang w:bidi="ar"/>
        </w:rPr>
        <w:t>12</w:t>
      </w:r>
      <w:r>
        <w:rPr>
          <w:rFonts w:hint="eastAsia" w:ascii="宋体" w:hAnsi="宋体" w:eastAsia="方正仿宋_GBK"/>
          <w:color w:val="000000"/>
          <w:kern w:val="0"/>
          <w:szCs w:val="32"/>
          <w:shd w:val="clear" w:color="auto" w:fill="FFFFFF"/>
          <w:lang w:bidi="ar"/>
        </w:rPr>
        <w:t>确定。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方正黑体_GBK" w:hAnsi="方正黑体_GBK" w:eastAsia="方正黑体_GBK" w:cs="方正黑体_GBK"/>
          <w:color w:val="000000"/>
          <w:kern w:val="0"/>
          <w:szCs w:val="32"/>
          <w:shd w:val="clear" w:color="auto" w:fill="FFFFFF"/>
          <w:lang w:bidi="ar"/>
        </w:rPr>
        <w:t>第九条</w:t>
      </w:r>
      <w:r>
        <w:rPr>
          <w:rFonts w:hint="eastAsia" w:ascii="宋体" w:hAnsi="宋体" w:eastAsia="方正楷体_GBK" w:cs="方正黑体_GBK"/>
          <w:color w:val="000000"/>
          <w:kern w:val="0"/>
          <w:szCs w:val="32"/>
          <w:shd w:val="clear" w:color="auto" w:fill="FFFFFF"/>
          <w:lang w:bidi="ar"/>
        </w:rPr>
        <w:t xml:space="preserve">  </w:t>
      </w:r>
      <w:r>
        <w:rPr>
          <w:rFonts w:hint="eastAsia" w:ascii="宋体" w:hAnsi="宋体" w:eastAsia="方正仿宋_GBK"/>
          <w:color w:val="000000"/>
          <w:kern w:val="0"/>
          <w:szCs w:val="32"/>
          <w:shd w:val="clear" w:color="auto" w:fill="FFFFFF"/>
          <w:lang w:bidi="ar"/>
        </w:rPr>
        <w:t>家庭收入计算项目主要包括：</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（一）工资性收入。指因任职或者受雇而取得的工资、薪金、奖金、劳动分红、津贴、补贴以及与任职或者受雇有关的其他所得。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稳定就业或长期在外务工人员的工资性收入，按用人单位劳资部门出具的工资性收入证明计算；不能提供证明或所提供证明低于当地最低工资标准的，按当地最低工资标准计算。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季节性短期务工人员工资性收入，根据当地同行业收入标准，按实际务工月（天）数计算。</w:t>
      </w:r>
    </w:p>
    <w:p>
      <w:pPr>
        <w:keepNext w:val="0"/>
        <w:keepLines w:val="0"/>
        <w:pageBreakBefore w:val="0"/>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s="方正仿宋_GBK"/>
          <w:szCs w:val="32"/>
          <w:shd w:val="clear" w:color="auto" w:fill="FFFFFF"/>
        </w:rPr>
        <w:t>在核算工资性收入时，从其实际收入中扣减必要的</w:t>
      </w:r>
      <w:r>
        <w:rPr>
          <w:rFonts w:hint="eastAsia" w:ascii="宋体" w:hAnsi="宋体" w:eastAsia="方正仿宋_GBK" w:cs="方正仿宋_GBK"/>
          <w:kern w:val="0"/>
          <w:szCs w:val="32"/>
          <w:lang w:val="zh-CN"/>
        </w:rPr>
        <w:t>交通费、通讯费、房租费等</w:t>
      </w:r>
      <w:r>
        <w:rPr>
          <w:rFonts w:hint="eastAsia" w:ascii="宋体" w:hAnsi="宋体" w:eastAsia="方正仿宋_GBK" w:cs="方正仿宋_GBK"/>
          <w:szCs w:val="32"/>
          <w:shd w:val="clear" w:color="auto" w:fill="FFFFFF"/>
        </w:rPr>
        <w:t>就业成本，扣除标准为</w:t>
      </w:r>
      <w:r>
        <w:rPr>
          <w:rFonts w:hint="eastAsia" w:ascii="宋体" w:hAnsi="宋体" w:eastAsia="方正仿宋_GBK" w:cs="方正仿宋_GBK"/>
          <w:kern w:val="0"/>
          <w:szCs w:val="32"/>
          <w:lang w:val="zh-CN"/>
        </w:rPr>
        <w:t>我市最低工资标准的</w:t>
      </w:r>
      <w:r>
        <w:rPr>
          <w:rFonts w:ascii="宋体" w:hAnsi="宋体" w:eastAsia="方正仿宋_GBK" w:cs="方正仿宋_GBK"/>
          <w:kern w:val="0"/>
          <w:szCs w:val="32"/>
        </w:rPr>
        <w:t>25%</w:t>
      </w:r>
      <w:r>
        <w:rPr>
          <w:rFonts w:hint="eastAsia" w:ascii="宋体" w:hAnsi="宋体" w:eastAsia="方正仿宋_GBK" w:cs="方正仿宋_GBK"/>
          <w:kern w:val="0"/>
          <w:szCs w:val="32"/>
        </w:rPr>
        <w:t>，</w:t>
      </w:r>
      <w:r>
        <w:rPr>
          <w:rFonts w:hint="eastAsia" w:ascii="宋体" w:hAnsi="宋体" w:eastAsia="方正仿宋_GBK" w:cs="方正仿宋_GBK"/>
          <w:szCs w:val="32"/>
          <w:shd w:val="clear" w:color="auto" w:fill="FFFFFF"/>
        </w:rPr>
        <w:t>其余部分计入家庭收入。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hint="eastAsia" w:ascii="宋体" w:hAnsi="宋体" w:eastAsia="方正仿宋_GBK"/>
          <w:color w:val="000000"/>
          <w:kern w:val="0"/>
          <w:szCs w:val="32"/>
          <w:u w:val="double"/>
          <w:lang w:bidi="ar"/>
        </w:rPr>
      </w:pPr>
      <w:r>
        <w:rPr>
          <w:rFonts w:hint="eastAsia" w:ascii="宋体" w:hAnsi="宋体" w:eastAsia="方正仿宋_GBK"/>
          <w:color w:val="000000"/>
          <w:kern w:val="0"/>
          <w:szCs w:val="32"/>
          <w:shd w:val="clear" w:color="auto" w:fill="FFFFFF"/>
          <w:lang w:bidi="ar"/>
        </w:rPr>
        <w:t>种植、养殖、采集及加工等农林牧渔业（规模化种植、养殖除外）收入，按照</w:t>
      </w:r>
      <w:r>
        <w:rPr>
          <w:rFonts w:hint="eastAsia" w:ascii="宋体" w:hAnsi="宋体" w:eastAsia="方正仿宋_GBK"/>
          <w:color w:val="000000"/>
          <w:kern w:val="0"/>
          <w:szCs w:val="32"/>
          <w:lang w:bidi="ar"/>
        </w:rPr>
        <w:t>我区</w:t>
      </w:r>
      <w:r>
        <w:rPr>
          <w:rFonts w:hint="eastAsia" w:ascii="宋体" w:hAnsi="宋体" w:eastAsia="方正仿宋_GBK"/>
          <w:color w:val="000000"/>
          <w:kern w:val="0"/>
          <w:szCs w:val="32"/>
          <w:shd w:val="clear" w:color="auto" w:fill="FFFFFF"/>
          <w:lang w:bidi="ar"/>
        </w:rPr>
        <w:t>统计部门公布的农村常住居民经营净收入中的第一产业指标为核算基数，根据家庭成员劳动力系数指标折算核定。</w:t>
      </w:r>
      <w:r>
        <w:rPr>
          <w:rFonts w:hint="eastAsia" w:ascii="宋体" w:hAnsi="宋体" w:eastAsia="方正仿宋_GBK"/>
          <w:color w:val="000000"/>
          <w:kern w:val="0"/>
          <w:szCs w:val="32"/>
          <w:lang w:bidi="ar"/>
        </w:rPr>
        <w:t>劳动力系数表如下：</w:t>
      </w:r>
    </w:p>
    <w:tbl>
      <w:tblPr>
        <w:tblStyle w:val="12"/>
        <w:tblW w:w="8980" w:type="dxa"/>
        <w:tblInd w:w="-5"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0" w:type="dxa"/>
          <w:bottom w:w="0" w:type="dxa"/>
          <w:right w:w="0" w:type="dxa"/>
        </w:tblCellMar>
      </w:tblPr>
      <w:tblGrid>
        <w:gridCol w:w="2806"/>
        <w:gridCol w:w="1149"/>
        <w:gridCol w:w="1264"/>
        <w:gridCol w:w="1106"/>
        <w:gridCol w:w="2655"/>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0" w:type="dxa"/>
            <w:bottom w:w="0" w:type="dxa"/>
            <w:right w:w="0" w:type="dxa"/>
          </w:tblCellMar>
        </w:tblPrEx>
        <w:trPr>
          <w:trHeight w:val="890" w:hRule="atLeast"/>
        </w:trPr>
        <w:tc>
          <w:tcPr>
            <w:tcW w:w="280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eastAsia="方正黑体_GBK" w:cs="方正黑体_GBK"/>
                <w:color w:val="000000"/>
                <w:sz w:val="28"/>
                <w:szCs w:val="28"/>
              </w:rPr>
            </w:pPr>
            <w:r>
              <w:rPr>
                <w:rFonts w:hint="eastAsia" w:ascii="宋体" w:hAnsi="宋体" w:eastAsia="方正黑体_GBK" w:cs="方正黑体_GBK"/>
                <w:color w:val="000000"/>
                <w:kern w:val="0"/>
                <w:sz w:val="28"/>
                <w:szCs w:val="28"/>
                <w:lang w:bidi="ar"/>
              </w:rPr>
              <w:t>类别及等级</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eastAsia="方正黑体_GBK" w:cs="方正黑体_GBK"/>
                <w:color w:val="000000"/>
                <w:sz w:val="28"/>
                <w:szCs w:val="28"/>
              </w:rPr>
            </w:pPr>
            <w:r>
              <w:rPr>
                <w:rFonts w:hint="eastAsia" w:ascii="宋体" w:hAnsi="宋体" w:eastAsia="方正黑体_GBK" w:cs="方正黑体_GBK"/>
                <w:color w:val="000000"/>
                <w:kern w:val="0"/>
                <w:sz w:val="28"/>
                <w:szCs w:val="28"/>
                <w:lang w:bidi="ar"/>
              </w:rPr>
              <w:t>男</w:t>
            </w:r>
            <w:r>
              <w:rPr>
                <w:rFonts w:ascii="宋体" w:hAnsi="宋体" w:eastAsia="方正黑体_GBK" w:cs="方正黑体_GBK"/>
                <w:color w:val="000000"/>
                <w:kern w:val="0"/>
                <w:sz w:val="28"/>
                <w:szCs w:val="28"/>
                <w:lang w:bidi="ar"/>
              </w:rPr>
              <w:t>1</w:t>
            </w:r>
            <w:r>
              <w:rPr>
                <w:rStyle w:val="20"/>
                <w:rFonts w:ascii="宋体" w:hAnsi="宋体" w:eastAsia="方正黑体_GBK" w:cs="方正黑体_GBK"/>
                <w:sz w:val="28"/>
                <w:szCs w:val="28"/>
                <w:lang w:bidi="ar"/>
              </w:rPr>
              <w:t>6-50</w:t>
            </w:r>
            <w:r>
              <w:rPr>
                <w:rStyle w:val="20"/>
                <w:rFonts w:hint="eastAsia" w:ascii="宋体" w:hAnsi="宋体" w:eastAsia="方正黑体_GBK" w:cs="方正黑体_GBK"/>
                <w:sz w:val="28"/>
                <w:szCs w:val="28"/>
                <w:lang w:bidi="ar"/>
              </w:rPr>
              <w:t>周岁</w:t>
            </w:r>
          </w:p>
        </w:tc>
        <w:tc>
          <w:tcPr>
            <w:tcW w:w="1264"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eastAsia="方正黑体_GBK" w:cs="方正黑体_GBK"/>
                <w:color w:val="000000"/>
                <w:sz w:val="28"/>
                <w:szCs w:val="28"/>
              </w:rPr>
            </w:pPr>
            <w:r>
              <w:rPr>
                <w:rFonts w:hint="eastAsia" w:ascii="宋体" w:hAnsi="宋体" w:eastAsia="方正黑体_GBK" w:cs="方正黑体_GBK"/>
                <w:color w:val="000000"/>
                <w:kern w:val="0"/>
                <w:sz w:val="28"/>
                <w:szCs w:val="28"/>
                <w:lang w:bidi="ar"/>
              </w:rPr>
              <w:t>男</w:t>
            </w:r>
            <w:r>
              <w:rPr>
                <w:rFonts w:ascii="宋体" w:hAnsi="宋体" w:eastAsia="方正黑体_GBK" w:cs="方正黑体_GBK"/>
                <w:color w:val="000000"/>
                <w:kern w:val="0"/>
                <w:sz w:val="28"/>
                <w:szCs w:val="28"/>
                <w:lang w:bidi="ar"/>
              </w:rPr>
              <w:t>50-60</w:t>
            </w:r>
            <w:r>
              <w:rPr>
                <w:rFonts w:hint="eastAsia" w:ascii="宋体" w:hAnsi="宋体" w:eastAsia="方正黑体_GBK" w:cs="方正黑体_GBK"/>
                <w:color w:val="000000"/>
                <w:kern w:val="0"/>
                <w:sz w:val="28"/>
                <w:szCs w:val="28"/>
                <w:lang w:bidi="ar"/>
              </w:rPr>
              <w:t>周岁</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eastAsia="方正黑体_GBK" w:cs="方正黑体_GBK"/>
                <w:color w:val="000000"/>
                <w:sz w:val="28"/>
                <w:szCs w:val="28"/>
              </w:rPr>
            </w:pPr>
            <w:r>
              <w:rPr>
                <w:rFonts w:hint="eastAsia" w:ascii="宋体" w:hAnsi="宋体" w:eastAsia="方正黑体_GBK" w:cs="方正黑体_GBK"/>
                <w:color w:val="000000"/>
                <w:kern w:val="0"/>
                <w:sz w:val="28"/>
                <w:szCs w:val="28"/>
                <w:lang w:bidi="ar"/>
              </w:rPr>
              <w:t>男</w:t>
            </w:r>
            <w:r>
              <w:rPr>
                <w:rFonts w:ascii="宋体" w:hAnsi="宋体" w:eastAsia="方正黑体_GBK" w:cs="方正黑体_GBK"/>
                <w:color w:val="000000"/>
                <w:kern w:val="0"/>
                <w:sz w:val="28"/>
                <w:szCs w:val="28"/>
                <w:lang w:bidi="ar"/>
              </w:rPr>
              <w:t>60-65</w:t>
            </w:r>
            <w:r>
              <w:rPr>
                <w:rFonts w:hint="eastAsia" w:ascii="宋体" w:hAnsi="宋体" w:eastAsia="方正黑体_GBK" w:cs="方正黑体_GBK"/>
                <w:color w:val="000000"/>
                <w:kern w:val="0"/>
                <w:sz w:val="28"/>
                <w:szCs w:val="28"/>
                <w:lang w:bidi="ar"/>
              </w:rPr>
              <w:t>周岁</w:t>
            </w:r>
          </w:p>
        </w:tc>
        <w:tc>
          <w:tcPr>
            <w:tcW w:w="2655"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Style w:val="20"/>
                <w:rFonts w:hint="eastAsia" w:ascii="宋体" w:hAnsi="宋体" w:eastAsia="方正黑体_GBK" w:cs="方正黑体_GBK"/>
                <w:sz w:val="28"/>
                <w:szCs w:val="28"/>
                <w:lang w:bidi="ar"/>
              </w:rPr>
            </w:pPr>
            <w:r>
              <w:rPr>
                <w:rFonts w:ascii="宋体" w:hAnsi="宋体" w:eastAsia="方正黑体_GBK" w:cs="方正黑体_GBK"/>
                <w:color w:val="000000"/>
                <w:kern w:val="0"/>
                <w:sz w:val="28"/>
                <w:szCs w:val="28"/>
                <w:lang w:bidi="ar"/>
              </w:rPr>
              <w:t>16</w:t>
            </w:r>
            <w:r>
              <w:rPr>
                <w:rStyle w:val="20"/>
                <w:rFonts w:hint="eastAsia" w:ascii="宋体" w:hAnsi="宋体" w:eastAsia="方正黑体_GBK" w:cs="方正黑体_GBK"/>
                <w:sz w:val="28"/>
                <w:szCs w:val="28"/>
                <w:lang w:bidi="ar"/>
              </w:rPr>
              <w:t>周岁以下人员</w:t>
            </w:r>
          </w:p>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eastAsia="方正黑体_GBK" w:cs="方正黑体_GBK"/>
                <w:color w:val="000000"/>
                <w:sz w:val="28"/>
                <w:szCs w:val="28"/>
              </w:rPr>
            </w:pPr>
            <w:r>
              <w:rPr>
                <w:rStyle w:val="20"/>
                <w:rFonts w:hint="eastAsia" w:ascii="宋体" w:hAnsi="宋体" w:eastAsia="方正黑体_GBK" w:cs="方正黑体_GBK"/>
                <w:sz w:val="28"/>
                <w:szCs w:val="28"/>
                <w:lang w:bidi="ar"/>
              </w:rPr>
              <w:t>及在校学生</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0" w:type="dxa"/>
            <w:bottom w:w="0" w:type="dxa"/>
            <w:right w:w="0" w:type="dxa"/>
          </w:tblCellMar>
        </w:tblPrEx>
        <w:trPr>
          <w:trHeight w:val="858" w:hRule="atLeast"/>
        </w:trPr>
        <w:tc>
          <w:tcPr>
            <w:tcW w:w="28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rPr>
                <w:rFonts w:ascii="宋体" w:hAnsi="宋体" w:eastAsia="方正黑体_GBK" w:cs="方正黑体_GBK"/>
                <w:color w:val="000000"/>
                <w:sz w:val="28"/>
                <w:szCs w:val="28"/>
              </w:rPr>
            </w:pP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eastAsia="方正黑体_GBK" w:cs="方正黑体_GBK"/>
                <w:color w:val="000000"/>
                <w:sz w:val="28"/>
                <w:szCs w:val="28"/>
              </w:rPr>
            </w:pPr>
            <w:r>
              <w:rPr>
                <w:rFonts w:hint="eastAsia" w:ascii="宋体" w:hAnsi="宋体" w:eastAsia="方正黑体_GBK" w:cs="方正黑体_GBK"/>
                <w:color w:val="000000"/>
                <w:kern w:val="0"/>
                <w:sz w:val="28"/>
                <w:szCs w:val="28"/>
                <w:lang w:bidi="ar"/>
              </w:rPr>
              <w:t>女</w:t>
            </w:r>
            <w:r>
              <w:rPr>
                <w:rFonts w:ascii="宋体" w:hAnsi="宋体" w:eastAsia="方正黑体_GBK" w:cs="方正黑体_GBK"/>
                <w:color w:val="000000"/>
                <w:kern w:val="0"/>
                <w:sz w:val="28"/>
                <w:szCs w:val="28"/>
                <w:lang w:bidi="ar"/>
              </w:rPr>
              <w:t>1</w:t>
            </w:r>
            <w:r>
              <w:rPr>
                <w:rStyle w:val="20"/>
                <w:rFonts w:ascii="宋体" w:hAnsi="宋体" w:eastAsia="方正黑体_GBK" w:cs="方正黑体_GBK"/>
                <w:sz w:val="28"/>
                <w:szCs w:val="28"/>
                <w:lang w:bidi="ar"/>
              </w:rPr>
              <w:t>6-45</w:t>
            </w:r>
            <w:r>
              <w:rPr>
                <w:rStyle w:val="20"/>
                <w:rFonts w:hint="eastAsia" w:ascii="宋体" w:hAnsi="宋体" w:eastAsia="方正黑体_GBK" w:cs="方正黑体_GBK"/>
                <w:sz w:val="28"/>
                <w:szCs w:val="28"/>
                <w:lang w:bidi="ar"/>
              </w:rPr>
              <w:t>周岁</w:t>
            </w:r>
          </w:p>
        </w:tc>
        <w:tc>
          <w:tcPr>
            <w:tcW w:w="1264"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eastAsia="方正黑体_GBK" w:cs="方正黑体_GBK"/>
                <w:color w:val="000000"/>
                <w:sz w:val="28"/>
                <w:szCs w:val="28"/>
              </w:rPr>
            </w:pPr>
            <w:r>
              <w:rPr>
                <w:rFonts w:hint="eastAsia" w:ascii="宋体" w:hAnsi="宋体" w:eastAsia="方正黑体_GBK" w:cs="方正黑体_GBK"/>
                <w:color w:val="000000"/>
                <w:kern w:val="0"/>
                <w:sz w:val="28"/>
                <w:szCs w:val="28"/>
                <w:lang w:bidi="ar"/>
              </w:rPr>
              <w:t>女</w:t>
            </w:r>
            <w:r>
              <w:rPr>
                <w:rFonts w:ascii="宋体" w:hAnsi="宋体" w:eastAsia="方正黑体_GBK" w:cs="方正黑体_GBK"/>
                <w:color w:val="000000"/>
                <w:kern w:val="0"/>
                <w:sz w:val="28"/>
                <w:szCs w:val="28"/>
                <w:lang w:bidi="ar"/>
              </w:rPr>
              <w:t>45-55</w:t>
            </w:r>
            <w:r>
              <w:rPr>
                <w:rFonts w:hint="eastAsia" w:ascii="宋体" w:hAnsi="宋体" w:eastAsia="方正黑体_GBK" w:cs="方正黑体_GBK"/>
                <w:color w:val="000000"/>
                <w:kern w:val="0"/>
                <w:sz w:val="28"/>
                <w:szCs w:val="28"/>
                <w:lang w:bidi="ar"/>
              </w:rPr>
              <w:t>周岁</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eastAsia="方正黑体_GBK" w:cs="方正黑体_GBK"/>
                <w:color w:val="000000"/>
                <w:sz w:val="28"/>
                <w:szCs w:val="28"/>
              </w:rPr>
            </w:pPr>
            <w:r>
              <w:rPr>
                <w:rFonts w:hint="eastAsia" w:ascii="宋体" w:hAnsi="宋体" w:eastAsia="方正黑体_GBK" w:cs="方正黑体_GBK"/>
                <w:color w:val="000000"/>
                <w:kern w:val="0"/>
                <w:sz w:val="28"/>
                <w:szCs w:val="28"/>
                <w:lang w:bidi="ar"/>
              </w:rPr>
              <w:t>女</w:t>
            </w:r>
            <w:r>
              <w:rPr>
                <w:rFonts w:ascii="宋体" w:hAnsi="宋体" w:eastAsia="方正黑体_GBK" w:cs="方正黑体_GBK"/>
                <w:color w:val="000000"/>
                <w:kern w:val="0"/>
                <w:sz w:val="28"/>
                <w:szCs w:val="28"/>
                <w:lang w:bidi="ar"/>
              </w:rPr>
              <w:t>55-60</w:t>
            </w:r>
            <w:r>
              <w:rPr>
                <w:rFonts w:hint="eastAsia" w:ascii="宋体" w:hAnsi="宋体" w:eastAsia="方正黑体_GBK" w:cs="方正黑体_GBK"/>
                <w:color w:val="000000"/>
                <w:kern w:val="0"/>
                <w:sz w:val="28"/>
                <w:szCs w:val="28"/>
                <w:lang w:bidi="ar"/>
              </w:rPr>
              <w:t>周岁</w:t>
            </w:r>
          </w:p>
        </w:tc>
        <w:tc>
          <w:tcPr>
            <w:tcW w:w="2655"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eastAsia="方正黑体_GBK" w:cs="方正黑体_GBK"/>
                <w:color w:val="000000"/>
                <w:sz w:val="28"/>
                <w:szCs w:val="28"/>
              </w:rPr>
            </w:pPr>
            <w:r>
              <w:rPr>
                <w:rFonts w:hint="eastAsia" w:ascii="宋体" w:hAnsi="宋体" w:eastAsia="方正黑体_GBK" w:cs="方正黑体_GBK"/>
                <w:color w:val="000000"/>
                <w:kern w:val="0"/>
                <w:sz w:val="28"/>
                <w:szCs w:val="28"/>
                <w:lang w:bidi="ar"/>
              </w:rPr>
              <w:t>男</w:t>
            </w:r>
            <w:r>
              <w:rPr>
                <w:rFonts w:ascii="宋体" w:hAnsi="宋体" w:eastAsia="方正黑体_GBK" w:cs="方正黑体_GBK"/>
                <w:color w:val="000000"/>
                <w:kern w:val="0"/>
                <w:sz w:val="28"/>
                <w:szCs w:val="28"/>
                <w:lang w:bidi="ar"/>
              </w:rPr>
              <w:t>65</w:t>
            </w:r>
            <w:r>
              <w:rPr>
                <w:rFonts w:hint="eastAsia" w:ascii="宋体" w:hAnsi="宋体" w:eastAsia="方正黑体_GBK" w:cs="方正黑体_GBK"/>
                <w:color w:val="000000"/>
                <w:kern w:val="0"/>
                <w:sz w:val="28"/>
                <w:szCs w:val="28"/>
                <w:lang w:bidi="ar"/>
              </w:rPr>
              <w:t>周岁以上</w:t>
            </w:r>
            <w:r>
              <w:rPr>
                <w:rFonts w:ascii="宋体" w:hAnsi="宋体" w:eastAsia="方正黑体_GBK" w:cs="方正黑体_GBK"/>
                <w:color w:val="000000"/>
                <w:kern w:val="0"/>
                <w:sz w:val="28"/>
                <w:szCs w:val="28"/>
                <w:lang w:bidi="ar"/>
              </w:rPr>
              <w:br w:type="textWrapping"/>
            </w:r>
            <w:r>
              <w:rPr>
                <w:rFonts w:hint="eastAsia" w:ascii="宋体" w:hAnsi="宋体" w:eastAsia="方正黑体_GBK" w:cs="方正黑体_GBK"/>
                <w:color w:val="000000"/>
                <w:kern w:val="0"/>
                <w:sz w:val="28"/>
                <w:szCs w:val="28"/>
                <w:lang w:bidi="ar"/>
              </w:rPr>
              <w:t>女</w:t>
            </w:r>
            <w:r>
              <w:rPr>
                <w:rFonts w:ascii="宋体" w:hAnsi="宋体" w:eastAsia="方正黑体_GBK" w:cs="方正黑体_GBK"/>
                <w:color w:val="000000"/>
                <w:kern w:val="0"/>
                <w:sz w:val="28"/>
                <w:szCs w:val="28"/>
                <w:lang w:bidi="ar"/>
              </w:rPr>
              <w:t>60</w:t>
            </w:r>
            <w:r>
              <w:rPr>
                <w:rFonts w:hint="eastAsia" w:ascii="宋体" w:hAnsi="宋体" w:eastAsia="方正黑体_GBK" w:cs="方正黑体_GBK"/>
                <w:color w:val="000000"/>
                <w:kern w:val="0"/>
                <w:sz w:val="28"/>
                <w:szCs w:val="28"/>
                <w:lang w:bidi="ar"/>
              </w:rPr>
              <w:t>周岁以上</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0" w:type="dxa"/>
            <w:bottom w:w="0" w:type="dxa"/>
            <w:right w:w="0" w:type="dxa"/>
          </w:tblCellMar>
        </w:tblPrEx>
        <w:trPr>
          <w:trHeight w:val="90" w:hRule="atLeast"/>
        </w:trPr>
        <w:tc>
          <w:tcPr>
            <w:tcW w:w="2806" w:type="dxa"/>
            <w:noWrap w:val="0"/>
            <w:vAlign w:val="top"/>
          </w:tcPr>
          <w:p>
            <w:pPr>
              <w:keepNext w:val="0"/>
              <w:keepLines w:val="0"/>
              <w:pageBreakBefore w:val="0"/>
              <w:widowControl/>
              <w:kinsoku/>
              <w:wordWrap/>
              <w:overflowPunct/>
              <w:topLinePunct w:val="0"/>
              <w:autoSpaceDE/>
              <w:autoSpaceDN/>
              <w:bidi w:val="0"/>
              <w:adjustRightInd/>
              <w:snapToGrid/>
              <w:spacing w:line="600" w:lineRule="exact"/>
              <w:textAlignment w:val="center"/>
              <w:rPr>
                <w:rFonts w:ascii="宋体" w:hAnsi="宋体" w:cs="方正仿宋_GBK"/>
                <w:color w:val="000000"/>
                <w:sz w:val="28"/>
                <w:szCs w:val="28"/>
              </w:rPr>
            </w:pPr>
            <w:r>
              <w:rPr>
                <w:rFonts w:hint="eastAsia" w:ascii="宋体" w:hAnsi="宋体" w:eastAsia="方正仿宋_GBK" w:cs="方正仿宋_GBK"/>
                <w:color w:val="000000"/>
                <w:kern w:val="0"/>
                <w:sz w:val="28"/>
                <w:szCs w:val="28"/>
                <w:lang w:bidi="ar"/>
              </w:rPr>
              <w:t>正常人员</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1</w:t>
            </w:r>
          </w:p>
        </w:tc>
        <w:tc>
          <w:tcPr>
            <w:tcW w:w="1264"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0.8</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0.4</w:t>
            </w:r>
          </w:p>
        </w:tc>
        <w:tc>
          <w:tcPr>
            <w:tcW w:w="2655"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0" w:type="dxa"/>
            <w:bottom w:w="0" w:type="dxa"/>
            <w:right w:w="0" w:type="dxa"/>
          </w:tblCellMar>
        </w:tblPrEx>
        <w:trPr>
          <w:trHeight w:val="1547" w:hRule="atLeast"/>
        </w:trPr>
        <w:tc>
          <w:tcPr>
            <w:tcW w:w="2806" w:type="dxa"/>
            <w:noWrap w:val="0"/>
            <w:vAlign w:val="top"/>
          </w:tcPr>
          <w:p>
            <w:pPr>
              <w:keepNext w:val="0"/>
              <w:keepLines w:val="0"/>
              <w:pageBreakBefore w:val="0"/>
              <w:widowControl/>
              <w:kinsoku/>
              <w:wordWrap/>
              <w:overflowPunct/>
              <w:topLinePunct w:val="0"/>
              <w:autoSpaceDE/>
              <w:autoSpaceDN/>
              <w:bidi w:val="0"/>
              <w:adjustRightInd/>
              <w:snapToGrid/>
              <w:spacing w:line="600" w:lineRule="exact"/>
              <w:textAlignment w:val="center"/>
              <w:rPr>
                <w:rFonts w:ascii="宋体" w:hAnsi="宋体" w:cs="方正仿宋_GBK"/>
                <w:color w:val="000000"/>
                <w:sz w:val="28"/>
                <w:szCs w:val="28"/>
                <w:u w:val="single"/>
              </w:rPr>
            </w:pPr>
            <w:r>
              <w:rPr>
                <w:rFonts w:ascii="宋体" w:hAnsi="宋体" w:eastAsia="方正仿宋_GBK" w:cs="方正仿宋_GBK"/>
                <w:color w:val="000000"/>
                <w:kern w:val="0"/>
                <w:sz w:val="28"/>
                <w:szCs w:val="28"/>
                <w:lang w:bidi="ar"/>
              </w:rPr>
              <w:t>3</w:t>
            </w:r>
            <w:r>
              <w:rPr>
                <w:rFonts w:hint="eastAsia" w:ascii="宋体" w:hAnsi="宋体" w:eastAsia="方正仿宋_GBK" w:cs="方正仿宋_GBK"/>
                <w:color w:val="000000"/>
                <w:kern w:val="0"/>
                <w:sz w:val="28"/>
                <w:szCs w:val="28"/>
                <w:lang w:bidi="ar"/>
              </w:rPr>
              <w:t>、</w:t>
            </w:r>
            <w:r>
              <w:rPr>
                <w:rFonts w:ascii="宋体" w:hAnsi="宋体" w:eastAsia="方正仿宋_GBK" w:cs="方正仿宋_GBK"/>
                <w:color w:val="000000"/>
                <w:kern w:val="0"/>
                <w:sz w:val="28"/>
                <w:szCs w:val="28"/>
                <w:lang w:bidi="ar"/>
              </w:rPr>
              <w:t>4</w:t>
            </w:r>
            <w:r>
              <w:rPr>
                <w:rFonts w:hint="eastAsia" w:ascii="宋体" w:hAnsi="宋体" w:eastAsia="方正仿宋_GBK" w:cs="方正仿宋_GBK"/>
                <w:color w:val="000000"/>
                <w:kern w:val="0"/>
                <w:sz w:val="28"/>
                <w:szCs w:val="28"/>
                <w:lang w:bidi="ar"/>
              </w:rPr>
              <w:t>级听力</w:t>
            </w:r>
            <w:r>
              <w:rPr>
                <w:rStyle w:val="21"/>
                <w:rFonts w:hint="eastAsia" w:ascii="宋体" w:hAnsi="宋体"/>
                <w:sz w:val="28"/>
                <w:szCs w:val="28"/>
                <w:u w:val="none"/>
                <w:lang w:bidi="ar"/>
              </w:rPr>
              <w:t>、语言残疾人员；其他</w:t>
            </w:r>
            <w:r>
              <w:rPr>
                <w:rStyle w:val="21"/>
                <w:rFonts w:ascii="宋体" w:hAnsi="宋体"/>
                <w:sz w:val="28"/>
                <w:szCs w:val="28"/>
                <w:u w:val="none"/>
                <w:lang w:bidi="ar"/>
              </w:rPr>
              <w:t>4</w:t>
            </w:r>
            <w:r>
              <w:rPr>
                <w:rStyle w:val="21"/>
                <w:rFonts w:hint="eastAsia" w:ascii="宋体" w:hAnsi="宋体"/>
                <w:sz w:val="28"/>
                <w:szCs w:val="28"/>
                <w:u w:val="none"/>
                <w:lang w:bidi="ar"/>
              </w:rPr>
              <w:t>级残疾人员</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kern w:val="0"/>
                <w:sz w:val="28"/>
                <w:szCs w:val="28"/>
                <w:lang w:bidi="ar"/>
              </w:rPr>
            </w:pPr>
            <w:r>
              <w:rPr>
                <w:rFonts w:ascii="宋体" w:hAnsi="宋体" w:eastAsia="方正仿宋_GBK" w:cs="方正仿宋_GBK"/>
                <w:color w:val="000000"/>
                <w:kern w:val="0"/>
                <w:sz w:val="28"/>
                <w:szCs w:val="28"/>
                <w:lang w:bidi="ar"/>
              </w:rPr>
              <w:t>0.5</w:t>
            </w:r>
          </w:p>
        </w:tc>
        <w:tc>
          <w:tcPr>
            <w:tcW w:w="1264"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kern w:val="0"/>
                <w:sz w:val="28"/>
                <w:szCs w:val="28"/>
                <w:lang w:bidi="ar"/>
              </w:rPr>
            </w:pPr>
            <w:r>
              <w:rPr>
                <w:rFonts w:ascii="宋体" w:hAnsi="宋体" w:eastAsia="方正仿宋_GBK" w:cs="方正仿宋_GBK"/>
                <w:color w:val="000000"/>
                <w:kern w:val="0"/>
                <w:sz w:val="28"/>
                <w:szCs w:val="28"/>
                <w:lang w:bidi="ar"/>
              </w:rPr>
              <w:t>0.3</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kern w:val="0"/>
                <w:sz w:val="28"/>
                <w:szCs w:val="28"/>
                <w:lang w:bidi="ar"/>
              </w:rPr>
            </w:pPr>
            <w:r>
              <w:rPr>
                <w:rFonts w:ascii="宋体" w:hAnsi="宋体" w:eastAsia="方正仿宋_GBK" w:cs="方正仿宋_GBK"/>
                <w:color w:val="000000"/>
                <w:kern w:val="0"/>
                <w:sz w:val="28"/>
                <w:szCs w:val="28"/>
                <w:lang w:bidi="ar"/>
              </w:rPr>
              <w:t>0.1</w:t>
            </w:r>
          </w:p>
        </w:tc>
        <w:tc>
          <w:tcPr>
            <w:tcW w:w="2655"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u w:val="single"/>
              </w:rPr>
            </w:pPr>
            <w:r>
              <w:rPr>
                <w:rFonts w:ascii="宋体" w:hAnsi="宋体" w:eastAsia="方正仿宋_GBK" w:cs="方正仿宋_GBK"/>
                <w:color w:val="000000"/>
                <w:kern w:val="0"/>
                <w:sz w:val="28"/>
                <w:szCs w:val="28"/>
                <w:u w:val="single"/>
                <w:lang w:bidi="ar"/>
              </w:rPr>
              <w:t>0</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0" w:type="dxa"/>
            <w:bottom w:w="0" w:type="dxa"/>
            <w:right w:w="0" w:type="dxa"/>
          </w:tblCellMar>
        </w:tblPrEx>
        <w:trPr>
          <w:trHeight w:val="613" w:hRule="atLeast"/>
        </w:trPr>
        <w:tc>
          <w:tcPr>
            <w:tcW w:w="2806" w:type="dxa"/>
            <w:noWrap w:val="0"/>
            <w:vAlign w:val="top"/>
          </w:tcPr>
          <w:p>
            <w:pPr>
              <w:keepNext w:val="0"/>
              <w:keepLines w:val="0"/>
              <w:pageBreakBefore w:val="0"/>
              <w:widowControl/>
              <w:kinsoku/>
              <w:wordWrap/>
              <w:overflowPunct/>
              <w:topLinePunct w:val="0"/>
              <w:autoSpaceDE/>
              <w:autoSpaceDN/>
              <w:bidi w:val="0"/>
              <w:adjustRightInd/>
              <w:snapToGrid/>
              <w:spacing w:line="600" w:lineRule="exact"/>
              <w:textAlignment w:val="center"/>
              <w:rPr>
                <w:rFonts w:ascii="宋体" w:hAnsi="宋体" w:cs="方正仿宋_GBK"/>
                <w:color w:val="000000"/>
                <w:sz w:val="28"/>
                <w:szCs w:val="28"/>
              </w:rPr>
            </w:pPr>
            <w:r>
              <w:rPr>
                <w:rFonts w:hint="eastAsia" w:ascii="宋体" w:hAnsi="宋体" w:eastAsia="方正仿宋_GBK" w:cs="方正仿宋_GBK"/>
                <w:color w:val="000000"/>
                <w:kern w:val="0"/>
                <w:sz w:val="28"/>
                <w:szCs w:val="28"/>
                <w:lang w:bidi="ar"/>
              </w:rPr>
              <w:t>患有慢性疾病人员</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0.4</w:t>
            </w:r>
          </w:p>
        </w:tc>
        <w:tc>
          <w:tcPr>
            <w:tcW w:w="1264"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0.3</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0.2</w:t>
            </w:r>
          </w:p>
        </w:tc>
        <w:tc>
          <w:tcPr>
            <w:tcW w:w="2655"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0" w:type="dxa"/>
            <w:bottom w:w="0" w:type="dxa"/>
            <w:right w:w="0" w:type="dxa"/>
          </w:tblCellMar>
        </w:tblPrEx>
        <w:trPr>
          <w:trHeight w:val="1610" w:hRule="atLeast"/>
        </w:trPr>
        <w:tc>
          <w:tcPr>
            <w:tcW w:w="2806" w:type="dxa"/>
            <w:noWrap w:val="0"/>
            <w:vAlign w:val="top"/>
          </w:tcPr>
          <w:p>
            <w:pPr>
              <w:keepNext w:val="0"/>
              <w:keepLines w:val="0"/>
              <w:pageBreakBefore w:val="0"/>
              <w:widowControl/>
              <w:kinsoku/>
              <w:wordWrap/>
              <w:overflowPunct/>
              <w:topLinePunct w:val="0"/>
              <w:autoSpaceDE/>
              <w:autoSpaceDN/>
              <w:bidi w:val="0"/>
              <w:adjustRightInd/>
              <w:snapToGrid/>
              <w:spacing w:line="600" w:lineRule="exact"/>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1</w:t>
            </w:r>
            <w:r>
              <w:rPr>
                <w:rFonts w:hint="eastAsia" w:ascii="宋体" w:hAnsi="宋体" w:eastAsia="方正仿宋_GBK" w:cs="方正仿宋_GBK"/>
                <w:color w:val="000000"/>
                <w:kern w:val="0"/>
                <w:sz w:val="28"/>
                <w:szCs w:val="28"/>
                <w:lang w:bidi="ar"/>
              </w:rPr>
              <w:t>、</w:t>
            </w:r>
            <w:r>
              <w:rPr>
                <w:rFonts w:ascii="宋体" w:hAnsi="宋体" w:eastAsia="方正仿宋_GBK" w:cs="方正仿宋_GBK"/>
                <w:color w:val="000000"/>
                <w:kern w:val="0"/>
                <w:sz w:val="28"/>
                <w:szCs w:val="28"/>
                <w:lang w:bidi="ar"/>
              </w:rPr>
              <w:t>2</w:t>
            </w:r>
            <w:r>
              <w:rPr>
                <w:rFonts w:hint="eastAsia" w:ascii="宋体" w:hAnsi="宋体" w:eastAsia="方正仿宋_GBK" w:cs="方正仿宋_GBK"/>
                <w:color w:val="000000"/>
                <w:kern w:val="0"/>
                <w:sz w:val="28"/>
                <w:szCs w:val="28"/>
                <w:lang w:bidi="ar"/>
              </w:rPr>
              <w:t>级听力</w:t>
            </w:r>
            <w:r>
              <w:rPr>
                <w:rStyle w:val="22"/>
                <w:rFonts w:hint="eastAsia" w:ascii="宋体" w:hAnsi="宋体"/>
                <w:sz w:val="28"/>
                <w:szCs w:val="28"/>
                <w:lang w:bidi="ar"/>
              </w:rPr>
              <w:t>、语言残疾人员；</w:t>
            </w:r>
            <w:r>
              <w:rPr>
                <w:rStyle w:val="22"/>
                <w:rFonts w:ascii="宋体" w:hAnsi="宋体"/>
                <w:sz w:val="28"/>
                <w:szCs w:val="28"/>
                <w:lang w:bidi="ar"/>
              </w:rPr>
              <w:t>3</w:t>
            </w:r>
            <w:r>
              <w:rPr>
                <w:rStyle w:val="22"/>
                <w:rFonts w:hint="eastAsia" w:ascii="宋体" w:hAnsi="宋体"/>
                <w:sz w:val="28"/>
                <w:szCs w:val="28"/>
                <w:lang w:bidi="ar"/>
              </w:rPr>
              <w:t>级视力、肢体、智力、精神残疾人员</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0.2</w:t>
            </w:r>
          </w:p>
        </w:tc>
        <w:tc>
          <w:tcPr>
            <w:tcW w:w="1264"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0.1</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w:t>
            </w:r>
          </w:p>
        </w:tc>
        <w:tc>
          <w:tcPr>
            <w:tcW w:w="2655"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0" w:type="dxa"/>
            <w:bottom w:w="0" w:type="dxa"/>
            <w:right w:w="0" w:type="dxa"/>
          </w:tblCellMar>
        </w:tblPrEx>
        <w:trPr>
          <w:trHeight w:val="1770" w:hRule="atLeast"/>
        </w:trPr>
        <w:tc>
          <w:tcPr>
            <w:tcW w:w="2806" w:type="dxa"/>
            <w:noWrap w:val="0"/>
            <w:vAlign w:val="top"/>
          </w:tcPr>
          <w:p>
            <w:pPr>
              <w:keepNext w:val="0"/>
              <w:keepLines w:val="0"/>
              <w:pageBreakBefore w:val="0"/>
              <w:widowControl/>
              <w:kinsoku/>
              <w:wordWrap/>
              <w:overflowPunct/>
              <w:topLinePunct w:val="0"/>
              <w:autoSpaceDE/>
              <w:autoSpaceDN/>
              <w:bidi w:val="0"/>
              <w:adjustRightInd/>
              <w:snapToGrid/>
              <w:spacing w:line="600" w:lineRule="exact"/>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1</w:t>
            </w:r>
            <w:r>
              <w:rPr>
                <w:rFonts w:hint="eastAsia" w:ascii="宋体" w:hAnsi="宋体" w:eastAsia="方正仿宋_GBK" w:cs="方正仿宋_GBK"/>
                <w:color w:val="000000"/>
                <w:kern w:val="0"/>
                <w:sz w:val="28"/>
                <w:szCs w:val="28"/>
                <w:lang w:bidi="ar"/>
              </w:rPr>
              <w:t>、</w:t>
            </w:r>
            <w:r>
              <w:rPr>
                <w:rFonts w:ascii="宋体" w:hAnsi="宋体" w:eastAsia="方正仿宋_GBK" w:cs="方正仿宋_GBK"/>
                <w:color w:val="000000"/>
                <w:kern w:val="0"/>
                <w:sz w:val="28"/>
                <w:szCs w:val="28"/>
                <w:lang w:bidi="ar"/>
              </w:rPr>
              <w:t>2</w:t>
            </w:r>
            <w:r>
              <w:rPr>
                <w:rFonts w:hint="eastAsia" w:ascii="宋体" w:hAnsi="宋体" w:eastAsia="方正仿宋_GBK" w:cs="方正仿宋_GBK"/>
                <w:color w:val="000000"/>
                <w:kern w:val="0"/>
                <w:sz w:val="28"/>
                <w:szCs w:val="28"/>
                <w:lang w:bidi="ar"/>
              </w:rPr>
              <w:t>级视力、精神、肢体、智力残疾人员；重病且完全丧失劳动能力人员</w:t>
            </w:r>
          </w:p>
        </w:tc>
        <w:tc>
          <w:tcPr>
            <w:tcW w:w="1149"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w:t>
            </w:r>
          </w:p>
        </w:tc>
        <w:tc>
          <w:tcPr>
            <w:tcW w:w="1264"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w:t>
            </w:r>
          </w:p>
        </w:tc>
        <w:tc>
          <w:tcPr>
            <w:tcW w:w="1106"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w:t>
            </w:r>
          </w:p>
        </w:tc>
        <w:tc>
          <w:tcPr>
            <w:tcW w:w="2655"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center"/>
              <w:rPr>
                <w:rFonts w:ascii="宋体" w:hAnsi="宋体" w:cs="方正仿宋_GBK"/>
                <w:color w:val="000000"/>
                <w:sz w:val="28"/>
                <w:szCs w:val="28"/>
              </w:rPr>
            </w:pPr>
            <w:r>
              <w:rPr>
                <w:rFonts w:ascii="宋体" w:hAnsi="宋体" w:eastAsia="方正仿宋_GBK" w:cs="方正仿宋_GBK"/>
                <w:color w:val="000000"/>
                <w:kern w:val="0"/>
                <w:sz w:val="28"/>
                <w:szCs w:val="28"/>
                <w:lang w:bidi="ar"/>
              </w:rPr>
              <w:t>0</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0" w:type="dxa"/>
            <w:bottom w:w="0" w:type="dxa"/>
            <w:right w:w="0" w:type="dxa"/>
          </w:tblCellMar>
        </w:tblPrEx>
        <w:trPr>
          <w:trHeight w:val="2023" w:hRule="atLeast"/>
        </w:trPr>
        <w:tc>
          <w:tcPr>
            <w:tcW w:w="2806" w:type="dxa"/>
            <w:noWrap w:val="0"/>
            <w:vAlign w:val="top"/>
          </w:tcPr>
          <w:p>
            <w:pPr>
              <w:keepNext w:val="0"/>
              <w:keepLines w:val="0"/>
              <w:pageBreakBefore w:val="0"/>
              <w:widowControl/>
              <w:kinsoku/>
              <w:wordWrap/>
              <w:overflowPunct/>
              <w:topLinePunct w:val="0"/>
              <w:autoSpaceDE/>
              <w:autoSpaceDN/>
              <w:bidi w:val="0"/>
              <w:adjustRightInd/>
              <w:snapToGrid/>
              <w:spacing w:line="600" w:lineRule="exact"/>
              <w:textAlignment w:val="center"/>
              <w:rPr>
                <w:rFonts w:ascii="宋体" w:hAnsi="宋体" w:cs="方正仿宋_GBK"/>
                <w:color w:val="000000"/>
                <w:sz w:val="28"/>
                <w:szCs w:val="28"/>
              </w:rPr>
            </w:pPr>
            <w:r>
              <w:rPr>
                <w:rFonts w:hint="eastAsia" w:ascii="宋体" w:hAnsi="宋体" w:eastAsia="方正仿宋_GBK" w:cs="方正仿宋_GBK"/>
                <w:color w:val="000000"/>
                <w:kern w:val="0"/>
                <w:sz w:val="28"/>
                <w:szCs w:val="28"/>
                <w:lang w:bidi="ar"/>
              </w:rPr>
              <w:t>有</w:t>
            </w:r>
            <w:r>
              <w:rPr>
                <w:rFonts w:ascii="宋体" w:hAnsi="宋体" w:eastAsia="方正仿宋_GBK" w:cs="方正仿宋_GBK"/>
                <w:color w:val="000000"/>
                <w:kern w:val="0"/>
                <w:sz w:val="28"/>
                <w:szCs w:val="28"/>
                <w:lang w:bidi="ar"/>
              </w:rPr>
              <w:t>1</w:t>
            </w:r>
            <w:r>
              <w:rPr>
                <w:rFonts w:hint="eastAsia" w:ascii="宋体" w:hAnsi="宋体" w:eastAsia="方正仿宋_GBK" w:cs="方正仿宋_GBK"/>
                <w:color w:val="000000"/>
                <w:kern w:val="0"/>
                <w:sz w:val="28"/>
                <w:szCs w:val="28"/>
                <w:lang w:bidi="ar"/>
              </w:rPr>
              <w:t>名需要照顾的完全丧失劳动能力的重残、重病人员家庭；婴幼儿（</w:t>
            </w:r>
            <w:r>
              <w:rPr>
                <w:rFonts w:ascii="宋体" w:hAnsi="宋体" w:eastAsia="方正仿宋_GBK" w:cs="方正仿宋_GBK"/>
                <w:color w:val="000000"/>
                <w:kern w:val="0"/>
                <w:sz w:val="28"/>
                <w:szCs w:val="28"/>
                <w:lang w:bidi="ar"/>
              </w:rPr>
              <w:t>7</w:t>
            </w:r>
            <w:r>
              <w:rPr>
                <w:rFonts w:hint="eastAsia" w:ascii="宋体" w:hAnsi="宋体" w:eastAsia="方正仿宋_GBK" w:cs="方正仿宋_GBK"/>
                <w:color w:val="000000"/>
                <w:kern w:val="0"/>
                <w:sz w:val="28"/>
                <w:szCs w:val="28"/>
                <w:lang w:bidi="ar"/>
              </w:rPr>
              <w:t>周岁以下）家庭</w:t>
            </w:r>
          </w:p>
        </w:tc>
        <w:tc>
          <w:tcPr>
            <w:tcW w:w="6174" w:type="dxa"/>
            <w:gridSpan w:val="4"/>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ascii="宋体" w:hAnsi="宋体" w:cs="方正仿宋_GBK"/>
                <w:color w:val="000000"/>
                <w:sz w:val="28"/>
                <w:szCs w:val="28"/>
              </w:rPr>
            </w:pPr>
            <w:r>
              <w:rPr>
                <w:rFonts w:hint="eastAsia" w:ascii="宋体" w:hAnsi="宋体" w:eastAsia="方正仿宋_GBK" w:cs="方正仿宋_GBK"/>
                <w:color w:val="000000"/>
                <w:kern w:val="0"/>
                <w:sz w:val="28"/>
                <w:szCs w:val="28"/>
                <w:lang w:bidi="ar"/>
              </w:rPr>
              <w:t>家庭劳动力系数扣减</w:t>
            </w:r>
            <w:r>
              <w:rPr>
                <w:rFonts w:ascii="宋体" w:hAnsi="宋体" w:eastAsia="方正仿宋_GBK" w:cs="方正仿宋_GBK"/>
                <w:color w:val="000000"/>
                <w:kern w:val="0"/>
                <w:sz w:val="28"/>
                <w:szCs w:val="28"/>
                <w:lang w:bidi="ar"/>
              </w:rPr>
              <w:t>0.4</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0" w:type="dxa"/>
            <w:bottom w:w="0" w:type="dxa"/>
            <w:right w:w="0" w:type="dxa"/>
          </w:tblCellMar>
        </w:tblPrEx>
        <w:trPr>
          <w:trHeight w:val="2120" w:hRule="atLeast"/>
        </w:trPr>
        <w:tc>
          <w:tcPr>
            <w:tcW w:w="2806" w:type="dxa"/>
            <w:noWrap w:val="0"/>
            <w:vAlign w:val="top"/>
          </w:tcPr>
          <w:p>
            <w:pPr>
              <w:keepNext w:val="0"/>
              <w:keepLines w:val="0"/>
              <w:pageBreakBefore w:val="0"/>
              <w:widowControl/>
              <w:kinsoku/>
              <w:wordWrap/>
              <w:overflowPunct/>
              <w:topLinePunct w:val="0"/>
              <w:autoSpaceDE/>
              <w:autoSpaceDN/>
              <w:bidi w:val="0"/>
              <w:adjustRightInd/>
              <w:snapToGrid/>
              <w:spacing w:line="600" w:lineRule="exact"/>
              <w:textAlignment w:val="center"/>
              <w:rPr>
                <w:rFonts w:ascii="宋体" w:hAnsi="宋体" w:cs="方正仿宋_GBK"/>
                <w:color w:val="000000"/>
                <w:sz w:val="28"/>
                <w:szCs w:val="28"/>
              </w:rPr>
            </w:pPr>
            <w:r>
              <w:rPr>
                <w:rFonts w:hint="eastAsia" w:ascii="宋体" w:hAnsi="宋体" w:eastAsia="方正仿宋_GBK" w:cs="方正仿宋_GBK"/>
                <w:color w:val="000000"/>
                <w:kern w:val="0"/>
                <w:sz w:val="28"/>
                <w:szCs w:val="28"/>
                <w:lang w:bidi="ar"/>
              </w:rPr>
              <w:t>有</w:t>
            </w:r>
            <w:r>
              <w:rPr>
                <w:rFonts w:ascii="宋体" w:hAnsi="宋体" w:eastAsia="方正仿宋_GBK" w:cs="方正仿宋_GBK"/>
                <w:color w:val="000000"/>
                <w:kern w:val="0"/>
                <w:sz w:val="28"/>
                <w:szCs w:val="28"/>
                <w:lang w:bidi="ar"/>
              </w:rPr>
              <w:t>2</w:t>
            </w:r>
            <w:r>
              <w:rPr>
                <w:rFonts w:hint="eastAsia" w:ascii="宋体" w:hAnsi="宋体" w:eastAsia="方正仿宋_GBK" w:cs="方正仿宋_GBK"/>
                <w:color w:val="000000"/>
                <w:kern w:val="0"/>
                <w:sz w:val="28"/>
                <w:szCs w:val="28"/>
                <w:lang w:bidi="ar"/>
              </w:rPr>
              <w:t>名以上（含</w:t>
            </w:r>
            <w:r>
              <w:rPr>
                <w:rFonts w:ascii="宋体" w:hAnsi="宋体" w:eastAsia="方正仿宋_GBK" w:cs="方正仿宋_GBK"/>
                <w:color w:val="000000"/>
                <w:kern w:val="0"/>
                <w:sz w:val="28"/>
                <w:szCs w:val="28"/>
                <w:lang w:bidi="ar"/>
              </w:rPr>
              <w:t>2</w:t>
            </w:r>
            <w:r>
              <w:rPr>
                <w:rFonts w:hint="eastAsia" w:ascii="宋体" w:hAnsi="宋体" w:eastAsia="方正仿宋_GBK" w:cs="方正仿宋_GBK"/>
                <w:color w:val="000000"/>
                <w:kern w:val="0"/>
                <w:sz w:val="28"/>
                <w:szCs w:val="28"/>
                <w:lang w:bidi="ar"/>
              </w:rPr>
              <w:t>名）需要照顾的完全丧失劳动能力的重残、重病人员家庭</w:t>
            </w:r>
          </w:p>
        </w:tc>
        <w:tc>
          <w:tcPr>
            <w:tcW w:w="6174" w:type="dxa"/>
            <w:gridSpan w:val="4"/>
            <w:noWrap w:val="0"/>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ascii="宋体" w:hAnsi="宋体" w:eastAsia="方正仿宋_GBK" w:cs="方正仿宋_GBK"/>
                <w:color w:val="000000"/>
                <w:sz w:val="28"/>
                <w:szCs w:val="28"/>
              </w:rPr>
            </w:pPr>
            <w:r>
              <w:rPr>
                <w:rFonts w:hint="eastAsia" w:ascii="宋体" w:hAnsi="宋体" w:eastAsia="方正仿宋_GBK" w:cs="方正仿宋_GBK"/>
                <w:color w:val="000000"/>
                <w:kern w:val="0"/>
                <w:sz w:val="28"/>
                <w:szCs w:val="28"/>
                <w:lang w:bidi="ar"/>
              </w:rPr>
              <w:t>家庭劳动力系数扣减</w:t>
            </w:r>
            <w:r>
              <w:rPr>
                <w:rFonts w:ascii="宋体" w:hAnsi="宋体" w:eastAsia="方正仿宋_GBK" w:cs="方正仿宋_GBK"/>
                <w:color w:val="000000"/>
                <w:kern w:val="0"/>
                <w:sz w:val="28"/>
                <w:szCs w:val="28"/>
                <w:lang w:bidi="ar"/>
              </w:rPr>
              <w:t>0.6</w:t>
            </w:r>
          </w:p>
        </w:tc>
      </w:tr>
    </w:tbl>
    <w:p>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pPr>
      <w:r>
        <w:rPr>
          <w:rFonts w:eastAsia="方正仿宋_GBK"/>
          <w:sz w:val="32"/>
          <w:szCs w:val="32"/>
        </w:rPr>
        <w:t>1</w:t>
      </w:r>
      <w:r>
        <w:rPr>
          <w:rFonts w:hint="eastAsia" w:eastAsia="方正仿宋_GBK"/>
          <w:sz w:val="32"/>
          <w:szCs w:val="32"/>
        </w:rPr>
        <w:t>．重病范围：凭二级以上医院或区疾病预防控制中心出具的检查报告中患有以下病种的人员：血友病、恶性肿瘤放（化）疗和镇痛治疗、肾功能衰竭透析治疗、严重多器官衰竭（心、肝、肺、脑、肾）、儿童先心病、艾滋病机会性感染、唇腭裂、白血病、儿童白血病、地中海贫血，肾脏、肝脏、心脏瓣膜或造血干细胞移植术后的抗排异治疗。</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方正仿宋_GBK"/>
        </w:rPr>
      </w:pPr>
      <w:r>
        <w:rPr>
          <w:rFonts w:hint="eastAsia" w:ascii="宋体" w:hAnsi="宋体" w:eastAsia="方正仿宋_GBK"/>
        </w:rPr>
        <w:t xml:space="preserve">2．慢性病范围：凭重庆市人力资源和社会保障局制发的《重庆市基本医疗保险特殊疾病门诊医疗证》、区城乡合作医疗保险所办理的《重庆市医疗保险特殊疾病资格证》和区疾病预防控制中心出具的证明中患有以下病种的人员：心肌梗塞、脑中风、风湿性心斑膜病、肝硬化（失代偿期）、再生障碍性贫血、脑血管意外后遗症、系统性红斑狼疮、结核病、精神分裂症、偏执型精神障碍、躁狂抑郁症、高血压（伴有心、脑、肾、眼等并发症之一）、糖尿病、冠心病、慢性支气管炎伴阻塞性肺气肿、慢性肺源性心脏病、甲亢、类风湿性关节炎。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kern w:val="0"/>
          <w:szCs w:val="32"/>
          <w:shd w:val="clear" w:color="auto" w:fill="FFFFFF"/>
          <w:lang w:bidi="ar"/>
        </w:rPr>
      </w:pPr>
      <w:r>
        <w:rPr>
          <w:rFonts w:hint="eastAsia" w:ascii="宋体" w:hAnsi="宋体" w:eastAsia="方正仿宋_GBK" w:cs="方正仿宋_GBK"/>
          <w:color w:val="000000"/>
          <w:szCs w:val="32"/>
        </w:rPr>
        <w:t>劳动力系数扣减后出现负数时，按</w:t>
      </w:r>
      <w:r>
        <w:rPr>
          <w:rFonts w:ascii="宋体" w:hAnsi="宋体" w:eastAsia="方正仿宋_GBK" w:cs="方正仿宋_GBK"/>
          <w:color w:val="000000"/>
          <w:szCs w:val="32"/>
        </w:rPr>
        <w:t>0</w:t>
      </w:r>
      <w:r>
        <w:rPr>
          <w:rFonts w:hint="eastAsia" w:ascii="宋体" w:hAnsi="宋体" w:eastAsia="方正仿宋_GBK" w:cs="方正仿宋_GBK"/>
          <w:color w:val="000000"/>
          <w:szCs w:val="32"/>
        </w:rPr>
        <w:t>系数计算。</w:t>
      </w:r>
      <w:r>
        <w:rPr>
          <w:rFonts w:ascii="宋体" w:hAnsi="宋体" w:eastAsia="方正仿宋_GBK" w:cs="方正仿宋_GBK"/>
          <w:color w:val="000000"/>
          <w:szCs w:val="32"/>
        </w:rPr>
        <w:t xml:space="preserve">  </w:t>
      </w:r>
      <w:r>
        <w:rPr>
          <w:rFonts w:hint="eastAsia" w:ascii="宋体" w:hAnsi="宋体" w:eastAsia="方正仿宋_GBK" w:cs="方正仿宋_GBK"/>
          <w:color w:val="000000"/>
          <w:szCs w:val="32"/>
        </w:rPr>
        <w:t>计算公式：农业生产收入＝核算基数×劳动系数</w:t>
      </w:r>
      <w:r>
        <w:rPr>
          <w:rFonts w:ascii="宋体" w:hAnsi="宋体" w:eastAsia="方正仿宋_GBK" w:cs="方正仿宋_GBK"/>
          <w:color w:val="000000"/>
          <w:szCs w:val="32"/>
        </w:rPr>
        <w:t xml:space="preserve"> </w:t>
      </w:r>
      <w:r>
        <w:rPr>
          <w:rFonts w:hint="eastAsia" w:ascii="宋体" w:hAnsi="宋体" w:eastAsia="方正仿宋_GBK" w:cs="方正仿宋_GBK"/>
          <w:color w:val="000000"/>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三）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财产租赁、转让或变卖收入按租赁、转让或变卖协议（合同、票据）计算；不能提供租赁、转让或变卖协议（合同、票据）或租赁、转让、变卖协议（合同、票据）价格明显偏低的，按当地同类财产的市场租赁、转让或变卖价格计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储蓄存款利息、有价证券红利、投资股息红利、集体财产收入分红等按实际收入计算。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土地、林地承包经营权流转收入按有关规定据实计算。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四）转移性收入。指国家、单位、社会团体对居民家庭的各种转移支付和居民家庭间的收入转移。包括赡养费、扶养费、抚养费，养老金（基础养老金除外）、失业保险金，一次性安置费、经济补偿金、生活补助费，遗属补助金、商业保险金、赔偿收入，接受遗产收入、接受捐赠（赠予）收入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赡养、抚养、扶养费，有调解书、判决书或者协议书的，按文书确定的金额认定；无文书确定的，每位被赡养、抚养、扶养人的赡养、抚养、扶养费收入按义务人家庭月人均收入减去最低生活保障标准后余额的</w:t>
      </w:r>
      <w:r>
        <w:rPr>
          <w:rFonts w:ascii="宋体" w:hAnsi="宋体" w:eastAsia="方正仿宋_GBK"/>
          <w:color w:val="000000"/>
          <w:kern w:val="0"/>
          <w:szCs w:val="32"/>
          <w:shd w:val="clear" w:color="auto" w:fill="FFFFFF"/>
          <w:lang w:bidi="ar"/>
        </w:rPr>
        <w:t>20%</w:t>
      </w:r>
      <w:r>
        <w:rPr>
          <w:rFonts w:hint="eastAsia" w:ascii="宋体" w:hAnsi="宋体" w:eastAsia="方正仿宋_GBK"/>
          <w:color w:val="000000"/>
          <w:kern w:val="0"/>
          <w:szCs w:val="32"/>
          <w:shd w:val="clear" w:color="auto" w:fill="FFFFFF"/>
          <w:lang w:bidi="ar"/>
        </w:rPr>
        <w:t>计算。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法定赡养、抚养、扶养义务人有下列情形的，视为暂无赡养、抚养、扶养能力，不计算赡养、抚养、扶养费：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ascii="宋体" w:hAnsi="宋体" w:eastAsia="方正仿宋_GBK"/>
          <w:color w:val="000000"/>
          <w:kern w:val="0"/>
          <w:szCs w:val="32"/>
          <w:shd w:val="clear" w:color="auto" w:fill="FFFFFF"/>
          <w:lang w:bidi="ar"/>
        </w:rPr>
        <w:t>1</w:t>
      </w:r>
      <w:r>
        <w:rPr>
          <w:rFonts w:hint="eastAsia" w:ascii="宋体" w:hAnsi="宋体" w:eastAsia="方正仿宋_GBK"/>
          <w:color w:val="000000"/>
          <w:kern w:val="0"/>
          <w:szCs w:val="32"/>
          <w:shd w:val="clear" w:color="auto" w:fill="FFFFFF"/>
          <w:lang w:bidi="ar"/>
        </w:rPr>
        <w:t>．属特困供养人员；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ascii="宋体" w:hAnsi="宋体" w:eastAsia="方正仿宋_GBK"/>
          <w:color w:val="000000"/>
          <w:kern w:val="0"/>
          <w:szCs w:val="32"/>
          <w:shd w:val="clear" w:color="auto" w:fill="FFFFFF"/>
          <w:lang w:bidi="ar"/>
        </w:rPr>
        <w:t>2</w:t>
      </w:r>
      <w:r>
        <w:rPr>
          <w:rFonts w:hint="eastAsia" w:ascii="宋体" w:hAnsi="宋体" w:eastAsia="方正仿宋_GBK"/>
          <w:color w:val="000000"/>
          <w:kern w:val="0"/>
          <w:szCs w:val="32"/>
          <w:shd w:val="clear" w:color="auto" w:fill="FFFFFF"/>
          <w:lang w:bidi="ar"/>
        </w:rPr>
        <w:t>．家庭中有重特大疾病患者、重度残疾人，造成家庭支出过大，实际生活困难的。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家庭实际支付且能提供有效支付证明的重大疾病支出和因灾支出等必要开支费用。因城建、危旧房改造、拆迁、土地征用等领取的一次性相关补偿费，应当扣除自住房屋购建重置费用。扣除后的结余部分按当地最低生活保障标准逐月分摊计算，计完为止。</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（五）其他应当计入家庭收入的项目。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方正黑体_GBK" w:hAnsi="方正黑体_GBK" w:eastAsia="方正黑体_GBK" w:cs="方正黑体_GBK"/>
          <w:color w:val="000000"/>
          <w:kern w:val="0"/>
          <w:szCs w:val="32"/>
          <w:shd w:val="clear" w:color="auto" w:fill="FFFFFF"/>
          <w:lang w:bidi="ar"/>
        </w:rPr>
        <w:t>第十条</w:t>
      </w:r>
      <w:r>
        <w:rPr>
          <w:rFonts w:hint="eastAsia" w:ascii="宋体" w:hAnsi="宋体" w:eastAsia="方正楷体_GBK" w:cs="方正黑体_GBK"/>
          <w:color w:val="000000"/>
          <w:kern w:val="0"/>
          <w:szCs w:val="32"/>
          <w:shd w:val="clear" w:color="auto" w:fill="FFFFFF"/>
          <w:lang w:bidi="ar"/>
        </w:rPr>
        <w:t xml:space="preserve">  </w:t>
      </w:r>
      <w:r>
        <w:rPr>
          <w:rFonts w:hint="eastAsia" w:ascii="宋体" w:hAnsi="宋体" w:eastAsia="方正仿宋_GBK"/>
          <w:color w:val="000000"/>
          <w:kern w:val="0"/>
          <w:szCs w:val="32"/>
          <w:shd w:val="clear" w:color="auto" w:fill="FFFFFF"/>
          <w:lang w:bidi="ar"/>
        </w:rPr>
        <w:t>不应当计入家庭收入的项目包括：</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（一）优抚对象领取的各类抚恤金、补助费、护理费，义务兵家庭优待金，退役士兵一次性经济补助金，老党员定期补助，高龄老人长寿补助，精简退职职工定期定量救济金。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（二）因公（工）负伤人员的工伤医疗费、护理费、一次性伤残补助金、残疾辅助器具费、因公（工）死亡人员的丧葬费及死亡后的一次性抚恤费。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（三）在校学生获得的奖学金、助学金、生活补助、困难补助、求职补助。</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（四）政府及有关单位发给的劳动模范荣誉津贴、见义勇为奖金、独生子女费、计划生育政策奖励扶助金。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五）基本医疗保险报销费用，基础养老金，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（六）因重大疾病、重大灾害出卖唯一住房的销售款。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（七）其他不应当计入家庭收入的项目。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hint="eastAsia" w:ascii="宋体" w:hAnsi="宋体" w:eastAsia="方正黑体_GBK"/>
          <w:color w:val="000000"/>
          <w:szCs w:val="32"/>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jc w:val="center"/>
        <w:rPr>
          <w:rFonts w:hint="eastAsia" w:ascii="宋体" w:hAnsi="宋体" w:eastAsia="方正仿宋_GBK"/>
          <w:color w:val="000000"/>
          <w:szCs w:val="32"/>
        </w:rPr>
      </w:pPr>
      <w:r>
        <w:rPr>
          <w:rFonts w:hint="eastAsia" w:ascii="宋体" w:hAnsi="宋体" w:eastAsia="方正黑体_GBK" w:cs="方正楷体_GBK"/>
          <w:color w:val="000000"/>
          <w:kern w:val="0"/>
          <w:szCs w:val="32"/>
          <w:shd w:val="clear" w:color="auto" w:fill="FFFFFF"/>
          <w:lang w:bidi="ar"/>
        </w:rPr>
        <w:t>　家庭财产</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hint="eastAsia" w:ascii="宋体" w:hAnsi="宋体" w:eastAsia="方正楷体_GBK" w:cs="方正黑体_GBK"/>
          <w:color w:val="000000"/>
          <w:kern w:val="0"/>
          <w:szCs w:val="32"/>
          <w:shd w:val="clear" w:color="auto" w:fill="FFFFFF"/>
          <w:lang w:bidi="ar"/>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方正仿宋_GBK"/>
        </w:rPr>
      </w:pPr>
      <w:r>
        <w:rPr>
          <w:rFonts w:hint="eastAsia" w:ascii="方正黑体_GBK" w:hAnsi="方正黑体_GBK" w:eastAsia="方正黑体_GBK" w:cs="方正黑体_GBK"/>
        </w:rPr>
        <w:t>第十一条</w:t>
      </w:r>
      <w:r>
        <w:rPr>
          <w:rFonts w:hint="eastAsia" w:ascii="宋体" w:hAnsi="宋体" w:eastAsia="方正仿宋_GBK"/>
        </w:rPr>
        <w:t>　家庭财产是指共同生活的家庭成员拥有的银行存款、储蓄性保险、有价证券、机动车辆、船舶、工程机械、房屋等全部动产和不动产。</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方正黑体_GBK" w:hAnsi="方正黑体_GBK" w:eastAsia="方正黑体_GBK" w:cs="方正黑体_GBK"/>
          <w:color w:val="000000"/>
          <w:kern w:val="0"/>
          <w:szCs w:val="32"/>
          <w:shd w:val="clear" w:color="auto" w:fill="FFFFFF"/>
          <w:lang w:bidi="ar"/>
        </w:rPr>
        <w:t>第十二条</w:t>
      </w:r>
      <w:r>
        <w:rPr>
          <w:rFonts w:hint="eastAsia" w:ascii="宋体" w:hAnsi="宋体" w:eastAsia="方正楷体_GBK" w:cs="方正黑体_GBK"/>
          <w:color w:val="000000"/>
          <w:kern w:val="0"/>
          <w:szCs w:val="32"/>
          <w:shd w:val="clear" w:color="auto" w:fill="FFFFFF"/>
          <w:lang w:bidi="ar"/>
        </w:rPr>
        <w:t xml:space="preserve">  </w:t>
      </w:r>
      <w:r>
        <w:rPr>
          <w:rFonts w:hint="eastAsia" w:ascii="宋体" w:hAnsi="宋体" w:eastAsia="方正仿宋_GBK"/>
          <w:color w:val="000000"/>
          <w:kern w:val="0"/>
          <w:szCs w:val="32"/>
          <w:shd w:val="clear" w:color="auto" w:fill="FFFFFF"/>
          <w:lang w:bidi="ar"/>
        </w:rPr>
        <w:t>家庭财产状况有下列情形之一的，不能获得最低生活保障：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（一）银行存款、有价证券、债券、储蓄性保险的总值超过共同生活的家庭成员人数乘以当地最低生活保障标准的</w:t>
      </w:r>
      <w:r>
        <w:rPr>
          <w:rFonts w:ascii="宋体" w:hAnsi="宋体" w:eastAsia="方正仿宋_GBK"/>
          <w:color w:val="000000"/>
          <w:kern w:val="0"/>
          <w:szCs w:val="32"/>
          <w:shd w:val="clear" w:color="auto" w:fill="FFFFFF"/>
          <w:lang w:bidi="ar"/>
        </w:rPr>
        <w:t>12</w:t>
      </w:r>
      <w:r>
        <w:rPr>
          <w:rFonts w:hint="eastAsia" w:ascii="宋体" w:hAnsi="宋体" w:eastAsia="方正仿宋_GBK"/>
          <w:color w:val="000000"/>
          <w:kern w:val="0"/>
          <w:szCs w:val="32"/>
          <w:shd w:val="clear" w:color="auto" w:fill="FFFFFF"/>
          <w:lang w:bidi="ar"/>
        </w:rPr>
        <w:t>倍。</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银行存款、有价证券、债券、储蓄性保险以核查当日的市值和资金账户余额认定。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（二）拥有</w:t>
      </w:r>
      <w:r>
        <w:rPr>
          <w:rFonts w:ascii="宋体" w:hAnsi="宋体" w:eastAsia="方正仿宋_GBK"/>
          <w:color w:val="000000"/>
          <w:kern w:val="0"/>
          <w:szCs w:val="32"/>
          <w:shd w:val="clear" w:color="auto" w:fill="FFFFFF"/>
          <w:lang w:bidi="ar"/>
        </w:rPr>
        <w:t>2</w:t>
      </w:r>
      <w:r>
        <w:rPr>
          <w:rFonts w:hint="eastAsia" w:ascii="宋体" w:hAnsi="宋体" w:eastAsia="方正仿宋_GBK"/>
          <w:color w:val="000000"/>
          <w:kern w:val="0"/>
          <w:szCs w:val="32"/>
          <w:shd w:val="clear" w:color="auto" w:fill="FFFFFF"/>
          <w:lang w:bidi="ar"/>
        </w:rPr>
        <w:t>套及以上住房（不含</w:t>
      </w:r>
      <w:r>
        <w:rPr>
          <w:rFonts w:ascii="宋体" w:hAnsi="宋体" w:eastAsia="方正仿宋_GBK"/>
          <w:color w:val="000000"/>
          <w:kern w:val="0"/>
          <w:szCs w:val="32"/>
          <w:shd w:val="clear" w:color="auto" w:fill="FFFFFF"/>
          <w:lang w:bidi="ar"/>
        </w:rPr>
        <w:t>C</w:t>
      </w:r>
      <w:r>
        <w:rPr>
          <w:rFonts w:hint="eastAsia" w:ascii="宋体" w:hAnsi="宋体" w:eastAsia="方正仿宋_GBK"/>
          <w:color w:val="000000"/>
          <w:kern w:val="0"/>
          <w:szCs w:val="32"/>
          <w:shd w:val="clear" w:color="auto" w:fill="FFFFFF"/>
          <w:lang w:bidi="ar"/>
        </w:rPr>
        <w:t>、</w:t>
      </w:r>
      <w:r>
        <w:rPr>
          <w:rFonts w:ascii="宋体" w:hAnsi="宋体" w:eastAsia="方正仿宋_GBK"/>
          <w:color w:val="000000"/>
          <w:kern w:val="0"/>
          <w:szCs w:val="32"/>
          <w:shd w:val="clear" w:color="auto" w:fill="FFFFFF"/>
          <w:lang w:bidi="ar"/>
        </w:rPr>
        <w:t>D</w:t>
      </w:r>
      <w:r>
        <w:rPr>
          <w:rFonts w:hint="eastAsia" w:ascii="宋体" w:hAnsi="宋体" w:eastAsia="方正仿宋_GBK"/>
          <w:color w:val="000000"/>
          <w:kern w:val="0"/>
          <w:szCs w:val="32"/>
          <w:shd w:val="clear" w:color="auto" w:fill="FFFFFF"/>
          <w:lang w:bidi="ar"/>
        </w:rPr>
        <w:t>级危房），且人均拥有建筑面积超过最低住房保障标准的</w:t>
      </w:r>
      <w:r>
        <w:rPr>
          <w:rFonts w:ascii="宋体" w:hAnsi="宋体" w:eastAsia="方正仿宋_GBK"/>
          <w:color w:val="000000"/>
          <w:kern w:val="0"/>
          <w:szCs w:val="32"/>
          <w:shd w:val="clear" w:color="auto" w:fill="FFFFFF"/>
          <w:lang w:bidi="ar"/>
        </w:rPr>
        <w:t>3</w:t>
      </w:r>
      <w:r>
        <w:rPr>
          <w:rFonts w:hint="eastAsia" w:ascii="宋体" w:hAnsi="宋体" w:eastAsia="方正仿宋_GBK"/>
          <w:color w:val="000000"/>
          <w:kern w:val="0"/>
          <w:szCs w:val="32"/>
          <w:shd w:val="clear" w:color="auto" w:fill="FFFFFF"/>
          <w:lang w:bidi="ar"/>
        </w:rPr>
        <w:t>倍。</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（三）拥有出租或自营的商业门面、店铺。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（四）拥有机动车辆（享受燃油补贴的残疾人机动轮椅车、普通两轮摩托车除外）、船舶、工程机械以及大型农机具。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（五）</w:t>
      </w:r>
      <w:r>
        <w:rPr>
          <w:rFonts w:hint="eastAsia" w:ascii="宋体" w:hAnsi="宋体" w:eastAsia="方正仿宋_GBK" w:cs="方正仿宋_GBK"/>
          <w:color w:val="000000"/>
          <w:szCs w:val="32"/>
          <w:shd w:val="clear" w:color="auto" w:fill="FFFFFF"/>
        </w:rPr>
        <w:t>其他明显超出最低生活保障的财产。</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hint="eastAsia" w:ascii="宋体" w:hAnsi="宋体" w:eastAsia="方正仿宋_GBK"/>
          <w:color w:val="000000"/>
          <w:kern w:val="0"/>
          <w:szCs w:val="32"/>
          <w:shd w:val="clear" w:color="auto" w:fill="FFFFFF"/>
          <w:lang w:bidi="ar"/>
        </w:rPr>
      </w:pPr>
      <w:r>
        <w:rPr>
          <w:rFonts w:hint="eastAsia" w:ascii="方正黑体_GBK" w:hAnsi="方正黑体_GBK" w:eastAsia="方正黑体_GBK" w:cs="方正黑体_GBK"/>
          <w:color w:val="000000"/>
          <w:kern w:val="0"/>
          <w:szCs w:val="32"/>
          <w:shd w:val="clear" w:color="auto" w:fill="FFFFFF"/>
          <w:lang w:bidi="ar"/>
        </w:rPr>
        <w:t>第十三条</w:t>
      </w:r>
      <w:r>
        <w:rPr>
          <w:rFonts w:hint="eastAsia" w:ascii="宋体" w:hAnsi="宋体" w:eastAsia="方正楷体_GBK" w:cs="方正黑体_GBK"/>
          <w:color w:val="000000"/>
          <w:kern w:val="0"/>
          <w:szCs w:val="32"/>
          <w:shd w:val="clear" w:color="auto" w:fill="FFFFFF"/>
          <w:lang w:bidi="ar"/>
        </w:rPr>
        <w:t>　</w:t>
      </w:r>
      <w:r>
        <w:rPr>
          <w:rFonts w:hint="eastAsia" w:ascii="宋体" w:hAnsi="宋体" w:eastAsia="方正仿宋_GBK"/>
          <w:color w:val="000000"/>
          <w:kern w:val="0"/>
          <w:szCs w:val="32"/>
          <w:shd w:val="clear" w:color="auto" w:fill="FFFFFF"/>
          <w:lang w:bidi="ar"/>
        </w:rPr>
        <w:t>家庭财产采取实名认定，根据有关部门和管理单位的登记信息和实际拥有情况确认。</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hint="eastAsia" w:ascii="宋体" w:hAnsi="宋体" w:eastAsia="方正仿宋_GBK"/>
          <w:color w:val="000000"/>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rPr>
          <w:rFonts w:hint="eastAsia" w:ascii="宋体" w:hAnsi="宋体" w:eastAsia="方正黑体_GBK" w:cs="方正楷体_GBK"/>
          <w:color w:val="000000"/>
          <w:kern w:val="0"/>
          <w:szCs w:val="32"/>
          <w:shd w:val="clear" w:color="auto" w:fill="FFFFFF"/>
          <w:lang w:bidi="ar"/>
        </w:rPr>
      </w:pPr>
      <w:r>
        <w:rPr>
          <w:rFonts w:hint="eastAsia" w:ascii="宋体" w:hAnsi="宋体" w:eastAsia="方正黑体_GBK" w:cs="方正楷体_GBK"/>
          <w:color w:val="000000"/>
          <w:kern w:val="0"/>
          <w:szCs w:val="32"/>
          <w:shd w:val="clear" w:color="auto" w:fill="FFFFFF"/>
          <w:lang w:bidi="ar"/>
        </w:rPr>
        <w:t>第五章　家庭消费支出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rPr>
          <w:rFonts w:hint="eastAsia" w:ascii="宋体" w:hAnsi="宋体" w:eastAsia="方正黑体_GBK"/>
          <w:color w:val="000000"/>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ascii="宋体" w:hAnsi="宋体" w:eastAsia="方正仿宋_GBK"/>
          <w:color w:val="000000"/>
          <w:kern w:val="0"/>
          <w:szCs w:val="32"/>
          <w:shd w:val="clear" w:color="auto" w:fill="FFFFFF"/>
          <w:lang w:bidi="ar"/>
        </w:rPr>
      </w:pPr>
      <w:r>
        <w:rPr>
          <w:rFonts w:hint="eastAsia" w:ascii="方正黑体_GBK" w:hAnsi="方正黑体_GBK" w:eastAsia="方正黑体_GBK" w:cs="方正黑体_GBK"/>
          <w:color w:val="000000"/>
          <w:kern w:val="0"/>
          <w:szCs w:val="32"/>
          <w:shd w:val="clear" w:color="auto" w:fill="FFFFFF"/>
          <w:lang w:bidi="ar"/>
        </w:rPr>
        <w:t>第十四条</w:t>
      </w:r>
      <w:r>
        <w:rPr>
          <w:rFonts w:hint="eastAsia" w:ascii="宋体" w:hAnsi="宋体" w:eastAsia="方正楷体_GBK"/>
          <w:color w:val="000000"/>
          <w:kern w:val="0"/>
          <w:szCs w:val="32"/>
          <w:shd w:val="clear" w:color="auto" w:fill="FFFFFF"/>
          <w:lang w:bidi="ar"/>
        </w:rPr>
        <w:t xml:space="preserve"> </w:t>
      </w:r>
      <w:r>
        <w:rPr>
          <w:rFonts w:hint="eastAsia" w:ascii="宋体" w:hAnsi="宋体" w:eastAsia="方正仿宋_GBK"/>
          <w:color w:val="000000"/>
          <w:kern w:val="0"/>
          <w:szCs w:val="32"/>
          <w:shd w:val="clear" w:color="auto" w:fill="FFFFFF"/>
          <w:lang w:bidi="ar"/>
        </w:rPr>
        <w:t xml:space="preserve"> 家庭消费支出是指共同生活的家庭成员在一定时期内的消费支出情况和实际生活状况。家庭消费支出根据调查核实情况认定。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方正黑体_GBK" w:hAnsi="方正黑体_GBK" w:eastAsia="方正黑体_GBK" w:cs="方正黑体_GBK"/>
          <w:color w:val="000000"/>
          <w:kern w:val="0"/>
          <w:szCs w:val="32"/>
          <w:shd w:val="clear" w:color="auto" w:fill="FFFFFF"/>
          <w:lang w:bidi="ar"/>
        </w:rPr>
        <w:t>第十五条</w:t>
      </w:r>
      <w:r>
        <w:rPr>
          <w:rFonts w:hint="eastAsia" w:ascii="宋体" w:hAnsi="宋体" w:eastAsia="方正楷体_GBK" w:cs="方正黑体_GBK"/>
          <w:color w:val="000000"/>
          <w:kern w:val="0"/>
          <w:szCs w:val="32"/>
          <w:shd w:val="clear" w:color="auto" w:fill="FFFFFF"/>
          <w:lang w:bidi="ar"/>
        </w:rPr>
        <w:t>　</w:t>
      </w:r>
      <w:r>
        <w:rPr>
          <w:rFonts w:hint="eastAsia" w:ascii="宋体" w:hAnsi="宋体" w:eastAsia="方正仿宋_GBK"/>
          <w:color w:val="000000"/>
          <w:kern w:val="0"/>
          <w:szCs w:val="32"/>
          <w:shd w:val="clear" w:color="auto" w:fill="FFFFFF"/>
          <w:lang w:bidi="ar"/>
        </w:rPr>
        <w:t>家庭消费支出有下列情形之一的，视为生活水平明显高于当地最低生活保障标准，不能获得最低生活保障：</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宋体" w:hAnsi="宋体" w:eastAsia="方正仿宋_GBK"/>
        </w:rPr>
      </w:pPr>
      <w:r>
        <w:rPr>
          <w:rFonts w:hint="eastAsia" w:ascii="宋体" w:hAnsi="宋体" w:eastAsia="方正仿宋_GBK"/>
        </w:rPr>
        <w:t>（一）3年内修建自有住房、按揭或全款购买商品房（不含因灾重建、排危、国家基础设施建设拆迁房屋）或高标准装修现有住房（家庭发生重大变故，造成家庭基本生活困难的除外）。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u w:val="double"/>
        </w:rPr>
      </w:pPr>
      <w:r>
        <w:rPr>
          <w:rFonts w:hint="eastAsia" w:ascii="宋体" w:hAnsi="宋体" w:eastAsia="方正仿宋_GBK"/>
          <w:color w:val="000000"/>
          <w:kern w:val="0"/>
          <w:szCs w:val="32"/>
          <w:shd w:val="clear" w:color="auto" w:fill="FFFFFF"/>
          <w:lang w:bidi="ar"/>
        </w:rPr>
        <w:t>（二）</w:t>
      </w:r>
      <w:r>
        <w:rPr>
          <w:rFonts w:hint="eastAsia" w:ascii="宋体" w:hAnsi="宋体" w:eastAsia="方正仿宋_GBK" w:cs="方正仿宋_GBK"/>
          <w:color w:val="000000"/>
          <w:szCs w:val="32"/>
          <w:shd w:val="clear" w:color="auto" w:fill="FFFFFF"/>
        </w:rPr>
        <w:t>家庭月人均水电燃料费、通讯费和物业管理服务费分别不得超过月最低生活保障标准的</w:t>
      </w:r>
      <w:r>
        <w:rPr>
          <w:rFonts w:ascii="宋体" w:hAnsi="宋体" w:eastAsia="方正仿宋_GBK" w:cs="方正仿宋_GBK"/>
          <w:color w:val="000000"/>
          <w:szCs w:val="32"/>
          <w:shd w:val="clear" w:color="auto" w:fill="FFFFFF"/>
        </w:rPr>
        <w:t>20%</w:t>
      </w:r>
      <w:r>
        <w:rPr>
          <w:rFonts w:hint="eastAsia" w:ascii="宋体" w:hAnsi="宋体" w:eastAsia="方正仿宋_GBK" w:cs="方正仿宋_GBK"/>
          <w:color w:val="000000"/>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（三）共同生活的家庭成员有自费出国留学、义务教育阶段缴纳超过低保标准</w:t>
      </w:r>
      <w:r>
        <w:rPr>
          <w:rFonts w:ascii="宋体" w:hAnsi="宋体" w:eastAsia="方正仿宋_GBK"/>
          <w:color w:val="000000"/>
          <w:kern w:val="0"/>
          <w:szCs w:val="32"/>
          <w:shd w:val="clear" w:color="auto" w:fill="FFFFFF"/>
          <w:lang w:bidi="ar"/>
        </w:rPr>
        <w:t>12</w:t>
      </w:r>
      <w:r>
        <w:rPr>
          <w:rFonts w:hint="eastAsia" w:ascii="宋体" w:hAnsi="宋体" w:eastAsia="方正仿宋_GBK"/>
          <w:color w:val="000000"/>
          <w:kern w:val="0"/>
          <w:szCs w:val="32"/>
          <w:shd w:val="clear" w:color="auto" w:fill="FFFFFF"/>
          <w:lang w:bidi="ar"/>
        </w:rPr>
        <w:t>倍（含）以上学费（每人每年）在民办学校读书的。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宋体" w:hAnsi="宋体" w:eastAsia="方正仿宋_GBK"/>
          <w:color w:val="000000"/>
          <w:kern w:val="0"/>
          <w:szCs w:val="32"/>
          <w:shd w:val="clear" w:color="auto" w:fill="FFFFFF"/>
          <w:lang w:bidi="ar"/>
        </w:rPr>
        <w:t>（四）购买商业保险，每人每年缴纳保险费用在低保标准</w:t>
      </w:r>
      <w:r>
        <w:rPr>
          <w:rFonts w:ascii="宋体" w:hAnsi="宋体" w:eastAsia="方正仿宋_GBK"/>
          <w:color w:val="000000"/>
          <w:kern w:val="0"/>
          <w:szCs w:val="32"/>
          <w:shd w:val="clear" w:color="auto" w:fill="FFFFFF"/>
          <w:lang w:bidi="ar"/>
        </w:rPr>
        <w:t>12</w:t>
      </w:r>
      <w:r>
        <w:rPr>
          <w:rFonts w:hint="eastAsia" w:ascii="宋体" w:hAnsi="宋体" w:eastAsia="方正仿宋_GBK"/>
          <w:color w:val="000000"/>
          <w:kern w:val="0"/>
          <w:szCs w:val="32"/>
          <w:shd w:val="clear" w:color="auto" w:fill="FFFFFF"/>
          <w:lang w:bidi="ar"/>
        </w:rPr>
        <w:t>倍（含）以上的。</w:t>
      </w:r>
    </w:p>
    <w:p>
      <w:pPr>
        <w:keepNext w:val="0"/>
        <w:keepLines w:val="0"/>
        <w:pageBreakBefore w:val="0"/>
        <w:kinsoku/>
        <w:wordWrap/>
        <w:overflowPunct/>
        <w:topLinePunct w:val="0"/>
        <w:autoSpaceDE/>
        <w:autoSpaceDN/>
        <w:bidi w:val="0"/>
        <w:adjustRightInd/>
        <w:snapToGrid/>
        <w:spacing w:line="600" w:lineRule="exact"/>
        <w:ind w:firstLine="632"/>
        <w:rPr>
          <w:rFonts w:ascii="宋体" w:hAnsi="宋体" w:eastAsia="方正仿宋_GBK"/>
          <w:color w:val="000000"/>
          <w:szCs w:val="32"/>
          <w:u w:val="double"/>
        </w:rPr>
      </w:pPr>
      <w:r>
        <w:rPr>
          <w:rFonts w:hint="eastAsia" w:ascii="宋体" w:hAnsi="宋体" w:eastAsia="方正仿宋_GBK"/>
          <w:color w:val="000000"/>
          <w:kern w:val="0"/>
          <w:szCs w:val="32"/>
          <w:shd w:val="clear" w:color="auto" w:fill="FFFFFF"/>
          <w:lang w:bidi="ar"/>
        </w:rPr>
        <w:t>（五）</w:t>
      </w:r>
      <w:r>
        <w:rPr>
          <w:rFonts w:hint="eastAsia" w:ascii="宋体" w:hAnsi="宋体" w:eastAsia="方正仿宋_GBK" w:cs="方正仿宋_GBK"/>
          <w:color w:val="000000"/>
          <w:szCs w:val="32"/>
          <w:shd w:val="clear" w:color="auto" w:fill="FFFFFF"/>
        </w:rPr>
        <w:t>其它明显高于我区城乡居民最低生活保障标准消费支出的。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ascii="宋体" w:hAnsi="宋体" w:eastAsia="方正仿宋_GBK"/>
          <w:color w:val="000000"/>
          <w:szCs w:val="32"/>
        </w:rPr>
      </w:pPr>
      <w:r>
        <w:rPr>
          <w:rFonts w:hint="eastAsia" w:ascii="方正黑体_GBK" w:hAnsi="方正黑体_GBK" w:eastAsia="方正黑体_GBK" w:cs="方正黑体_GBK"/>
          <w:color w:val="000000"/>
          <w:kern w:val="0"/>
          <w:szCs w:val="32"/>
          <w:shd w:val="clear" w:color="auto" w:fill="FFFFFF"/>
          <w:lang w:bidi="ar"/>
        </w:rPr>
        <w:t>第十六条</w:t>
      </w:r>
      <w:r>
        <w:rPr>
          <w:rFonts w:hint="eastAsia" w:ascii="宋体" w:hAnsi="宋体" w:eastAsia="方正楷体_GBK" w:cs="方正黑体_GBK"/>
          <w:color w:val="000000"/>
          <w:kern w:val="0"/>
          <w:szCs w:val="32"/>
          <w:shd w:val="clear" w:color="auto" w:fill="FFFFFF"/>
          <w:lang w:bidi="ar"/>
        </w:rPr>
        <w:t xml:space="preserve">  </w:t>
      </w:r>
      <w:r>
        <w:rPr>
          <w:rFonts w:hint="eastAsia" w:ascii="宋体" w:hAnsi="宋体" w:eastAsia="方正仿宋_GBK" w:cs="方正黑体_GBK"/>
          <w:color w:val="000000"/>
          <w:kern w:val="0"/>
          <w:szCs w:val="32"/>
          <w:shd w:val="clear" w:color="auto" w:fill="FFFFFF"/>
          <w:lang w:bidi="ar"/>
        </w:rPr>
        <w:t>申</w:t>
      </w:r>
      <w:r>
        <w:rPr>
          <w:rFonts w:hint="eastAsia" w:ascii="宋体" w:hAnsi="宋体" w:eastAsia="方正仿宋_GBK"/>
          <w:color w:val="000000"/>
          <w:kern w:val="0"/>
          <w:szCs w:val="32"/>
          <w:shd w:val="clear" w:color="auto" w:fill="FFFFFF"/>
          <w:lang w:bidi="ar"/>
        </w:rPr>
        <w:t>请最低生活保障的家庭，其贫困状况以家庭收入、财产作为主要指标，并适当考虑家庭成员因重度残疾、患重大疾病等增加的长期刚性支出因素综合评估。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rPr>
          <w:rFonts w:hint="eastAsia" w:ascii="宋体" w:hAnsi="宋体" w:eastAsia="方正仿宋_GBK"/>
          <w:color w:val="000000"/>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rPr>
          <w:rFonts w:hint="eastAsia" w:ascii="宋体" w:hAnsi="宋体" w:eastAsia="方正黑体_GBK" w:cs="方正黑体_GBK"/>
          <w:color w:val="000000"/>
          <w:kern w:val="0"/>
          <w:szCs w:val="32"/>
          <w:shd w:val="clear" w:color="auto" w:fill="FFFFFF"/>
          <w:lang w:bidi="ar"/>
        </w:rPr>
      </w:pPr>
      <w:r>
        <w:rPr>
          <w:rFonts w:hint="eastAsia" w:ascii="宋体" w:hAnsi="宋体" w:eastAsia="方正黑体_GBK" w:cs="方正楷体_GBK"/>
          <w:color w:val="000000"/>
          <w:kern w:val="0"/>
          <w:szCs w:val="32"/>
          <w:shd w:val="clear" w:color="auto" w:fill="FFFFFF"/>
          <w:lang w:bidi="ar"/>
        </w:rPr>
        <w:t>第六章　附    则</w:t>
      </w:r>
      <w:r>
        <w:rPr>
          <w:rFonts w:hint="eastAsia" w:ascii="宋体" w:hAnsi="宋体" w:eastAsia="方正黑体_GBK" w:cs="方正楷体_GBK"/>
          <w:color w:val="000000"/>
          <w:kern w:val="0"/>
          <w:szCs w:val="32"/>
          <w:shd w:val="clear" w:color="auto" w:fill="FFFFFF"/>
          <w:lang w:bidi="ar"/>
        </w:rPr>
        <w:br w:type="textWrapping"/>
      </w:r>
    </w:p>
    <w:p>
      <w:pPr>
        <w:keepNext w:val="0"/>
        <w:keepLines w:val="0"/>
        <w:pageBreakBefore w:val="0"/>
        <w:kinsoku/>
        <w:wordWrap/>
        <w:overflowPunct/>
        <w:topLinePunct w:val="0"/>
        <w:autoSpaceDE/>
        <w:autoSpaceDN/>
        <w:bidi w:val="0"/>
        <w:adjustRightInd/>
        <w:snapToGrid/>
        <w:spacing w:line="600" w:lineRule="exact"/>
        <w:ind w:firstLine="632"/>
        <w:rPr>
          <w:rFonts w:ascii="宋体" w:hAnsi="宋体" w:eastAsia="方正仿宋_GBK" w:cs="方正仿宋_GBK"/>
          <w:color w:val="000000"/>
          <w:szCs w:val="32"/>
          <w:shd w:val="clear" w:color="auto" w:fill="FFFFFF"/>
        </w:rPr>
      </w:pPr>
      <w:r>
        <w:rPr>
          <w:rFonts w:hint="eastAsia" w:ascii="宋体" w:hAnsi="宋体" w:eastAsia="方正楷体_GBK" w:cs="方正黑体_GBK"/>
          <w:color w:val="000000"/>
          <w:kern w:val="0"/>
          <w:szCs w:val="32"/>
          <w:shd w:val="clear" w:color="auto" w:fill="FFFFFF"/>
          <w:lang w:bidi="ar"/>
        </w:rPr>
        <w:t xml:space="preserve">第十七条  </w:t>
      </w:r>
      <w:r>
        <w:rPr>
          <w:rFonts w:hint="eastAsia" w:ascii="宋体" w:hAnsi="宋体" w:eastAsia="方正仿宋_GBK"/>
          <w:color w:val="000000"/>
          <w:kern w:val="0"/>
          <w:szCs w:val="32"/>
          <w:shd w:val="clear" w:color="auto" w:fill="FFFFFF"/>
          <w:lang w:bidi="ar"/>
        </w:rPr>
        <w:t>本办法自</w:t>
      </w:r>
      <w:r>
        <w:rPr>
          <w:rFonts w:ascii="宋体" w:hAnsi="宋体" w:eastAsia="方正仿宋_GBK"/>
          <w:color w:val="000000"/>
          <w:kern w:val="0"/>
          <w:szCs w:val="32"/>
          <w:shd w:val="clear" w:color="auto" w:fill="FFFFFF"/>
          <w:lang w:bidi="ar"/>
        </w:rPr>
        <w:t>2017</w:t>
      </w:r>
      <w:r>
        <w:rPr>
          <w:rFonts w:hint="eastAsia" w:ascii="宋体" w:hAnsi="宋体" w:eastAsia="方正仿宋_GBK"/>
          <w:color w:val="000000"/>
          <w:kern w:val="0"/>
          <w:szCs w:val="32"/>
          <w:shd w:val="clear" w:color="auto" w:fill="FFFFFF"/>
          <w:lang w:bidi="ar"/>
        </w:rPr>
        <w:t>年</w:t>
      </w:r>
      <w:r>
        <w:rPr>
          <w:rFonts w:ascii="宋体" w:hAnsi="宋体" w:eastAsia="方正仿宋_GBK"/>
          <w:color w:val="000000"/>
          <w:kern w:val="0"/>
          <w:szCs w:val="32"/>
          <w:shd w:val="clear" w:color="auto" w:fill="FFFFFF"/>
          <w:lang w:bidi="ar"/>
        </w:rPr>
        <w:t>11</w:t>
      </w:r>
      <w:r>
        <w:rPr>
          <w:rFonts w:hint="eastAsia" w:ascii="宋体" w:hAnsi="宋体" w:eastAsia="方正仿宋_GBK"/>
          <w:color w:val="000000"/>
          <w:kern w:val="0"/>
          <w:szCs w:val="32"/>
          <w:shd w:val="clear" w:color="auto" w:fill="FFFFFF"/>
          <w:lang w:bidi="ar"/>
        </w:rPr>
        <w:t>月</w:t>
      </w:r>
      <w:r>
        <w:rPr>
          <w:rFonts w:ascii="宋体" w:hAnsi="宋体" w:eastAsia="方正仿宋_GBK"/>
          <w:color w:val="000000"/>
          <w:kern w:val="0"/>
          <w:szCs w:val="32"/>
          <w:shd w:val="clear" w:color="auto" w:fill="FFFFFF"/>
          <w:lang w:bidi="ar"/>
        </w:rPr>
        <w:t>1</w:t>
      </w:r>
      <w:r>
        <w:rPr>
          <w:rFonts w:hint="eastAsia" w:ascii="宋体" w:hAnsi="宋体" w:eastAsia="方正仿宋_GBK"/>
          <w:color w:val="000000"/>
          <w:kern w:val="0"/>
          <w:szCs w:val="32"/>
          <w:shd w:val="clear" w:color="auto" w:fill="FFFFFF"/>
          <w:lang w:bidi="ar"/>
        </w:rPr>
        <w:t>日起施行。</w:t>
      </w:r>
      <w:r>
        <w:rPr>
          <w:rFonts w:hint="eastAsia" w:ascii="宋体" w:hAnsi="宋体" w:eastAsia="方正仿宋_GBK" w:cs="方正仿宋_GBK"/>
          <w:color w:val="000000"/>
          <w:szCs w:val="32"/>
          <w:shd w:val="clear" w:color="auto" w:fill="FFFFFF"/>
        </w:rPr>
        <w:t>《荣昌县最低生活保障条件认定办法》（荣昌府办发〔</w:t>
      </w:r>
      <w:r>
        <w:rPr>
          <w:rFonts w:ascii="宋体" w:hAnsi="宋体" w:eastAsia="方正仿宋_GBK" w:cs="方正仿宋_GBK"/>
          <w:color w:val="000000"/>
          <w:szCs w:val="32"/>
          <w:shd w:val="clear" w:color="auto" w:fill="FFFFFF"/>
        </w:rPr>
        <w:t>2014</w:t>
      </w:r>
      <w:r>
        <w:rPr>
          <w:rFonts w:hint="eastAsia" w:ascii="宋体" w:hAnsi="宋体" w:eastAsia="方正仿宋_GBK" w:cs="方正仿宋_GBK"/>
          <w:color w:val="000000"/>
          <w:szCs w:val="32"/>
          <w:shd w:val="clear" w:color="auto" w:fill="FFFFFF"/>
        </w:rPr>
        <w:t>〕</w:t>
      </w:r>
      <w:r>
        <w:rPr>
          <w:rFonts w:ascii="宋体" w:hAnsi="宋体" w:eastAsia="方正仿宋_GBK" w:cs="方正仿宋_GBK"/>
          <w:color w:val="000000"/>
          <w:szCs w:val="32"/>
          <w:shd w:val="clear" w:color="auto" w:fill="FFFFFF"/>
        </w:rPr>
        <w:t>49</w:t>
      </w:r>
      <w:r>
        <w:rPr>
          <w:rFonts w:hint="eastAsia" w:ascii="宋体" w:hAnsi="宋体" w:eastAsia="方正仿宋_GBK" w:cs="方正仿宋_GBK"/>
          <w:color w:val="000000"/>
          <w:szCs w:val="32"/>
          <w:shd w:val="clear" w:color="auto" w:fill="FFFFFF"/>
        </w:rPr>
        <w:t>号）同时废止。</w:t>
      </w:r>
    </w:p>
    <w:p>
      <w:pPr>
        <w:keepNext w:val="0"/>
        <w:keepLines w:val="0"/>
        <w:pageBreakBefore w:val="0"/>
        <w:kinsoku/>
        <w:wordWrap/>
        <w:overflowPunct/>
        <w:topLinePunct w:val="0"/>
        <w:autoSpaceDE/>
        <w:autoSpaceDN/>
        <w:bidi w:val="0"/>
        <w:adjustRightInd/>
        <w:snapToGrid/>
        <w:spacing w:line="600" w:lineRule="exact"/>
        <w:rPr>
          <w:rFonts w:hint="eastAsia" w:ascii="宋体" w:hAnsi="宋体" w:eastAsia="黑体" w:cs="黑体"/>
        </w:rPr>
      </w:pPr>
    </w:p>
    <w:p>
      <w:pPr>
        <w:autoSpaceDE w:val="0"/>
        <w:autoSpaceDN w:val="0"/>
        <w:adjustRightInd w:val="0"/>
        <w:ind w:firstLine="640" w:firstLineChars="200"/>
        <w:jc w:val="left"/>
        <w:rPr>
          <w:rFonts w:hint="eastAsia" w:ascii="宋体" w:hAnsi="宋体" w:eastAsia="方正仿宋_GBK"/>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shd w:val="clear" w:color="auto" w:fill="FFFFFF"/>
        </w:rPr>
      </w:pPr>
    </w:p>
    <w:p>
      <w:pPr>
        <w:keepNext w:val="0"/>
        <w:keepLines w:val="0"/>
        <w:pageBreakBefore w:val="0"/>
        <w:kinsoku/>
        <w:overflowPunct/>
        <w:topLinePunct w:val="0"/>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0AAAB"/>
    <w:multiLevelType w:val="singleLevel"/>
    <w:tmpl w:val="59C0AAAB"/>
    <w:lvl w:ilvl="0" w:tentative="0">
      <w:start w:val="4"/>
      <w:numFmt w:val="chineseCounting"/>
      <w:suff w:val="nothing"/>
      <w:lvlText w:val="第%1章"/>
      <w:lvlJc w:val="left"/>
      <w:rPr>
        <w:rFonts w:hint="eastAsia" w:ascii="方正黑体_GBK" w:eastAsia="方正黑体_GBK"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A5738A0"/>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3155D2A"/>
    <w:rsid w:val="648B0A32"/>
    <w:rsid w:val="658F6764"/>
    <w:rsid w:val="665233C1"/>
    <w:rsid w:val="669937F0"/>
    <w:rsid w:val="69AC0D42"/>
    <w:rsid w:val="6AD9688B"/>
    <w:rsid w:val="6B68303F"/>
    <w:rsid w:val="6D0E3F22"/>
    <w:rsid w:val="744E4660"/>
    <w:rsid w:val="753355A2"/>
    <w:rsid w:val="759F1C61"/>
    <w:rsid w:val="75DA23AF"/>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unhideWhenUsed/>
    <w:qFormat/>
    <w:uiPriority w:val="1"/>
    <w:rPr>
      <w:rFonts w:eastAsia="方正仿宋简体"/>
      <w:szCs w:val="24"/>
    </w:rPr>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4">
    <w:name w:val="Char1 Char Char Char"/>
    <w:basedOn w:val="1"/>
    <w:link w:val="13"/>
    <w:qFormat/>
    <w:uiPriority w:val="0"/>
    <w:pPr>
      <w:widowControl/>
      <w:spacing w:after="160" w:line="240" w:lineRule="exact"/>
      <w:jc w:val="left"/>
    </w:pPr>
    <w:rPr>
      <w:rFonts w:eastAsia="方正仿宋简体"/>
      <w:szCs w:val="24"/>
    </w:rPr>
  </w:style>
  <w:style w:type="character" w:styleId="15">
    <w:name w:val="Strong"/>
    <w:basedOn w:val="13"/>
    <w:qFormat/>
    <w:uiPriority w:val="0"/>
    <w:rPr>
      <w:b/>
      <w:bCs/>
    </w:rPr>
  </w:style>
  <w:style w:type="character" w:styleId="16">
    <w:name w:val="page number"/>
    <w:basedOn w:val="13"/>
    <w:qFormat/>
    <w:uiPriority w:val="0"/>
    <w:rPr>
      <w:rFonts w:eastAsia="宋体"/>
      <w:sz w:val="28"/>
    </w:rPr>
  </w:style>
  <w:style w:type="character" w:styleId="17">
    <w:name w:val="annotation reference"/>
    <w:basedOn w:val="13"/>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3"/>
    <w:link w:val="8"/>
    <w:qFormat/>
    <w:uiPriority w:val="0"/>
    <w:rPr>
      <w:rFonts w:asciiTheme="minorHAnsi" w:hAnsiTheme="minorHAnsi" w:eastAsiaTheme="minorEastAsia" w:cstheme="minorBidi"/>
      <w:kern w:val="2"/>
      <w:sz w:val="18"/>
      <w:szCs w:val="18"/>
    </w:rPr>
  </w:style>
  <w:style w:type="character" w:customStyle="1" w:styleId="20">
    <w:name w:val="font31"/>
    <w:basedOn w:val="13"/>
    <w:qFormat/>
    <w:uiPriority w:val="0"/>
    <w:rPr>
      <w:rFonts w:ascii="方正仿宋_GBK" w:hAnsi="方正仿宋_GBK" w:eastAsia="方正仿宋_GBK" w:cs="方正仿宋_GBK"/>
      <w:color w:val="000000"/>
      <w:sz w:val="32"/>
      <w:szCs w:val="32"/>
      <w:u w:val="none"/>
    </w:rPr>
  </w:style>
  <w:style w:type="character" w:customStyle="1" w:styleId="21">
    <w:name w:val="font21"/>
    <w:basedOn w:val="13"/>
    <w:qFormat/>
    <w:uiPriority w:val="0"/>
    <w:rPr>
      <w:rFonts w:ascii="方正仿宋_GBK" w:hAnsi="方正仿宋_GBK" w:eastAsia="方正仿宋_GBK" w:cs="方正仿宋_GBK"/>
      <w:color w:val="000000"/>
      <w:sz w:val="32"/>
      <w:szCs w:val="32"/>
      <w:u w:val="single"/>
    </w:rPr>
  </w:style>
  <w:style w:type="character" w:customStyle="1" w:styleId="22">
    <w:name w:val="font11"/>
    <w:basedOn w:val="13"/>
    <w:uiPriority w:val="0"/>
    <w:rPr>
      <w:rFonts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3</TotalTime>
  <ScaleCrop>false</ScaleCrop>
  <LinksUpToDate>false</LinksUpToDate>
  <CharactersWithSpaces>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2022-06-12T10:29:00Z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ies>
</file>