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pacing w:line="60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default" w:ascii="Times New Roman" w:hAnsi="Times New Roman" w:eastAsia="Times New Roman"/>
          <w:sz w:val="44"/>
          <w:lang w:val="en-US"/>
        </w:rPr>
      </w:pPr>
      <w:r>
        <w:rPr>
          <w:rFonts w:hint="eastAsia" w:ascii="方正小标宋_GBK" w:hAnsi="方正小标宋_GBK" w:eastAsia="方正小标宋_GBK"/>
          <w:sz w:val="44"/>
          <w:lang w:val="zh-CN"/>
        </w:rPr>
        <w:t>重庆市荣昌区人民政府办公室</w:t>
      </w:r>
    </w:p>
    <w:p>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sz w:val="44"/>
          <w:lang w:val="zh-CN"/>
        </w:rPr>
      </w:pPr>
      <w:r>
        <w:rPr>
          <w:rFonts w:hint="eastAsia" w:ascii="方正小标宋_GBK" w:hAnsi="方正小标宋_GBK" w:eastAsia="方正小标宋_GBK"/>
          <w:sz w:val="44"/>
          <w:lang w:val="zh-CN"/>
        </w:rPr>
        <w:t>关于印发重庆市荣昌区声环境功能区划分</w:t>
      </w:r>
    </w:p>
    <w:p>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default" w:ascii="Times New Roman" w:hAnsi="Times New Roman" w:eastAsia="Times New Roman"/>
          <w:color w:val="000000"/>
          <w:kern w:val="2"/>
          <w:sz w:val="44"/>
          <w:lang w:val="en-US"/>
        </w:rPr>
      </w:pPr>
      <w:r>
        <w:rPr>
          <w:rFonts w:hint="eastAsia" w:ascii="方正小标宋_GBK" w:hAnsi="方正小标宋_GBK" w:eastAsia="方正小标宋_GBK"/>
          <w:sz w:val="44"/>
          <w:lang w:val="zh-CN"/>
        </w:rPr>
        <w:t>调整方案的通知</w:t>
      </w:r>
    </w:p>
    <w:p>
      <w:pPr>
        <w:keepNext w:val="0"/>
        <w:keepLines w:val="0"/>
        <w:pageBreakBefore w:val="0"/>
        <w:widowControl w:val="0"/>
        <w:kinsoku/>
        <w:wordWrap/>
        <w:overflowPunct/>
        <w:topLinePunct w:val="0"/>
        <w:autoSpaceDE/>
        <w:autoSpaceDN/>
        <w:bidi w:val="0"/>
        <w:adjustRightInd/>
        <w:snapToGrid/>
        <w:spacing w:beforeLines="0" w:afterLines="0" w:line="600" w:lineRule="exact"/>
        <w:ind w:left="320" w:right="320"/>
        <w:jc w:val="center"/>
        <w:textAlignment w:val="auto"/>
        <w:rPr>
          <w:rFonts w:hint="eastAsia" w:ascii="方正仿宋简体" w:hAnsi="方正仿宋简体" w:eastAsia="方正仿宋简体"/>
          <w:color w:val="auto"/>
          <w:kern w:val="2"/>
          <w:sz w:val="32"/>
          <w:lang w:val="zh-CN"/>
        </w:rPr>
      </w:pPr>
      <w:r>
        <w:rPr>
          <w:rFonts w:hint="eastAsia" w:ascii="方正仿宋_GBK" w:hAnsi="方正仿宋_GBK" w:eastAsia="方正仿宋_GBK"/>
          <w:color w:val="auto"/>
          <w:kern w:val="2"/>
          <w:sz w:val="32"/>
          <w:lang w:val="zh-CN"/>
        </w:rPr>
        <w:t>荣昌府办发〔2018〕118号</w:t>
      </w:r>
    </w:p>
    <w:p>
      <w:pPr>
        <w:keepNext w:val="0"/>
        <w:keepLines w:val="0"/>
        <w:pageBreakBefore w:val="0"/>
        <w:widowControl w:val="0"/>
        <w:tabs>
          <w:tab w:val="left" w:pos="6270"/>
        </w:tabs>
        <w:kinsoku/>
        <w:wordWrap/>
        <w:overflowPunct/>
        <w:topLinePunct w:val="0"/>
        <w:autoSpaceDE/>
        <w:autoSpaceDN/>
        <w:bidi w:val="0"/>
        <w:adjustRightInd/>
        <w:snapToGrid/>
        <w:spacing w:beforeLines="0" w:afterLines="0" w:line="600" w:lineRule="exact"/>
        <w:jc w:val="both"/>
        <w:textAlignment w:val="auto"/>
        <w:rPr>
          <w:rFonts w:hint="default" w:ascii="Times New Roman" w:hAnsi="Times New Roman" w:eastAsia="Times New Roman"/>
          <w:color w:val="auto"/>
          <w:sz w:val="32"/>
          <w:lang w:val="en-US"/>
        </w:rPr>
      </w:pPr>
    </w:p>
    <w:p>
      <w:pPr>
        <w:keepNext w:val="0"/>
        <w:keepLines w:val="0"/>
        <w:pageBreakBefore w:val="0"/>
        <w:widowControl w:val="0"/>
        <w:kinsoku/>
        <w:wordWrap/>
        <w:overflowPunct/>
        <w:topLinePunct w:val="0"/>
        <w:autoSpaceDE/>
        <w:autoSpaceDN/>
        <w:bidi w:val="0"/>
        <w:adjustRightInd/>
        <w:snapToGrid/>
        <w:spacing w:beforeLines="0" w:afterLines="0" w:line="600" w:lineRule="exact"/>
        <w:jc w:val="both"/>
        <w:textAlignment w:val="auto"/>
        <w:rPr>
          <w:rFonts w:hint="eastAsia" w:ascii="方正仿宋_GBK" w:hAnsi="方正仿宋_GBK" w:eastAsia="方正仿宋_GBK"/>
          <w:color w:val="auto"/>
          <w:sz w:val="32"/>
          <w:lang w:val="zh-CN"/>
        </w:rPr>
      </w:pPr>
      <w:r>
        <w:rPr>
          <w:rFonts w:hint="eastAsia" w:ascii="方正仿宋_GBK" w:hAnsi="方正仿宋_GBK" w:eastAsia="方正仿宋_GBK"/>
          <w:color w:val="auto"/>
          <w:sz w:val="32"/>
          <w:lang w:val="zh-CN"/>
        </w:rPr>
        <w:t>各镇人民政府，各街道办事处，区级有关部门，有关单位：</w:t>
      </w:r>
    </w:p>
    <w:p>
      <w:pPr>
        <w:keepNext w:val="0"/>
        <w:keepLines w:val="0"/>
        <w:pageBreakBefore w:val="0"/>
        <w:widowControl w:val="0"/>
        <w:kinsoku/>
        <w:wordWrap/>
        <w:overflowPunct/>
        <w:topLinePunct w:val="0"/>
        <w:autoSpaceDE/>
        <w:autoSpaceDN/>
        <w:bidi w:val="0"/>
        <w:adjustRightInd/>
        <w:snapToGrid/>
        <w:spacing w:beforeLines="0" w:afterLines="0" w:line="600" w:lineRule="exact"/>
        <w:jc w:val="both"/>
        <w:textAlignment w:val="auto"/>
        <w:rPr>
          <w:rFonts w:hint="eastAsia" w:ascii="方正仿宋_GBK" w:hAnsi="方正仿宋_GBK" w:eastAsia="方正仿宋_GBK"/>
          <w:color w:val="auto"/>
          <w:sz w:val="32"/>
          <w:lang w:val="zh-CN"/>
        </w:rPr>
      </w:pPr>
      <w:r>
        <w:rPr>
          <w:rFonts w:hint="eastAsia" w:ascii="方正仿宋_GBK" w:hAnsi="方正仿宋_GBK" w:eastAsia="方正仿宋_GBK"/>
          <w:color w:val="auto"/>
          <w:sz w:val="32"/>
          <w:lang w:val="zh-CN"/>
        </w:rPr>
        <w:t xml:space="preserve">    《重庆市荣昌区声环境功能区划分调整方案》已经区政府第34次常务会审议通过，现印发给你们，请认真遵照执行。</w:t>
      </w:r>
    </w:p>
    <w:p>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方正仿宋_GBK" w:hAnsi="方正仿宋_GBK" w:eastAsia="方正仿宋_GBK"/>
          <w:color w:val="auto"/>
          <w:spacing w:val="-14"/>
          <w:kern w:val="2"/>
          <w:sz w:val="32"/>
          <w:lang w:val="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宋体" w:hAnsi="宋体" w:eastAsia="宋体"/>
          <w:color w:val="auto"/>
          <w:spacing w:val="-14"/>
          <w:kern w:val="2"/>
          <w:sz w:val="32"/>
          <w:lang w:val="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368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重庆市荣昌区人民政府办公室　</w:t>
      </w:r>
    </w:p>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4480"/>
        <w:jc w:val="both"/>
        <w:textAlignment w:val="auto"/>
        <w:rPr>
          <w:rFonts w:hint="eastAsia" w:ascii="方正仿宋_GBK" w:hAnsi="方正仿宋_GBK" w:eastAsia="方正仿宋_GBK"/>
          <w:color w:val="auto"/>
          <w:kern w:val="2"/>
          <w:sz w:val="32"/>
          <w:lang w:val="zh-CN"/>
        </w:rPr>
      </w:pPr>
      <w:r>
        <w:rPr>
          <w:rFonts w:hint="eastAsia" w:ascii="宋体" w:hAnsi="宋体" w:eastAsia="宋体"/>
          <w:color w:val="auto"/>
          <w:kern w:val="2"/>
          <w:sz w:val="32"/>
          <w:lang w:val="zh-CN"/>
        </w:rPr>
        <w:t>2018</w:t>
      </w:r>
      <w:r>
        <w:rPr>
          <w:rFonts w:hint="eastAsia" w:ascii="方正仿宋_GBK" w:hAnsi="方正仿宋_GBK" w:eastAsia="方正仿宋_GBK"/>
          <w:color w:val="auto"/>
          <w:kern w:val="2"/>
          <w:sz w:val="32"/>
          <w:lang w:val="zh-CN"/>
        </w:rPr>
        <w:t>年9月21日</w:t>
      </w:r>
    </w:p>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（此件公开发布）　　　　</w:t>
      </w:r>
    </w:p>
    <w:p>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方正仿宋_GBK" w:hAnsi="方正仿宋_GBK" w:eastAsia="方正仿宋_GBK"/>
          <w:color w:val="auto"/>
          <w:kern w:val="2"/>
          <w:sz w:val="32"/>
          <w:lang w:val="zh-CN"/>
        </w:rPr>
      </w:pPr>
      <w:r>
        <w:rPr>
          <w:rFonts w:hint="eastAsia" w:ascii="宋体" w:hAnsi="宋体" w:eastAsia="宋体"/>
          <w:color w:val="auto"/>
          <w:kern w:val="2"/>
          <w:sz w:val="32"/>
          <w:lang w:val="zh-CN"/>
        </w:rPr>
        <w:br w:type="page"/>
      </w:r>
    </w:p>
    <w:p>
      <w:pPr>
        <w:spacing w:beforeLines="0" w:afterLines="0"/>
        <w:jc w:val="center"/>
        <w:rPr>
          <w:rFonts w:hint="eastAsia" w:ascii="方正小标宋_GBK" w:hAnsi="方正小标宋_GBK" w:eastAsia="方正小标宋_GBK"/>
          <w:color w:val="auto"/>
          <w:kern w:val="2"/>
          <w:sz w:val="32"/>
          <w:lang w:val="zh-CN"/>
        </w:rPr>
      </w:pPr>
    </w:p>
    <w:p>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重庆市荣昌区声环境功能区划分</w:t>
      </w:r>
    </w:p>
    <w:p>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调整方案</w:t>
      </w:r>
    </w:p>
    <w:p>
      <w:pPr>
        <w:spacing w:beforeLines="0" w:afterLines="0"/>
        <w:jc w:val="center"/>
        <w:rPr>
          <w:rFonts w:hint="eastAsia" w:ascii="方正小标宋_GBK" w:hAnsi="方正小标宋_GBK" w:eastAsia="方正小标宋_GBK"/>
          <w:color w:val="auto"/>
          <w:kern w:val="2"/>
          <w:sz w:val="48"/>
          <w:lang w:val="zh-CN"/>
        </w:rPr>
      </w:pPr>
    </w:p>
    <w:p>
      <w:pPr>
        <w:spacing w:beforeLines="0" w:afterLines="0"/>
        <w:jc w:val="center"/>
        <w:rPr>
          <w:rFonts w:hint="eastAsia" w:ascii="方正小标宋_GBK" w:hAnsi="方正小标宋_GBK" w:eastAsia="方正小标宋_GBK"/>
          <w:color w:val="auto"/>
          <w:kern w:val="2"/>
          <w:sz w:val="48"/>
          <w:lang w:val="zh-CN"/>
        </w:rPr>
      </w:pPr>
    </w:p>
    <w:p>
      <w:pPr>
        <w:spacing w:beforeLines="0" w:afterLines="0"/>
        <w:jc w:val="both"/>
        <w:rPr>
          <w:rFonts w:hint="eastAsia" w:ascii="方正小标宋_GBK" w:hAnsi="方正小标宋_GBK" w:eastAsia="方正小标宋_GBK"/>
          <w:color w:val="auto"/>
          <w:kern w:val="2"/>
          <w:sz w:val="48"/>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仿宋_GBK" w:hAnsi="方正仿宋_GBK" w:eastAsia="方正仿宋_GBK"/>
          <w:b/>
          <w:color w:val="auto"/>
          <w:kern w:val="2"/>
          <w:sz w:val="32"/>
          <w:lang w:val="zh-CN"/>
        </w:rPr>
      </w:pPr>
    </w:p>
    <w:p>
      <w:pPr>
        <w:spacing w:beforeLines="0" w:afterLines="0"/>
        <w:jc w:val="center"/>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重庆市环境科学研究院</w:t>
      </w:r>
    </w:p>
    <w:p>
      <w:pPr>
        <w:spacing w:beforeLines="0" w:afterLines="0"/>
        <w:jc w:val="center"/>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2018年7月</w:t>
      </w:r>
    </w:p>
    <w:p>
      <w:pPr>
        <w:spacing w:beforeLines="0" w:afterLines="0"/>
        <w:jc w:val="center"/>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br w:type="page"/>
      </w:r>
    </w:p>
    <w:p>
      <w:pPr>
        <w:spacing w:beforeLines="0" w:afterLines="0"/>
        <w:jc w:val="center"/>
        <w:rPr>
          <w:rFonts w:hint="eastAsia" w:ascii="方正仿宋_GBK" w:hAnsi="方正仿宋_GBK" w:eastAsia="方正仿宋_GBK"/>
          <w:color w:val="auto"/>
          <w:kern w:val="2"/>
          <w:sz w:val="32"/>
          <w:lang w:val="zh-CN"/>
        </w:rPr>
      </w:pPr>
    </w:p>
    <w:p>
      <w:pPr>
        <w:spacing w:beforeLines="0" w:afterLines="0"/>
        <w:jc w:val="center"/>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目  录</w:t>
      </w:r>
    </w:p>
    <w:p>
      <w:pPr>
        <w:tabs>
          <w:tab w:val="right" w:leader="dot" w:pos="8296"/>
          <w:tab w:val="right" w:leader="dot" w:pos="8494"/>
        </w:tabs>
        <w:spacing w:beforeLines="0" w:afterLines="0" w:line="400" w:lineRule="exact"/>
        <w:jc w:val="both"/>
        <w:rPr>
          <w:rFonts w:hint="eastAsia" w:ascii="方正黑体_GBK" w:hAnsi="方正黑体_GBK" w:eastAsia="方正黑体_GBK"/>
          <w:color w:val="auto"/>
          <w:kern w:val="2"/>
          <w:sz w:val="21"/>
          <w:lang w:val="zh-CN"/>
        </w:rPr>
      </w:pP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"_Toc517272500"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前言</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10</w:t>
      </w:r>
      <w:r>
        <w:rPr>
          <w:rFonts w:hint="eastAsia" w:ascii="方正黑体_GBK" w:hAnsi="方正黑体_GBK" w:eastAsia="方正黑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"_Toc517272501"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一、总则</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11</w:t>
      </w:r>
      <w:r>
        <w:rPr>
          <w:rFonts w:hint="eastAsia" w:ascii="方正黑体_GBK" w:hAnsi="方正黑体_GBK" w:eastAsia="方正黑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"_Toc517272502"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（一）指导思想</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11</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"_Toc517272503"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（二）划分原则</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11</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"_Toc517272504"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（三）划分依据</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12</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"_Toc517272505"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（四）区划时限、范围</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13</w:t>
      </w:r>
      <w:r>
        <w:rPr>
          <w:rFonts w:hint="eastAsia" w:ascii="方正楷体_GBK" w:hAnsi="方正楷体_GBK" w:eastAsia="方正楷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"_Toc517272506"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二、区划类型及声环境质量标准</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13</w:t>
      </w:r>
      <w:r>
        <w:rPr>
          <w:rFonts w:hint="eastAsia" w:ascii="方正黑体_GBK" w:hAnsi="方正黑体_GBK" w:eastAsia="方正黑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"_Toc517272507"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三、区划步骤</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15</w:t>
      </w:r>
      <w:r>
        <w:rPr>
          <w:rFonts w:hint="eastAsia" w:ascii="方正黑体_GBK" w:hAnsi="方正黑体_GBK" w:eastAsia="方正黑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"_Toc517272508"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（一）基础数据入库</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"_Toc517272509"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（二）划分噪声区划单元</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"_Toc517272510"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（三）确定声环境功能区类型</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"_Toc517272511"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（四）综合分析</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"_Toc517272512"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（五）现场踏勘与优化</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"_Toc517272513"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（六）综合制图</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"_Toc517272514"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四、荣昌城区声环境功能区划分结果</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17</w:t>
      </w:r>
      <w:r>
        <w:rPr>
          <w:rFonts w:hint="eastAsia" w:ascii="方正黑体_GBK" w:hAnsi="方正黑体_GBK" w:eastAsia="方正黑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"_Toc517272515"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（一）1类、2类和3类声环境功能区划分结果</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17</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"_Toc517272516"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（二）4类声环境功能区划分结果</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20</w:t>
      </w:r>
      <w:r>
        <w:rPr>
          <w:rFonts w:hint="eastAsia" w:ascii="方正楷体_GBK" w:hAnsi="方正楷体_GBK" w:eastAsia="方正楷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"_Toc517272517"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五、组织实施</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22</w:t>
      </w:r>
      <w:r>
        <w:rPr>
          <w:rFonts w:hint="eastAsia" w:ascii="方正黑体_GBK" w:hAnsi="方正黑体_GBK" w:eastAsia="方正黑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"_Toc517272518"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（一）强化监测评估</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"_Toc517272519"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（二）加强源头预防</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"_Toc517272520"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（三）推进空间管控</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"_Toc517272521"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（四）严格修改程序</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23</w:t>
      </w:r>
      <w:r>
        <w:rPr>
          <w:rFonts w:hint="eastAsia" w:ascii="方正楷体_GBK" w:hAnsi="方正楷体_GBK" w:eastAsia="方正楷体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"_Toc517272522"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六、荣昌城区声环境功能区划分其他说明</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23</w:t>
      </w:r>
      <w:r>
        <w:rPr>
          <w:rFonts w:hint="eastAsia" w:ascii="方正黑体_GBK" w:hAnsi="方正黑体_GBK" w:eastAsia="方正黑体_GBK"/>
          <w:color w:val="auto"/>
          <w:kern w:val="2"/>
          <w:sz w:val="32"/>
          <w:lang w:val="zh-CN"/>
        </w:rPr>
        <w:fldChar w:fldCharType="end"/>
      </w:r>
    </w:p>
    <w:p>
      <w:pPr>
        <w:tabs>
          <w:tab w:val="right" w:leader="dot" w:pos="8296"/>
          <w:tab w:val="right" w:leader="dot" w:pos="8494"/>
        </w:tabs>
        <w:spacing w:beforeLines="0" w:afterLines="0"/>
        <w:jc w:val="both"/>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"_Toc517272523"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附录一  荣昌区声功能区划范围图</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24</w:t>
      </w:r>
      <w:r>
        <w:rPr>
          <w:rFonts w:hint="eastAsia" w:ascii="方正仿宋_GBK" w:hAnsi="方正仿宋_GBK" w:eastAsia="方正仿宋_GBK"/>
          <w:color w:val="auto"/>
          <w:kern w:val="2"/>
          <w:sz w:val="32"/>
          <w:lang w:val="zh-CN"/>
        </w:rPr>
        <w:fldChar w:fldCharType="end"/>
      </w:r>
    </w:p>
    <w:p>
      <w:pPr>
        <w:tabs>
          <w:tab w:val="right" w:leader="dot" w:pos="8296"/>
          <w:tab w:val="right" w:leader="dot" w:pos="8494"/>
        </w:tabs>
        <w:spacing w:beforeLines="0" w:afterLines="0"/>
        <w:jc w:val="both"/>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"_Toc517272524"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附录二  荣昌区声功能区划分图</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25</w:t>
      </w:r>
      <w:r>
        <w:rPr>
          <w:rFonts w:hint="eastAsia" w:ascii="方正仿宋_GBK" w:hAnsi="方正仿宋_GBK" w:eastAsia="方正仿宋_GBK"/>
          <w:color w:val="auto"/>
          <w:kern w:val="2"/>
          <w:sz w:val="32"/>
          <w:lang w:val="zh-CN"/>
        </w:rPr>
        <w:fldChar w:fldCharType="end"/>
      </w:r>
    </w:p>
    <w:p>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"_Toc517272525"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附录三  荣昌区区声功能区单元基础信息表</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26</w:t>
      </w:r>
      <w:r>
        <w:rPr>
          <w:rFonts w:hint="eastAsia" w:ascii="方正仿宋_GBK" w:hAnsi="方正仿宋_GBK" w:eastAsia="方正仿宋_GBK"/>
          <w:color w:val="auto"/>
          <w:kern w:val="2"/>
          <w:sz w:val="32"/>
          <w:lang w:val="zh-CN"/>
        </w:rPr>
        <w:fldChar w:fldCharType="end"/>
      </w:r>
    </w:p>
    <w:p>
      <w:pPr>
        <w:spacing w:beforeLines="0" w:afterLines="0"/>
        <w:jc w:val="both"/>
        <w:rPr>
          <w:rFonts w:hint="default" w:ascii="Times New Roman" w:hAnsi="Times New Roman" w:eastAsia="Times New Roman"/>
          <w:b/>
          <w:color w:val="auto"/>
          <w:kern w:val="2"/>
          <w:sz w:val="32"/>
          <w:lang w:val="en-US"/>
        </w:rPr>
      </w:pPr>
    </w:p>
    <w:p>
      <w:pPr>
        <w:pageBreakBefore w:val="0"/>
        <w:widowControl w:val="0"/>
        <w:kinsoku/>
        <w:wordWrap/>
        <w:overflowPunct/>
        <w:topLinePunct w:val="0"/>
        <w:autoSpaceDE/>
        <w:autoSpaceDN/>
        <w:bidi w:val="0"/>
        <w:adjustRightInd/>
        <w:snapToGrid/>
        <w:spacing w:beforeLines="0" w:afterLines="0" w:line="600" w:lineRule="exact"/>
        <w:ind w:left="0" w:right="0" w:firstLine="640"/>
        <w:jc w:val="both"/>
        <w:textAlignment w:val="auto"/>
        <w:rPr>
          <w:rFonts w:hint="eastAsia" w:ascii="方正仿宋简体" w:hAnsi="方正仿宋简体" w:eastAsia="方正仿宋简体"/>
          <w:b/>
          <w:color w:val="auto"/>
          <w:kern w:val="2"/>
          <w:sz w:val="32"/>
          <w:lang w:val="zh-CN"/>
        </w:rPr>
      </w:pPr>
      <w:r>
        <w:rPr>
          <w:rFonts w:hint="default" w:ascii="Times New Roman" w:hAnsi="Times New Roman" w:eastAsia="Times New Roman"/>
          <w:b/>
          <w:color w:val="auto"/>
          <w:kern w:val="2"/>
          <w:sz w:val="32"/>
          <w:lang w:val="en-US"/>
        </w:rPr>
        <w:br w:type="page"/>
      </w:r>
    </w:p>
    <w:p>
      <w:pPr>
        <w:pageBreakBefore w:val="0"/>
        <w:widowControl w:val="0"/>
        <w:kinsoku/>
        <w:wordWrap/>
        <w:overflowPunct/>
        <w:topLinePunct w:val="0"/>
        <w:autoSpaceDE/>
        <w:autoSpaceDN/>
        <w:bidi w:val="0"/>
        <w:adjustRightInd/>
        <w:snapToGrid/>
        <w:spacing w:beforeLines="0" w:afterLines="0" w:line="600" w:lineRule="exact"/>
        <w:ind w:left="0" w:right="0"/>
        <w:jc w:val="center"/>
        <w:textAlignment w:val="auto"/>
        <w:rPr>
          <w:rFonts w:hint="eastAsia" w:ascii="方正小标宋_GBK" w:hAnsi="方正小标宋_GBK" w:eastAsia="方正小标宋_GBK"/>
          <w:color w:val="auto"/>
          <w:kern w:val="2"/>
          <w:sz w:val="44"/>
          <w:lang w:val="zh-CN"/>
        </w:rPr>
      </w:pPr>
    </w:p>
    <w:p>
      <w:pPr>
        <w:pageBreakBefore w:val="0"/>
        <w:widowControl w:val="0"/>
        <w:kinsoku/>
        <w:wordWrap/>
        <w:overflowPunct/>
        <w:topLinePunct w:val="0"/>
        <w:autoSpaceDE/>
        <w:autoSpaceDN/>
        <w:bidi w:val="0"/>
        <w:adjustRightInd/>
        <w:snapToGrid/>
        <w:spacing w:beforeLines="0" w:afterLines="0" w:line="600" w:lineRule="exact"/>
        <w:ind w:left="0" w:right="0"/>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前  言</w:t>
      </w:r>
    </w:p>
    <w:p>
      <w:pPr>
        <w:pageBreakBefore w:val="0"/>
        <w:widowControl w:val="0"/>
        <w:kinsoku/>
        <w:wordWrap/>
        <w:overflowPunct/>
        <w:topLinePunct w:val="0"/>
        <w:autoSpaceDE/>
        <w:autoSpaceDN/>
        <w:bidi w:val="0"/>
        <w:adjustRightInd/>
        <w:snapToGrid/>
        <w:spacing w:beforeLines="0" w:afterLines="0" w:line="600" w:lineRule="exact"/>
        <w:ind w:left="0" w:right="0" w:firstLine="616"/>
        <w:jc w:val="both"/>
        <w:textAlignment w:val="auto"/>
        <w:rPr>
          <w:rFonts w:hint="default" w:ascii="Times New Roman" w:hAnsi="Times New Roman" w:eastAsia="Times New Roman"/>
          <w:color w:val="auto"/>
          <w:spacing w:val="-6"/>
          <w:kern w:val="2"/>
          <w:sz w:val="32"/>
          <w:lang w:val="en-US"/>
        </w:rPr>
      </w:pPr>
    </w:p>
    <w:p>
      <w:pPr>
        <w:pageBreakBefore w:val="0"/>
        <w:widowControl w:val="0"/>
        <w:kinsoku/>
        <w:wordWrap/>
        <w:overflowPunct/>
        <w:topLinePunct w:val="0"/>
        <w:autoSpaceDE/>
        <w:autoSpaceDN/>
        <w:bidi w:val="0"/>
        <w:adjustRightInd/>
        <w:snapToGrid/>
        <w:spacing w:beforeLines="0" w:afterLines="0" w:line="60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近年来，我区城镇化规模迅速扩大，城市交通高速发展，部分城市区域的功能及声环境发生了一定变化，《重庆市城市区域环境噪声标准适用区域划分规定调整方案》（渝环发〔2007〕39号）已不再适应新形势下环境管理需要。为改善我区城市声环境质量，营造良好人居环境，依据《中华人民共和国环境保护法》、《重庆市环境保护条例》和《重庆市环境噪声污染防治办法》（重庆市人民政府令270号）等有关法律法规的规定，根据《声环境质量标准》（GB3096-2008）、《声环境功能区划技术规范》（GB/T15190-2014）、《重庆市声环境功能区划分技术规范实施细则（试行）》（渝环〔2015〕429号）等相关技术规范，结合我区城市建设现状和未来发展规划，特制定本方案。</w:t>
      </w:r>
    </w:p>
    <w:p>
      <w:pPr>
        <w:pStyle w:val="2"/>
        <w:keepNext/>
        <w:keepLines/>
        <w:pageBreakBefore w:val="0"/>
        <w:widowControl w:val="0"/>
        <w:kinsoku/>
        <w:wordWrap/>
        <w:overflowPunct/>
        <w:topLinePunct w:val="0"/>
        <w:autoSpaceDE/>
        <w:autoSpaceDN/>
        <w:bidi w:val="0"/>
        <w:adjustRightInd/>
        <w:snapToGrid/>
        <w:spacing w:before="0" w:beforeLines="0" w:after="0" w:afterLines="0" w:line="600" w:lineRule="exact"/>
        <w:ind w:left="0" w:right="0" w:firstLine="616"/>
        <w:jc w:val="both"/>
        <w:textAlignment w:val="auto"/>
        <w:rPr>
          <w:rFonts w:hint="eastAsia" w:ascii="方正仿宋_GBK" w:hAnsi="方正仿宋_GBK" w:eastAsia="方正仿宋_GBK"/>
          <w:color w:val="auto"/>
          <w:spacing w:val="-6"/>
          <w:kern w:val="44"/>
          <w:sz w:val="32"/>
          <w:lang w:val="zh-CN"/>
        </w:rPr>
      </w:pPr>
      <w:r>
        <w:rPr>
          <w:rFonts w:hint="eastAsia" w:ascii="方正仿宋_GBK" w:hAnsi="方正仿宋_GBK" w:eastAsia="方正仿宋_GBK"/>
          <w:color w:val="auto"/>
          <w:spacing w:val="-6"/>
          <w:kern w:val="44"/>
          <w:sz w:val="32"/>
          <w:lang w:val="zh-CN"/>
        </w:rPr>
        <w:br w:type="page"/>
      </w: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jc w:val="both"/>
        <w:textAlignment w:val="auto"/>
        <w:rPr>
          <w:rFonts w:hint="eastAsia" w:ascii="方正黑体_GBK" w:hAnsi="方正黑体_GBK" w:eastAsia="方正黑体_GBK"/>
          <w:color w:val="auto"/>
          <w:kern w:val="44"/>
          <w:sz w:val="32"/>
          <w:lang w:val="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560" w:lineRule="exact"/>
        <w:ind w:left="0" w:leftChars="0" w:right="0" w:firstLine="640" w:firstLineChars="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总则</w:t>
      </w:r>
    </w:p>
    <w:p>
      <w:pPr>
        <w:pStyle w:val="2"/>
        <w:keepNext/>
        <w:keepLines/>
        <w:pageBreakBefore w:val="0"/>
        <w:widowControl w:val="0"/>
        <w:numPr>
          <w:numId w:val="0"/>
        </w:numPr>
        <w:kinsoku/>
        <w:wordWrap/>
        <w:overflowPunct/>
        <w:topLinePunct w:val="0"/>
        <w:autoSpaceDE/>
        <w:autoSpaceDN/>
        <w:bidi w:val="0"/>
        <w:adjustRightInd/>
        <w:snapToGrid/>
        <w:spacing w:before="0" w:beforeLines="0" w:after="0" w:afterLines="0" w:line="560" w:lineRule="exact"/>
        <w:ind w:left="0" w:right="0" w:firstLine="640" w:firstLineChars="20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（一）指导思想。</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以新时代中国特色社会主义理论体系为指导，全面贯彻党的十九大及市委五届三次全会精神，深入贯彻习近平总书记治国理政</w:t>
      </w:r>
      <w:bookmarkStart w:id="2" w:name="_GoBack"/>
      <w:bookmarkEnd w:id="2"/>
      <w:r>
        <w:rPr>
          <w:rFonts w:hint="eastAsia" w:ascii="方正仿宋_GBK" w:hAnsi="方正仿宋_GBK" w:eastAsia="方正仿宋_GBK"/>
          <w:color w:val="auto"/>
          <w:spacing w:val="-6"/>
          <w:kern w:val="2"/>
          <w:sz w:val="32"/>
          <w:lang w:val="zh-CN"/>
        </w:rPr>
        <w:t>新理念新思想新战略，全面落实习近平总书记视察重庆重要讲话精神，切实增强</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四个意识</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，紧紧围绕统筹推进</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五位一体</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总体布局和协调推进</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四个全面</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战略布局，坚持以人民为中心的发展思想，贯彻落实新发展理念，以提高城市声环境质量为目标，坚持有利于城市规划的实施和可持续发展的原则，科学、合理划分调整，促进社会、经济和环境协调发展。</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（二）划分原则。</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坚持以人为本，科学规范。</w:t>
      </w:r>
      <w:r>
        <w:rPr>
          <w:rFonts w:hint="eastAsia" w:ascii="方正仿宋_GBK" w:hAnsi="方正仿宋_GBK" w:eastAsia="方正仿宋_GBK"/>
          <w:color w:val="auto"/>
          <w:spacing w:val="-6"/>
          <w:kern w:val="2"/>
          <w:sz w:val="32"/>
          <w:lang w:val="zh-CN"/>
        </w:rPr>
        <w:t>以提高城市声环境质量为目标，有效的控制环境噪声污染状况，保障城市居民生活、工作、休息等正常需要，严格按照国家《声环境质量标准》（GB3096-2008）、《声环境功能区划技术规范》（GB/T15190-2014）、《重庆市声环境功能区划分技术规范实施细则（试行）》（渝环〔2015〕429号）进行划分。</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kern w:val="2"/>
          <w:sz w:val="32"/>
          <w:lang w:val="zh-CN"/>
        </w:rPr>
        <w:t>坚持规划导向，统筹考虑。</w:t>
      </w:r>
      <w:r>
        <w:rPr>
          <w:rFonts w:hint="eastAsia" w:ascii="方正仿宋_GBK" w:hAnsi="方正仿宋_GBK" w:eastAsia="方正仿宋_GBK"/>
          <w:color w:val="auto"/>
          <w:spacing w:val="-6"/>
          <w:kern w:val="2"/>
          <w:sz w:val="32"/>
          <w:lang w:val="zh-CN"/>
        </w:rPr>
        <w:t>在《重庆市城乡总体规划（2007</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2020年）》的总体要求下，以《荣昌区城乡总体规划（2009</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2030年）》为主要依据，统筹考虑全市城市区域土地利用类型、声环境质量现状和规划进行划分。</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坚持持续发展，动态调整。</w:t>
      </w:r>
      <w:r>
        <w:rPr>
          <w:rFonts w:hint="eastAsia" w:ascii="方正仿宋_GBK" w:hAnsi="方正仿宋_GBK" w:eastAsia="方正仿宋_GBK"/>
          <w:color w:val="auto"/>
          <w:spacing w:val="-6"/>
          <w:kern w:val="2"/>
          <w:sz w:val="32"/>
          <w:lang w:val="zh-CN"/>
        </w:rPr>
        <w:t>坚持城市生态性原则、经济性原则和可持续发展原则，要有利于城市规划的实施和城市的改建，充分利用城市行政区划及自然地貌，科学合理的区划。适时根据城市经济发展审环境质量管理科学技术的提高，动态调整功能区划分。</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kern w:val="2"/>
          <w:sz w:val="32"/>
          <w:lang w:val="zh-CN"/>
        </w:rPr>
        <w:t>坚持宏观控制，严控范围。</w:t>
      </w:r>
      <w:r>
        <w:rPr>
          <w:rFonts w:hint="eastAsia" w:ascii="方正仿宋_GBK" w:hAnsi="方正仿宋_GBK" w:eastAsia="方正仿宋_GBK"/>
          <w:color w:val="auto"/>
          <w:spacing w:val="-6"/>
          <w:kern w:val="2"/>
          <w:sz w:val="32"/>
          <w:lang w:val="zh-CN"/>
        </w:rPr>
        <w:t>以宏观控制为主，成片划分，宜大不宜小，宜粗不宜细，单块声功能区面积原则上不低于0.5km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，严格控制4类声环境功能区范围。</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（三）划分依据。</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1﹒《中华人民共和国环境污染噪声防治法》；</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2﹒《声环境质量标准》（GB3096-2008）；</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3﹒《声环境功能区划技术规范》（GB/T15190-2014）</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4﹒《城市用地分类与规划建设用地标准》（GB50137-2011）；</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000000"/>
          <w:kern w:val="2"/>
          <w:sz w:val="32"/>
          <w:lang w:val="zh-CN"/>
        </w:rPr>
      </w:pPr>
      <w:r>
        <w:rPr>
          <w:rFonts w:hint="eastAsia" w:ascii="方正仿宋_GBK" w:hAnsi="方正仿宋_GBK" w:eastAsia="方正仿宋_GBK"/>
          <w:color w:val="auto"/>
          <w:spacing w:val="-6"/>
          <w:kern w:val="2"/>
          <w:sz w:val="32"/>
          <w:lang w:val="zh-CN"/>
        </w:rPr>
        <w:t>5﹒</w:t>
      </w:r>
      <w:r>
        <w:rPr>
          <w:rFonts w:hint="eastAsia" w:ascii="方正仿宋_GBK" w:hAnsi="方正仿宋_GBK" w:eastAsia="方正仿宋_GBK"/>
          <w:color w:val="000000"/>
          <w:kern w:val="2"/>
          <w:sz w:val="32"/>
          <w:lang w:val="zh-CN"/>
        </w:rPr>
        <w:t>《环境保护部关于加强环境噪声污染防治工作改善城乡声环境质量的指导意见》（环发〔2010〕144号）；</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000000"/>
          <w:kern w:val="2"/>
          <w:sz w:val="32"/>
          <w:lang w:val="zh-CN"/>
        </w:rPr>
      </w:pPr>
      <w:r>
        <w:rPr>
          <w:rFonts w:hint="eastAsia" w:ascii="方正仿宋_GBK" w:hAnsi="方正仿宋_GBK" w:eastAsia="方正仿宋_GBK"/>
          <w:color w:val="auto"/>
          <w:spacing w:val="-6"/>
          <w:kern w:val="2"/>
          <w:sz w:val="32"/>
          <w:lang w:val="zh-CN"/>
        </w:rPr>
        <w:t>6﹒</w:t>
      </w:r>
      <w:r>
        <w:rPr>
          <w:rFonts w:hint="eastAsia" w:ascii="方正仿宋_GBK" w:hAnsi="方正仿宋_GBK" w:eastAsia="方正仿宋_GBK"/>
          <w:color w:val="000000"/>
          <w:kern w:val="2"/>
          <w:sz w:val="32"/>
          <w:lang w:val="zh-CN"/>
        </w:rPr>
        <w:t>《环保部办公厅关于加强和规范声环境功能区划分管理工作的通知》（环办大气函〔2017〕1709号）；</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7﹒《重庆市环境保护条例》；</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8﹒《重庆市环境噪声污染防治办法》；</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9．《重庆市城乡总体规划（2007</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2020年）》；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10﹒《重庆市声环境功能区划分技术规范实施细则（试行）》（渝环〔2015〕429号）；</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11﹒《荣昌区城乡总体规划（2009</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2030年）》；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12﹒《重庆市荣昌区综合交通体系规划》；</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13﹒《重庆市荣昌区综合交通运输</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十三五</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发展规划》（荣昌府发〔2017〕25号）；</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14﹒《重庆荣昌高新技术产业开发区</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十三五</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发展规划》。</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（四）区划时限、范围。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1﹒区划时限</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区划基准年：2017年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区划时间：2018~2022年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2﹒区划范围</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本方案中区划范围包括荣昌区城市规划区范围（主要包括安富街道、广顺街道、昌元街道、昌州街道、峰高街道中心城区和直升镇镇部分区域）及仁义镇、吴家镇、双河街道、盘龙镇、铜鼓镇、清流镇、观胜镇、远觉镇、直升镇、清江镇、清升镇、万灵镇、龙集镇、河包镇、古昌镇、荣隆镇中心区域（见附录一）。</w:t>
      </w: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二、区划类型及声环境质量标准</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1﹒区划类型</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根据《声环境质量标准》（GB3096-2008）的规定，声环境功能区分为0类、1类、2类、3类和4类，其中：</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0 类声环境功能区：指康复疗养区等特别需要安静的区域。</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1类声环境功能区：指以居民住宅、医疗卫生、文化教育、科研设计、行政办公为主要功能，需要保持安静的区域。</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2类声环境功能区：指以商业金融、集市贸易为主要功能，或者居住、商业、工业混杂，需要维护住宅安静的区域。</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3类声环境功能区：指以工业生产、仓储物流为主要功能，需要防止工业噪声对周围环境产生严重影响的区域。</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4类声环境功能区：指交通干线两侧一定距离之内（见表1），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000000"/>
          <w:sz w:val="32"/>
          <w:lang w:val="zh-CN"/>
        </w:rPr>
      </w:pPr>
      <w:r>
        <w:rPr>
          <w:rFonts w:hint="eastAsia" w:ascii="方正黑体_GBK" w:hAnsi="方正黑体_GBK" w:eastAsia="方正黑体_GBK"/>
          <w:color w:val="000000"/>
          <w:sz w:val="32"/>
          <w:lang w:val="zh-CN"/>
        </w:rPr>
        <w:t>表1  交通干线相邻区域4类功能区距离的确定</w:t>
      </w:r>
    </w:p>
    <w:tbl>
      <w:tblPr>
        <w:tblStyle w:val="12"/>
        <w:tblW w:w="8791" w:type="dxa"/>
        <w:jc w:val="center"/>
        <w:tblInd w:w="-28" w:type="dxa"/>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4284"/>
        <w:gridCol w:w="10"/>
        <w:gridCol w:w="2115"/>
        <w:gridCol w:w="10"/>
        <w:gridCol w:w="2352"/>
        <w:gridCol w:w="10"/>
      </w:tblGrid>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512" w:hRule="exact"/>
          <w:jc w:val="center"/>
        </w:trPr>
        <w:tc>
          <w:tcPr>
            <w:tcW w:w="4294" w:type="dxa"/>
            <w:gridSpan w:val="2"/>
            <w:tcBorders>
              <w:top w:val="single" w:color="auto"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源强类型</w:t>
            </w:r>
          </w:p>
        </w:tc>
        <w:tc>
          <w:tcPr>
            <w:tcW w:w="2125" w:type="dxa"/>
            <w:gridSpan w:val="2"/>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划分距离（m）</w:t>
            </w:r>
          </w:p>
        </w:tc>
        <w:tc>
          <w:tcPr>
            <w:tcW w:w="2362" w:type="dxa"/>
            <w:gridSpan w:val="2"/>
            <w:tcBorders>
              <w:top w:val="single" w:color="auto"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相邻功能区类型</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高速公路、城市快速路</w:t>
            </w:r>
            <w:r>
              <w:rPr>
                <w:rFonts w:hint="eastAsia" w:ascii="方正仿宋_GBK" w:hAnsi="方正仿宋_GBK" w:eastAsia="方正仿宋_GBK"/>
                <w:color w:val="000000"/>
                <w:kern w:val="2"/>
                <w:sz w:val="28"/>
                <w:lang w:val="zh-CN"/>
              </w:rPr>
              <w:t>、</w:t>
            </w:r>
            <w:r>
              <w:rPr>
                <w:rFonts w:hint="eastAsia" w:ascii="方正仿宋_GBK" w:hAnsi="方正仿宋_GBK" w:eastAsia="方正仿宋_GBK"/>
                <w:color w:val="auto"/>
                <w:kern w:val="2"/>
                <w:sz w:val="28"/>
                <w:lang w:val="zh-CN"/>
              </w:rPr>
              <w:t>城市轨道交通（钢轨</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地面段）、铁路</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一级公路、城市主干路、</w:t>
            </w:r>
            <w:r>
              <w:rPr>
                <w:rFonts w:hint="eastAsia" w:ascii="方正仿宋_GBK" w:hAnsi="方正仿宋_GBK" w:eastAsia="方正仿宋_GBK"/>
                <w:color w:val="000000"/>
                <w:kern w:val="2"/>
                <w:sz w:val="28"/>
                <w:lang w:val="zh-CN"/>
              </w:rPr>
              <w:t>内河航道</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43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二级公路、城市次干路、城市轨道交通（胶轨</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地面段）</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462"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99" w:hRule="exact"/>
          <w:jc w:val="center"/>
        </w:trPr>
        <w:tc>
          <w:tcPr>
            <w:tcW w:w="4294" w:type="dxa"/>
            <w:gridSpan w:val="2"/>
            <w:vMerge w:val="continue"/>
            <w:tcBorders>
              <w:top w:val="single" w:color="808080" w:sz="4" w:space="0"/>
              <w:left w:val="single" w:color="auto"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15</w:t>
            </w:r>
          </w:p>
        </w:tc>
        <w:tc>
          <w:tcPr>
            <w:tcW w:w="2362"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bl>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2﹒声环境质量标准</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根据《声环境质量标准》（GB3096-2008）的规定，0类、1类、2类、3类和4类区标准限值见下表1。</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表2 声环境噪声限值</w:t>
      </w:r>
    </w:p>
    <w:tbl>
      <w:tblPr>
        <w:tblStyle w:val="12"/>
        <w:tblW w:w="8505" w:type="dxa"/>
        <w:jc w:val="center"/>
        <w:tblInd w:w="-28" w:type="dxa"/>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1085"/>
        <w:gridCol w:w="2043"/>
        <w:gridCol w:w="10"/>
        <w:gridCol w:w="2625"/>
        <w:gridCol w:w="10"/>
        <w:gridCol w:w="2712"/>
        <w:gridCol w:w="10"/>
      </w:tblGrid>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50" w:hRule="atLeast"/>
          <w:jc w:val="center"/>
        </w:trPr>
        <w:tc>
          <w:tcPr>
            <w:tcW w:w="3138" w:type="dxa"/>
            <w:gridSpan w:val="3"/>
            <w:vMerge w:val="restart"/>
            <w:tcBorders>
              <w:top w:val="single" w:color="auto"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声环境功能区类别</w:t>
            </w:r>
          </w:p>
        </w:tc>
        <w:tc>
          <w:tcPr>
            <w:tcW w:w="535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标准值类eq（dBA）</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76" w:hRule="atLeast"/>
          <w:jc w:val="center"/>
        </w:trPr>
        <w:tc>
          <w:tcPr>
            <w:tcW w:w="3138" w:type="dxa"/>
            <w:gridSpan w:val="3"/>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65</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77" w:hRule="atLeast"/>
          <w:jc w:val="center"/>
        </w:trPr>
        <w:tc>
          <w:tcPr>
            <w:tcW w:w="1095"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w:t>
            </w:r>
            <w:r>
              <w:rPr>
                <w:rFonts w:hint="eastAsia" w:ascii="方正仿宋_GBK" w:hAnsi="方正仿宋_GBK" w:eastAsia="方正仿宋_GBK"/>
                <w:color w:val="auto"/>
                <w:kern w:val="2"/>
                <w:sz w:val="28"/>
                <w:lang w:val="zh-CN"/>
              </w:rPr>
              <w:t>类</w:t>
            </w:r>
          </w:p>
        </w:tc>
        <w:tc>
          <w:tcPr>
            <w:tcW w:w="2043" w:type="dxa"/>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4a</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1095" w:type="dxa"/>
            <w:gridSpan w:val="2"/>
            <w:vMerge w:val="continue"/>
            <w:tcBorders>
              <w:top w:val="single" w:color="808080" w:sz="4" w:space="0"/>
              <w:left w:val="single" w:color="auto"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043" w:type="dxa"/>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4b</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70</w:t>
            </w:r>
          </w:p>
        </w:tc>
        <w:tc>
          <w:tcPr>
            <w:tcW w:w="2722"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60</w:t>
            </w:r>
          </w:p>
        </w:tc>
      </w:tr>
    </w:tbl>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三、区划步骤</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（一）基础数据入库。</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通过数据编辑与处理、错误修正、数据格式转化、数据比例转化、投影变换、数据概化、数据重构、地理编码等方法，建立包含城乡总体规划和城市总体规划数据、城市和乡镇控制性详细规划、高分遥感影像数据、土地利用规划数据、城市交通规划数据等的声环境功能区地理数据库，保证数据在空间与内容上的完整性、逻辑上的一致性。</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（二）划分噪声区划单元。</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根据城乡规划建设用地边界划定此次声环境功能区区划的范围，利用道路交通规划的城市交通要道、城市行政区划及自然地貌确定声环境区划单元，原则上，单块声功能区面积不低于0.5km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（三）确定声环境功能区类型。</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1﹒根据《重庆市声环境功能区划分技术规范实施细则（试行）》（渝环〔2015〕429号），首先对0、1、3类声环境功能区确认划分，余下区域划分为2类声环境功能区，在此基础上划分4类声环境功能区。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2﹒交通干线两侧一定区域按以下标准划定4类声功能区：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（1）城区内已建成高速公路、城市主干道、次干道根据表1划为4a类声环境功能区。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（2）城区内已建成铁路根据表1划为4b类声环境功能区。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（3）对于4a类声环境功能区和4b类声环境功能区有重叠的区域，划为4b类声环境功能区。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（4）交通干线建设规划实施前按当前声环境功能区划定，规划实施后适时调整为相应4类声环境功能区。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3、大型公交枢纽站、高速服务区、汽车站等区域划为4a类声环境功能区，火车站、动车站等划为4b类声环境功能区。</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（四）综合分析。</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以荣昌区高分遥感影像数据为基础，利用GIS空间分析功能，将各功能区进行空间叠加、拓扑查错、单元合并等综合分析，得到荣昌区声环境功能区划的初步成果。</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（五）现场踏勘与优化。</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基于初步空间成果，选取复杂和典型区域进行现场核查，重点对学校、医院等敏感区域以及功能区边界核查，对不合理的声环境单元进行校正、调整和优化。</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（六）综合制图。</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根据环境噪声功能区调整、划分数据成果，以GIS专题地图形式编制荣昌区环境噪声功能区专题图。</w:t>
      </w: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四、荣昌城区声环境功能区划分结果</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以城市功能、城市用地类型、交通干线、自然地貌等边界作为声环境区划单元主要依据，在空间叠加及合并的基础上，荣昌区声功能区划定面积为79.15km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，其中中心城区声环境噪声功能区划定面积为60.85km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，集镇声环境噪声功能区划定面积为18.30km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中心城区0类声环境功能区0个；1类声环境功能区划单元10个，区划面积为12.36km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，占总区划面积的20.31%；2类声环境功能区划单元9个，区划面积为12.12km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，占总区划面积的19.92%；3类声环境功能区划单元4个，区划面积为22.75km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，占总区划面积的37.39%；4a类声功能区划面积为区划面积为11.00km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，占总区划面积的18.08%；4b类声功能区划面积为区划面积为2.63km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，占总区划面积的4.32%，荣昌区城市区域声环境功能区划图及数据信息表见附录二和附录三。</w:t>
      </w:r>
      <w:r>
        <w:rPr>
          <w:rFonts w:hint="default" w:ascii="Times New Roman" w:hAnsi="Times New Roman" w:eastAsia="Times New Roman"/>
          <w:color w:val="auto"/>
          <w:spacing w:val="-6"/>
          <w:kern w:val="2"/>
          <w:sz w:val="32"/>
          <w:lang w:val="en-US"/>
        </w:rPr>
        <w:t xml:space="preserve"> </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（一）1类、2类和3类声环境功能区划分结果。</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荣昌区城市区域声环境功能区划图见附录一，各类声环境功能区边界或范围详见表3~表5。</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表3 荣昌中心城区1类声环境功能区边界或范围规定</w:t>
      </w:r>
    </w:p>
    <w:tbl>
      <w:tblPr>
        <w:tblStyle w:val="12"/>
        <w:tblW w:w="8922" w:type="dxa"/>
        <w:jc w:val="center"/>
        <w:tblInd w:w="-28" w:type="dxa"/>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62"/>
        <w:gridCol w:w="10"/>
        <w:gridCol w:w="1180"/>
        <w:gridCol w:w="10"/>
        <w:gridCol w:w="4569"/>
        <w:gridCol w:w="10"/>
        <w:gridCol w:w="864"/>
        <w:gridCol w:w="10"/>
        <w:gridCol w:w="694"/>
        <w:gridCol w:w="10"/>
        <w:gridCol w:w="683"/>
        <w:gridCol w:w="10"/>
      </w:tblGrid>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50" w:hRule="atLeast"/>
          <w:jc w:val="center"/>
        </w:trPr>
        <w:tc>
          <w:tcPr>
            <w:tcW w:w="2062"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579"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74"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39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223"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579"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74"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1144"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5001531L01</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濑溪河以西、成渝路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成渝铁路以南、成渝路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1.67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5001531L02</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恒荣路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香国大道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濑溪河以西、渝昆高速以南居住文教区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2.63</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5001531L03</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成渝铁路以北、昌州大道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谭家坡街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西大街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成渝路以南、209县道以东居住文教区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0.98</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5001531L04</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人民路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玉屏街以北、海棠路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宝城东路以西、香国大道以南、恒荣路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上河路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后西二街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人民四支路以东居住文教区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5001531L05</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富安北路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迎宾大道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昌龙大道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成渝铁路以北、渝昆高速以南、棠香北街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宝城东路以东居住区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1.72</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995"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5001531L06</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规划</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渝昆高速以北、朝阳路以西、濑溪河以东规划居住区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5001531L07</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龙华二路以北、荣昌北站（不含）以西、成渝铁路以南、朝阳路以东规划居住文教区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0.71</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5001531L08</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规划生态居住区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渝昆高速以北、成渝铁路以西、龙华三路（规划）以南、科园路（规划）以东规划生态居住区域</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1.18</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901"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5001531L09</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生态</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庙山路以北、启明路以西、昌州大道以南生态居住区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0.77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971" w:hRule="atLeast"/>
          <w:jc w:val="center"/>
        </w:trPr>
        <w:tc>
          <w:tcPr>
            <w:tcW w:w="872"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5001531L10</w:t>
            </w:r>
          </w:p>
        </w:tc>
        <w:tc>
          <w:tcPr>
            <w:tcW w:w="1190"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规划居住文教区</w:t>
            </w:r>
          </w:p>
        </w:tc>
        <w:tc>
          <w:tcPr>
            <w:tcW w:w="4579"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昌州大道以北、干坝子村（不含）以东规划居住文教区域</w:t>
            </w:r>
          </w:p>
        </w:tc>
        <w:tc>
          <w:tcPr>
            <w:tcW w:w="874"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0.96</w:t>
            </w:r>
          </w:p>
        </w:tc>
        <w:tc>
          <w:tcPr>
            <w:tcW w:w="704"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bl>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表4 荣昌区中心城区2类声环境功能区边界或范围规定</w:t>
      </w:r>
    </w:p>
    <w:tbl>
      <w:tblPr>
        <w:tblStyle w:val="12"/>
        <w:tblW w:w="8769" w:type="dxa"/>
        <w:jc w:val="center"/>
        <w:tblInd w:w="-28" w:type="dxa"/>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59"/>
        <w:gridCol w:w="10"/>
        <w:gridCol w:w="1265"/>
        <w:gridCol w:w="10"/>
        <w:gridCol w:w="4481"/>
        <w:gridCol w:w="10"/>
        <w:gridCol w:w="817"/>
        <w:gridCol w:w="10"/>
        <w:gridCol w:w="662"/>
        <w:gridCol w:w="10"/>
        <w:gridCol w:w="615"/>
        <w:gridCol w:w="10"/>
      </w:tblGrid>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50" w:hRule="atLeast"/>
          <w:jc w:val="center"/>
        </w:trPr>
        <w:tc>
          <w:tcPr>
            <w:tcW w:w="2144"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491"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27"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29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76" w:hRule="atLeast"/>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491"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27"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5001532L01</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安富街道居住、商业区域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4.49</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5001532L02</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成渝铁路以北、209县道以西、广顺小学（含）以东广顺街道集镇居住、商业区域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0.93</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5001532L03</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西大街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谭家坡街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昌州大道红岩路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城南大道-环保产业园（不含）</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成渝铁路以北、迎宾大道以西、昌州大道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玉屏街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人民四支路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后西二街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上河路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广场路以南、濑溪河东居住、商业区域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1.67</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5001532L04</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居住、商业、工业混合区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尚书路延伸路以北、嘉吉普瑞纳大道以西、荣升路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天正路以西、昌州大道以南、迎宾大道以东居住、商业、工业混合区</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0.89</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5001532L05</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昌州大道以北、成渝铁路以西、昌龙大道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迎宾大道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富安北路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濑溪河以南、海棠北路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海棠路以东居住、商业区域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1.50</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5001532L06</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科园路（规划）</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龙华三路（规划）以北、干坝子村（含）以西、荣昌北站</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荣昌北站纵向西路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龙华二路以南、朝阳路以东规划居住、商业区域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1.71</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1124" w:hRule="atLeast"/>
          <w:jc w:val="center"/>
        </w:trPr>
        <w:tc>
          <w:tcPr>
            <w:tcW w:w="869"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5001532L07</w:t>
            </w:r>
          </w:p>
        </w:tc>
        <w:tc>
          <w:tcPr>
            <w:tcW w:w="127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渝昆高速以北、昌州大道以南、荣昌高新区（不含）以东居住、商业区域</w:t>
            </w:r>
          </w:p>
        </w:tc>
        <w:tc>
          <w:tcPr>
            <w:tcW w:w="827"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0.93</w:t>
            </w:r>
          </w:p>
        </w:tc>
        <w:tc>
          <w:tcPr>
            <w:tcW w:w="672"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bl>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仁义镇、吴家镇、双河街道、盘龙镇、铜鼓镇、清流镇、观胜镇、远觉镇、直升镇、清江镇、清升镇、万灵镇、龙集镇、河包镇、古昌镇、荣隆镇集镇区域执行2类声环境标准。</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表5 荣昌区中心城区3类声环境功能区边界或范围规定</w:t>
      </w:r>
    </w:p>
    <w:tbl>
      <w:tblPr>
        <w:tblStyle w:val="12"/>
        <w:tblW w:w="8568" w:type="dxa"/>
        <w:jc w:val="center"/>
        <w:tblInd w:w="-28" w:type="dxa"/>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87"/>
        <w:gridCol w:w="10"/>
        <w:gridCol w:w="928"/>
        <w:gridCol w:w="10"/>
        <w:gridCol w:w="4502"/>
        <w:gridCol w:w="10"/>
        <w:gridCol w:w="821"/>
        <w:gridCol w:w="10"/>
        <w:gridCol w:w="676"/>
        <w:gridCol w:w="10"/>
        <w:gridCol w:w="684"/>
        <w:gridCol w:w="10"/>
      </w:tblGrid>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50" w:hRule="atLeast"/>
          <w:jc w:val="center"/>
        </w:trPr>
        <w:tc>
          <w:tcPr>
            <w:tcW w:w="1835"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512"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31"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380"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76" w:hRule="atLeast"/>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512"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31"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5001533L01</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濑溪河以北、209县道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广顺小学（不含）以西广顺工业园工业区</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7.62</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5001533L02</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红岩路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城南大道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环保产业园（含）以南、迎宾大道以西规划工业区</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2.67</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5001533L03</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荣昌高新区迎宾大道以东工业区域</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11.48</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5001533L04</w:t>
            </w:r>
          </w:p>
        </w:tc>
        <w:tc>
          <w:tcPr>
            <w:tcW w:w="938"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渝昆高速以北、濑溪河以西工业区</w:t>
            </w:r>
          </w:p>
        </w:tc>
        <w:tc>
          <w:tcPr>
            <w:tcW w:w="831"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0.98</w:t>
            </w:r>
          </w:p>
        </w:tc>
        <w:tc>
          <w:tcPr>
            <w:tcW w:w="686"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bl>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荣隆工业园、吴家镇规划工业用地区域、双河街道国营益民机械厂和许家沟煤矿工业区执行3类声环境标准。</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（二）4类声环境功能区划分结果。</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根据《声环境质量标准》（GB3096-2008）的规定，根据现场调查并结合相应规划，确定荣昌城区内高速公路、城市主干路、城市次干路、铁路等61条道路为交通干线，具体名单如下：</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1﹒交通干线</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（1）4a类交通干线</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①高速公路（1条）：</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渝昆高速城区内路段。</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②主干路（26条）：</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工业大道、广安路、成渝路、广顺大道、组团第二通道、昌州大道、迎宾大道、学院路、嘉吉普瑞纳大道、香国大道、统升路、尚书路、宝城东路、灯饰大道、海棠北路、昌龙大道、朝阳路、灵方大道、启明路、荣昌大道、龙华二路、宝城路、海棠路、龙华三路、陶都大道、林溪路。</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③次干路（32条）：</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广盘路、红岩路、凤鸣路、城南大道、荣滨北路、荣升路、天正路、恒荣路、富安北路、荣滨南路、广场路、庙山路、国泰路、花园路、荣昌北站纵向西路、向阳路、棠香北街、荣庆路、板桥路、园丁街、龙华一路、富安南路、棠香南街、颐和街、民安街、海棠四支路、玉屏街、东环路、东湖三支路、小康路、人民路、兴发路。</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（2）4b类交通干线</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成渝铁路、成渝高铁等城区内路段。</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2﹒交通枢纽站（场）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（1）4a类交通枢纽站（场）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荣昌汽车站、荣昌汽车总站、荣昌服务区、富吉汽车站。</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（2）4b类交通枢纽站（场）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荣昌站、广顺站、荣昌北站、峰高铺站。</w:t>
      </w: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五、组织实施</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（一）强化监测评估。</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建立城区噪声监测评估制度，及时制定辖区噪声监测方案和评估计划，合理设置环境噪声监测网络，组织开展区域声环境质量监视性监测，定期向社会公布监测结果和声环境质量报告。根据国家和市级相关环境监测技术，开展城区声环境质量监测、调查评估和达标考核工作，及时将声环境质量现状及变化趋势向市级环境保护主管部门和区人民政府报告。</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（二）加强源头预防。</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根据声功能区划结果，及时制定辖区声环境保护方案，加强工业噪声、交通噪声、社会生活噪声和施工噪声控制，从源头削减噪声污染。对于不达标的声功能区，制定声环境功能区整治达标方案，分年度确定声环境整治目标和任务，逐步提高辖区声环境功能区达标率。</w:t>
      </w:r>
      <w:r>
        <w:rPr>
          <w:rFonts w:hint="default" w:ascii="Times New Roman" w:hAnsi="Times New Roman" w:eastAsia="Times New Roman"/>
          <w:color w:val="000000"/>
          <w:kern w:val="2"/>
          <w:sz w:val="32"/>
          <w:lang w:val="en-US"/>
        </w:rPr>
        <w:t xml:space="preserve"> </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（三）推进空间管控。</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城乡建设规划应当依据声环境功能区划要求，统筹城市建设时序和用地布局，预留新开发的居住、教学、办公、卫生医疗等用途建筑物与交通干线的防护距离，防止或减轻环境噪声污染。新（改扩）建高速公路、城市快速路、城市高架、轨道等交通项目，应合理规避0类和1类声功能区和噪声敏感建筑物集中区域，并依法依规落实噪声污染防护措施。</w:t>
      </w:r>
    </w:p>
    <w:p>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（四）严格修改程序。</w:t>
      </w:r>
    </w:p>
    <w:p>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声环境功能区划的调整和修改，应当按照《重庆市环境保护条例》要求，履行修改申请、评估、审批和备案等程序。声环境功能区划原则上每</w:t>
      </w:r>
      <w:r>
        <w:rPr>
          <w:rFonts w:hint="default" w:ascii="Times New Roman" w:hAnsi="Times New Roman" w:eastAsia="Times New Roman"/>
          <w:color w:val="000000"/>
          <w:kern w:val="2"/>
          <w:sz w:val="32"/>
          <w:lang w:val="en-US"/>
        </w:rPr>
        <w:t>5</w:t>
      </w:r>
      <w:r>
        <w:rPr>
          <w:rFonts w:hint="eastAsia" w:ascii="方正仿宋_GBK" w:hAnsi="方正仿宋_GBK" w:eastAsia="方正仿宋_GBK"/>
          <w:color w:val="000000"/>
          <w:kern w:val="2"/>
          <w:sz w:val="32"/>
          <w:lang w:val="zh-CN"/>
        </w:rPr>
        <w:t>年调整一次；因城市建设和重大规划实施调整，可实施动态修编并按原程序报批。</w:t>
      </w: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六、荣昌城区声环境功能区划分其他说明</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乡村区域声环境功能区的规定：位于乡村的康复疗养区为0类声功能区；乡村村庄以及位于乡村的连片住宅区为1类声环境功能区；一般城镇及乡村集镇为2类声环境功能区；独立于乡村集镇、村庄的工业、仓储、物流企业集中区域或乡村地区的工业集聚区为3类声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2﹒声环境功能区边界附近建设项目要确保高标准功能区一侧的敏感点达标，环境保护主管部门应当加强低标准边界侧的噪声治理，确保高标准功能区的标准实施。</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3﹒随着城市规划的逐步实施，区域功能与规划目标较大的区域，要以实际建设用地状况作为区划的主要依据，及时调整声功能区。</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4﹒本方案由荣昌区环境保护行政主管部门负责组织实施。</w:t>
      </w:r>
    </w:p>
    <w:p>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5﹒本方案未尽事宜，参照有关法律、法规和规章的相关条款执行。</w:t>
      </w:r>
    </w:p>
    <w:p>
      <w:pPr>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方正黑体_GBK" w:hAnsi="方正黑体_GBK" w:eastAsia="方正黑体_GBK"/>
          <w:color w:val="auto"/>
          <w:kern w:val="2"/>
          <w:sz w:val="32"/>
          <w:lang w:val="zh-CN"/>
        </w:rPr>
      </w:pPr>
      <w:r>
        <w:rPr>
          <w:rFonts w:hint="default" w:ascii="Cambria" w:hAnsi="Cambria" w:eastAsia="Cambria"/>
          <w:b/>
          <w:color w:val="auto"/>
          <w:spacing w:val="-6"/>
          <w:kern w:val="2"/>
          <w:sz w:val="32"/>
          <w:lang w:val="en-US"/>
        </w:rPr>
        <w:br w:type="page"/>
      </w:r>
      <w:r>
        <w:rPr>
          <w:rFonts w:hint="eastAsia" w:ascii="方正黑体_GBK" w:hAnsi="方正黑体_GBK" w:eastAsia="方正黑体_GBK"/>
          <w:color w:val="auto"/>
          <w:kern w:val="2"/>
          <w:sz w:val="32"/>
          <w:lang w:val="zh-CN"/>
        </w:rPr>
        <w:t>附录一  荣昌区声功能区划范围图</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方正仿宋_GBK" w:hAnsi="方正仿宋_GBK" w:eastAsia="方正仿宋_GBK" w:cs="方正仿宋_GBK"/>
          <w:kern w:val="0"/>
          <w:sz w:val="32"/>
          <w:szCs w:val="32"/>
          <w:shd w:val="clear" w:color="auto" w:fill="FFFFFF"/>
          <w:lang w:eastAsia="zh-CN" w:bidi="ar-SA"/>
        </w:rPr>
      </w:pPr>
      <w:r>
        <w:rPr>
          <w:rFonts w:hint="eastAsia" w:ascii="宋体" w:hAnsi="宋体" w:eastAsia="宋体"/>
          <w:color w:val="auto"/>
          <w:sz w:val="22"/>
          <w:lang w:val="zh-CN"/>
        </w:rPr>
        <w:drawing>
          <wp:inline distT="0" distB="0" distL="114300" distR="114300">
            <wp:extent cx="4751705" cy="6721475"/>
            <wp:effectExtent l="0" t="0" r="10795"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4751705" cy="6721475"/>
                    </a:xfrm>
                    <a:prstGeom prst="rect">
                      <a:avLst/>
                    </a:prstGeom>
                    <a:noFill/>
                    <a:ln>
                      <a:noFill/>
                    </a:ln>
                  </pic:spPr>
                </pic:pic>
              </a:graphicData>
            </a:graphic>
          </wp:inline>
        </w:drawing>
      </w:r>
      <w:r>
        <w:rPr>
          <w:rFonts w:hint="eastAsia" w:ascii="方正仿宋_GBK" w:hAnsi="方正仿宋_GBK" w:eastAsia="方正仿宋_GBK" w:cs="方正仿宋_GBK"/>
          <w:kern w:val="0"/>
          <w:sz w:val="32"/>
          <w:szCs w:val="32"/>
          <w:shd w:val="clear" w:color="auto" w:fill="FFFFFF"/>
          <w:lang w:val="en-US" w:eastAsia="zh-CN" w:bidi="ar-SA"/>
        </w:rPr>
        <w:t xml:space="preserve">           </w:t>
      </w:r>
    </w:p>
    <w:p>
      <w:pPr>
        <w:keepNext w:val="0"/>
        <w:keepLines w:val="0"/>
        <w:pageBreakBefore w:val="0"/>
        <w:tabs>
          <w:tab w:val="left" w:pos="3735"/>
        </w:tabs>
        <w:kinsoku/>
        <w:overflowPunct/>
        <w:topLinePunct w:val="0"/>
        <w:autoSpaceDE/>
        <w:autoSpaceDN/>
        <w:bidi w:val="0"/>
        <w:adjustRightInd/>
        <w:spacing w:line="600" w:lineRule="exac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3" w:type="default"/>
          <w:footerReference r:id="rId4" w:type="default"/>
          <w:pgSz w:w="11906" w:h="16838"/>
          <w:pgMar w:top="1962" w:right="1474" w:bottom="1848" w:left="1587" w:header="851" w:footer="992" w:gutter="0"/>
          <w:pgNumType w:fmt="numberInDash" w:start="1"/>
          <w:cols w:space="0" w:num="1"/>
          <w:rtlGutter w:val="0"/>
          <w:docGrid w:type="lines" w:linePitch="316" w:charSpace="0"/>
        </w:sectPr>
      </w:pPr>
    </w:p>
    <w:p>
      <w:pPr>
        <w:pStyle w:val="11"/>
        <w:spacing w:before="0" w:after="0" w:line="594" w:lineRule="exact"/>
        <w:jc w:val="left"/>
        <w:rPr>
          <w:rFonts w:hint="default" w:ascii="方正黑体_GBK" w:hAnsi="Times New Roman" w:eastAsia="方正黑体_GBK"/>
          <w:b w:val="0"/>
          <w:sz w:val="32"/>
          <w:lang w:val="en-US" w:eastAsia="zh-CN"/>
        </w:rPr>
      </w:pPr>
      <w:bookmarkStart w:id="0" w:name="_Toc517272525"/>
      <w:bookmarkStart w:id="1" w:name="_Toc503822790"/>
      <w:r>
        <w:rPr>
          <w:rFonts w:hint="eastAsia" w:ascii="方正黑体_GBK" w:hAnsi="Times New Roman" w:eastAsia="方正黑体_GBK"/>
          <w:b w:val="0"/>
          <w:sz w:val="32"/>
          <w:lang w:eastAsia="zh-CN"/>
        </w:rPr>
        <w:t>附录二</w:t>
      </w:r>
      <w:r>
        <w:rPr>
          <w:rFonts w:hint="eastAsia" w:ascii="方正黑体_GBK" w:hAnsi="Times New Roman" w:eastAsia="方正黑体_GBK"/>
          <w:b w:val="0"/>
          <w:sz w:val="32"/>
          <w:lang w:val="en-US" w:eastAsia="zh-CN"/>
        </w:rPr>
        <w:t xml:space="preserve">  荣昌区声功能区划图</w:t>
      </w:r>
    </w:p>
    <w:p>
      <w:pPr>
        <w:pStyle w:val="11"/>
        <w:spacing w:before="0" w:after="0" w:line="594" w:lineRule="exact"/>
        <w:jc w:val="left"/>
        <w:rPr>
          <w:rFonts w:hint="eastAsia" w:ascii="方正黑体_GBK" w:hAnsi="Times New Roman" w:eastAsia="方正黑体_GBK"/>
          <w:b w:val="0"/>
          <w:sz w:val="32"/>
        </w:rPr>
      </w:pPr>
      <w:r>
        <w:rPr>
          <w:rFonts w:ascii="方正黑体_GBK" w:hAnsi="Times New Roman" w:eastAsia="方正黑体_GBK"/>
          <w:sz w:val="32"/>
        </w:rPr>
        <w:drawing>
          <wp:anchor distT="0" distB="0" distL="114300" distR="114300" simplePos="0" relativeHeight="251658240" behindDoc="0" locked="0" layoutInCell="1" allowOverlap="1">
            <wp:simplePos x="0" y="0"/>
            <wp:positionH relativeFrom="column">
              <wp:posOffset>649605</wp:posOffset>
            </wp:positionH>
            <wp:positionV relativeFrom="paragraph">
              <wp:posOffset>80645</wp:posOffset>
            </wp:positionV>
            <wp:extent cx="6804025" cy="4811395"/>
            <wp:effectExtent l="0" t="0" r="15875" b="8255"/>
            <wp:wrapNone/>
            <wp:docPr id="7" name="图片 3" descr="D:\周欢\声功能区划\声功能区划\声功能区划分成果\荣昌\荣昌-博达查看后\荣昌横向分图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周欢\声功能区划\声功能区划\声功能区划分成果\荣昌\荣昌-博达查看后\荣昌横向分图619.jpg"/>
                    <pic:cNvPicPr>
                      <a:picLocks noChangeAspect="1"/>
                    </pic:cNvPicPr>
                  </pic:nvPicPr>
                  <pic:blipFill>
                    <a:blip r:embed="rId9"/>
                    <a:stretch>
                      <a:fillRect/>
                    </a:stretch>
                  </pic:blipFill>
                  <pic:spPr>
                    <a:xfrm>
                      <a:off x="0" y="0"/>
                      <a:ext cx="6804025" cy="4811395"/>
                    </a:xfrm>
                    <a:prstGeom prst="rect">
                      <a:avLst/>
                    </a:prstGeom>
                    <a:noFill/>
                    <a:ln>
                      <a:noFill/>
                    </a:ln>
                  </pic:spPr>
                </pic:pic>
              </a:graphicData>
            </a:graphic>
          </wp:anchor>
        </w:drawing>
      </w: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hint="eastAsia" w:ascii="方正黑体_GBK" w:hAnsi="Times New Roman" w:eastAsia="方正黑体_GBK"/>
          <w:b w:val="0"/>
          <w:sz w:val="32"/>
        </w:rPr>
      </w:pPr>
    </w:p>
    <w:p>
      <w:pPr>
        <w:pStyle w:val="11"/>
        <w:spacing w:before="0" w:after="0" w:line="594" w:lineRule="exact"/>
        <w:jc w:val="left"/>
        <w:rPr>
          <w:rFonts w:ascii="方正黑体_GBK" w:hAnsi="Times New Roman" w:eastAsia="方正黑体_GBK"/>
          <w:b w:val="0"/>
          <w:sz w:val="32"/>
        </w:rPr>
      </w:pPr>
      <w:r>
        <w:rPr>
          <w:rFonts w:hint="eastAsia" w:ascii="方正黑体_GBK" w:hAnsi="Times New Roman" w:eastAsia="方正黑体_GBK"/>
          <w:b w:val="0"/>
          <w:sz w:val="32"/>
        </w:rPr>
        <w:t>附录三  荣昌区区声功能区单元基础信息表</w:t>
      </w:r>
      <w:bookmarkEnd w:id="0"/>
      <w:bookmarkEnd w:id="1"/>
    </w:p>
    <w:tbl>
      <w:tblPr>
        <w:tblStyle w:val="12"/>
        <w:tblW w:w="13495" w:type="dxa"/>
        <w:jc w:val="center"/>
        <w:tblInd w:w="0" w:type="dxa"/>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1162"/>
        <w:gridCol w:w="728"/>
        <w:gridCol w:w="714"/>
        <w:gridCol w:w="1302"/>
        <w:gridCol w:w="3352"/>
        <w:gridCol w:w="908"/>
        <w:gridCol w:w="1976"/>
        <w:gridCol w:w="3353"/>
      </w:tblGrid>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tblHeader/>
          <w:jc w:val="center"/>
        </w:trPr>
        <w:tc>
          <w:tcPr>
            <w:tcW w:w="1162"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QHDYBM</w:t>
            </w:r>
          </w:p>
        </w:tc>
        <w:tc>
          <w:tcPr>
            <w:tcW w:w="728"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SJ</w:t>
            </w:r>
          </w:p>
        </w:tc>
        <w:tc>
          <w:tcPr>
            <w:tcW w:w="714"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QXJ</w:t>
            </w:r>
          </w:p>
        </w:tc>
        <w:tc>
          <w:tcPr>
            <w:tcW w:w="1302"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AREA_KM2_</w:t>
            </w:r>
          </w:p>
        </w:tc>
        <w:tc>
          <w:tcPr>
            <w:tcW w:w="3352"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ZDYDLX</w:t>
            </w:r>
          </w:p>
        </w:tc>
        <w:tc>
          <w:tcPr>
            <w:tcW w:w="908"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SGNQLX</w:t>
            </w:r>
          </w:p>
        </w:tc>
        <w:tc>
          <w:tcPr>
            <w:tcW w:w="1976"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DLWZ</w:t>
            </w:r>
          </w:p>
        </w:tc>
        <w:tc>
          <w:tcPr>
            <w:tcW w:w="3353" w:type="dxa"/>
            <w:noWrap w:val="0"/>
            <w:vAlign w:val="center"/>
          </w:tcPr>
          <w:p>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BZ</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5001531L01</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一类居住用地、公园绿地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广顺街道—昌元街道—昌州街道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5001531L02</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2.63</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一类居住用地、公园绿地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广顺街道—昌元街道—昌州街道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5001531L03</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0.98</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二类居住用地、教育科研用地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西南大学荣昌校区、荣昌中医院</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5001531L04</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二类居住用地、中小学用地、医疗卫生用地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荣昌人民医院、妇幼保健院、荣昌中学、实验小学</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5001531L05</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1.72</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二类居住用地、公园绿地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5001531L06</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5001531L07</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0.71</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二类居住用地、行政办公用地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5001531L08</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1.18</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5001531L09</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二类居住用地、生态绿地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昌州街道—峰高街道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渝西植物园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5001531L10</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0.96</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昌州街道—峰高街道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5001532L01</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4.49</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安富街道集镇</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5001532L02</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0.93</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居住用地、商业用地、中小学用地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安富街道—广顺街道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广顺小学、永荣中学</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5001532L03</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大成中学、康宇广场、大润发超市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5001532L04</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0.89</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仁和安置区、五洲国际</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5001532L05</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1.50</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二类居住用地、商业用地、中小学用地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玉伍初级中学</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5001532L06</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1.71</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5001532L07</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0.93</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居住用地、商业用地、物流用地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峰高街道—昌州街道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5001532L08</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0.23</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古昌镇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古昌镇集市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5001532L09</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5001532L10</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0.16</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铜鼓镇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铜鼓镇集市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5001532L11</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二类居住用地、商业用地、工业用地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仁义镇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仁义镇集市（含规划）</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5001532L12</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2.92</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5001532L13</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3.54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二类居住用地、工业用地、商业用地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5001532L14</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2.31</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二类居住用地、工业用地、商业用地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盘龙镇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盘龙镇集市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5001532L15</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清流镇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清流镇集市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5001532L16</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0.07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观胜镇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观胜镇集市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5001532L17</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远觉镇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远觉镇集市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5001532L18</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0.07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直升镇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直升镇集市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5001532L19</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清江镇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清江镇集市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5001532L20</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0.16</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清升镇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清升镇集市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5001532L21</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0.39</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万灵镇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万灵镇集市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5001532L22</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0.11</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龙集镇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龙集镇集市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5001532L23</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0.34</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河包镇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河包镇集市</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5001533L01</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7.62</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安富街道—广顺街道—清升镇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广富工业园区</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5001533L02</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2.67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物流仓储用地、工业用地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荣昌高新区</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5001533L03</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11.48</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昌州街道—直升镇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荣昌高新区</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5001533L04</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0.98</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pPr>
              <w:snapToGrid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5001533L05</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2.18</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荣隆工业园</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5001533L06</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0.77</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工业用地、二类居住用地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吴家镇规划工业用地区域</w:t>
            </w:r>
          </w:p>
        </w:tc>
      </w:tr>
      <w:tr>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Ex>
        <w:trPr>
          <w:trHeight w:val="255" w:hRule="atLeast"/>
          <w:jc w:val="center"/>
        </w:trPr>
        <w:tc>
          <w:tcPr>
            <w:tcW w:w="116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5001533L07</w:t>
            </w:r>
          </w:p>
        </w:tc>
        <w:tc>
          <w:tcPr>
            <w:tcW w:w="72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2.21</w:t>
            </w:r>
          </w:p>
        </w:tc>
        <w:tc>
          <w:tcPr>
            <w:tcW w:w="3352"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w:t>
            </w:r>
          </w:p>
        </w:tc>
        <w:tc>
          <w:tcPr>
            <w:tcW w:w="3353" w:type="dxa"/>
            <w:noWrap w:val="0"/>
            <w:vAlign w:val="center"/>
          </w:tcPr>
          <w:p>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双河街道国营益民机械厂、许家沟煤矿矿区</w:t>
            </w:r>
          </w:p>
        </w:tc>
      </w:tr>
    </w:tbl>
    <w:p>
      <w:pPr>
        <w:pStyle w:val="11"/>
        <w:spacing w:before="0" w:after="0" w:line="594" w:lineRule="exact"/>
        <w:jc w:val="left"/>
        <w:rPr>
          <w:rFonts w:ascii="方正黑体简体" w:hAnsi="Times New Roman" w:eastAsia="方正黑体简体"/>
          <w:b w:val="0"/>
        </w:rPr>
      </w:pPr>
    </w:p>
    <w:p>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pPr>
    </w:p>
    <w:sectPr>
      <w:headerReference r:id="rId5" w:type="default"/>
      <w:footerReference r:id="rId6" w:type="default"/>
      <w:pgSz w:w="16838" w:h="11906" w:orient="landscape"/>
      <w:pgMar w:top="1962" w:right="1474" w:bottom="1848"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楷体_GBK">
    <w:panose1 w:val="03000509000000000000"/>
    <w:charset w:val="86"/>
    <w:family w:val="script"/>
    <w:pitch w:val="default"/>
    <w:sig w:usb0="00000001" w:usb1="080E0000" w:usb2="00000000" w:usb3="00000000" w:csb0="00040000" w:csb1="00000000"/>
  </w:font>
  <w:font w:name="方正楷体简体">
    <w:altName w:val="宋体"/>
    <w:panose1 w:val="02010601030101010101"/>
    <w:charset w:val="86"/>
    <w:family w:val="script"/>
    <w:pitch w:val="default"/>
    <w:sig w:usb0="00000000" w:usb1="00000000" w:usb2="00000000" w:usb3="00000000" w:csb0="00040000" w:csb1="00000000"/>
  </w:font>
  <w:font w:name="方正黑体简体">
    <w:altName w:val="方正隶书_GBK"/>
    <w:panose1 w:val="03000509000000000000"/>
    <w:charset w:val="86"/>
    <w:family w:val="script"/>
    <w:pitch w:val="default"/>
    <w:sig w:usb0="00000000" w:usb1="00000000" w:usb2="00000010" w:usb3="00000000" w:csb0="00040000" w:csb1="00000000"/>
  </w:font>
  <w:font w:name="方正隶书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238"/>
      </w:tabs>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ab/>
      <w:t/>
    </w:r>
    <w:r>
      <w:rPr>
        <w:rFonts w:hint="eastAsia" w:eastAsia="仿宋"/>
        <w:sz w:val="32"/>
        <w:szCs w:val="48"/>
        <w:lang w:val="en-US" w:eastAsia="zh-CN"/>
      </w:rPr>
      <w:tab/>
      <w:t xml:space="preserve"> </w:t>
    </w:r>
  </w:p>
  <w:p>
    <w:pPr>
      <w:pStyle w:val="7"/>
      <w:wordWrap w:val="0"/>
      <w:ind w:left="1067" w:leftChars="508" w:firstLine="10115" w:firstLineChars="3161"/>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131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OnpdHUAAAABg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CN"/>
      </w:rPr>
      <w:t xml:space="preserve">重庆市荣昌区人民政府办公室发布     </w:t>
    </w:r>
  </w:p>
  <w:p>
    <w:pPr>
      <w:pStyle w:val="7"/>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788" w:leftChars="2280" w:firstLine="6400" w:firstLineChars="2000"/>
      <w:rPr>
        <w:sz w:val="32"/>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7"/>
      <w:ind w:left="4788" w:leftChars="2280" w:firstLine="6400" w:firstLineChars="2000"/>
      <w:rPr>
        <w:sz w:val="32"/>
      </w:rPr>
    </w:pP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-19050</wp:posOffset>
              </wp:positionH>
              <wp:positionV relativeFrom="paragraph">
                <wp:posOffset>140335</wp:posOffset>
              </wp:positionV>
              <wp:extent cx="828802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69504;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3Jgx31AAAAAkBAAAPAAAAAAAAAAEAIAAAACIAAABkcnMvZG93&#10;bnJldi54bWxQSwECFAAUAAAACACHTuJAhsx2ZMsBAABmAwAADgAAAAAAAAABACAAAAAjAQAAZHJz&#10;L2Uyb0RvYy54bWxQSwUGAAAAAAYABgBZAQAAYAUAAAAA&#10;">
              <v:fill on="f" focussize="0,0"/>
              <v:stroke weight="1.75pt" color="#005192 [3204]" miterlimit="8" joinstyle="miter"/>
              <v:imagedata o:title=""/>
              <o:lock v:ext="edit" aspectratio="f"/>
            </v:line>
          </w:pict>
        </mc:Fallback>
      </mc:AlternateContent>
    </w:r>
  </w:p>
  <w:p>
    <w:pPr>
      <w:pStyle w:val="7"/>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0288;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-2540</wp:posOffset>
              </wp:positionH>
              <wp:positionV relativeFrom="paragraph">
                <wp:posOffset>462280</wp:posOffset>
              </wp:positionV>
              <wp:extent cx="8269605" cy="0"/>
              <wp:effectExtent l="0" t="0" r="0" b="0"/>
              <wp:wrapNone/>
              <wp:docPr id="2" name="直接连接符 2"/>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665408;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L5YoHVAAAACAEAAA8AAAAAAAAAAQAg&#10;AAAAIgAAAGRycy9kb3ducmV2LnhtbFBLAQIUABQAAAAIAIdO4kAFsJvr2AEAAG8DAAAOAAAAAAAA&#10;AAEAIAAAACQBAABkcnMvZTJvRG9jLnhtbFBLBQYAAAAABgAGAFkBAABu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04A8A2"/>
    <w:multiLevelType w:val="singleLevel"/>
    <w:tmpl w:val="D404A8A2"/>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4B679C3"/>
    <w:rsid w:val="05F07036"/>
    <w:rsid w:val="06E00104"/>
    <w:rsid w:val="080F63D8"/>
    <w:rsid w:val="09341458"/>
    <w:rsid w:val="098254C2"/>
    <w:rsid w:val="0A766EDE"/>
    <w:rsid w:val="0AD64BE8"/>
    <w:rsid w:val="0B0912D7"/>
    <w:rsid w:val="0E025194"/>
    <w:rsid w:val="0EEF0855"/>
    <w:rsid w:val="11DB7C71"/>
    <w:rsid w:val="152D2DCA"/>
    <w:rsid w:val="187168EA"/>
    <w:rsid w:val="196673CA"/>
    <w:rsid w:val="1CF734C9"/>
    <w:rsid w:val="1DEC284C"/>
    <w:rsid w:val="1E6523AC"/>
    <w:rsid w:val="22440422"/>
    <w:rsid w:val="22BB4BBB"/>
    <w:rsid w:val="25EB1AF4"/>
    <w:rsid w:val="2DD05FE1"/>
    <w:rsid w:val="2DEB379E"/>
    <w:rsid w:val="2EAE3447"/>
    <w:rsid w:val="31A15F24"/>
    <w:rsid w:val="36FB1DF0"/>
    <w:rsid w:val="395347B5"/>
    <w:rsid w:val="39A232A0"/>
    <w:rsid w:val="39E745AA"/>
    <w:rsid w:val="3B5A6BBB"/>
    <w:rsid w:val="3CA154E3"/>
    <w:rsid w:val="3EDA13A6"/>
    <w:rsid w:val="3FF56C14"/>
    <w:rsid w:val="417B75E9"/>
    <w:rsid w:val="42430A63"/>
    <w:rsid w:val="42EB2991"/>
    <w:rsid w:val="42F058B7"/>
    <w:rsid w:val="436109F6"/>
    <w:rsid w:val="441A38D4"/>
    <w:rsid w:val="4504239D"/>
    <w:rsid w:val="46FF2E2B"/>
    <w:rsid w:val="4BC77339"/>
    <w:rsid w:val="4C9236C5"/>
    <w:rsid w:val="4E250A85"/>
    <w:rsid w:val="4FFD4925"/>
    <w:rsid w:val="505C172E"/>
    <w:rsid w:val="506405EA"/>
    <w:rsid w:val="52F46F0B"/>
    <w:rsid w:val="532B6A10"/>
    <w:rsid w:val="539E4E99"/>
    <w:rsid w:val="53D8014D"/>
    <w:rsid w:val="550C209A"/>
    <w:rsid w:val="555D79E7"/>
    <w:rsid w:val="55E064E0"/>
    <w:rsid w:val="572C6D10"/>
    <w:rsid w:val="5DC34279"/>
    <w:rsid w:val="5FCD688E"/>
    <w:rsid w:val="5FF9BDAA"/>
    <w:rsid w:val="608816D1"/>
    <w:rsid w:val="60EF4E7F"/>
    <w:rsid w:val="648B0A32"/>
    <w:rsid w:val="658F6764"/>
    <w:rsid w:val="665233C1"/>
    <w:rsid w:val="69AC0D42"/>
    <w:rsid w:val="6AD9688B"/>
    <w:rsid w:val="6B68303F"/>
    <w:rsid w:val="6D0E3F22"/>
    <w:rsid w:val="744E4660"/>
    <w:rsid w:val="753355A2"/>
    <w:rsid w:val="759F1C61"/>
    <w:rsid w:val="769F2DE8"/>
    <w:rsid w:val="76FDEB7C"/>
    <w:rsid w:val="79C65162"/>
    <w:rsid w:val="79EE7E31"/>
    <w:rsid w:val="7C9011D9"/>
    <w:rsid w:val="7DC651C5"/>
    <w:rsid w:val="7FCC2834"/>
    <w:rsid w:val="92DD1CEF"/>
    <w:rsid w:val="BD9D1569"/>
    <w:rsid w:val="EBDDA9D0"/>
    <w:rsid w:val="EF772305"/>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uiPriority w:val="0"/>
    <w:pPr>
      <w:keepNext/>
      <w:keepLines/>
      <w:spacing w:before="340" w:after="330" w:line="578" w:lineRule="auto"/>
      <w:outlineLvl w:val="0"/>
    </w:pPr>
    <w:rPr>
      <w:rFonts w:eastAsia="方正小标宋_GBK"/>
      <w:bCs/>
      <w:kern w:val="44"/>
      <w:sz w:val="44"/>
      <w:szCs w:val="44"/>
    </w:rPr>
  </w:style>
  <w:style w:type="paragraph" w:styleId="3">
    <w:name w:val="heading 2"/>
    <w:basedOn w:val="1"/>
    <w:uiPriority w:val="0"/>
    <w:pPr>
      <w:keepNext/>
      <w:keepLines/>
      <w:ind w:firstLine="200" w:firstLineChars="200"/>
      <w:outlineLvl w:val="1"/>
    </w:pPr>
    <w:rPr>
      <w:rFonts w:ascii="Arial" w:hAnsi="Arial" w:eastAsia="方正黑体_GBK"/>
      <w:bCs/>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link w:val="14"/>
    <w:semiHidden/>
    <w:qFormat/>
    <w:uiPriority w:val="0"/>
    <w:rPr>
      <w:rFonts w:ascii="Verdana" w:hAnsi="Verdana" w:eastAsia="仿宋_GB2312"/>
      <w:sz w:val="24"/>
      <w:szCs w:val="20"/>
      <w:lang w:eastAsia="en-US"/>
    </w:rPr>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0"/>
    <w:pPr>
      <w:tabs>
        <w:tab w:val="right" w:leader="dot" w:pos="8494"/>
      </w:tabs>
      <w:spacing w:line="400" w:lineRule="exact"/>
    </w:pPr>
    <w:rPr>
      <w:rFonts w:ascii="方正黑体_GBK" w:hAnsi="Calibri" w:eastAsia="方正黑体_GBK"/>
      <w:sz w:val="21"/>
      <w:szCs w:val="32"/>
    </w:rPr>
  </w:style>
  <w:style w:type="paragraph" w:styleId="9">
    <w:name w:val="toc 2"/>
    <w:basedOn w:val="1"/>
    <w:next w:val="1"/>
    <w:unhideWhenUsed/>
    <w:qFormat/>
    <w:uiPriority w:val="0"/>
    <w:pPr>
      <w:ind w:left="420" w:leftChars="200"/>
    </w:pPr>
    <w:rPr>
      <w:rFonts w:ascii="Calibri" w:hAnsi="Calibri" w:eastAsia="宋体"/>
      <w:sz w:val="21"/>
      <w:szCs w:val="22"/>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0"/>
    <w:pPr>
      <w:spacing w:before="240" w:after="60"/>
      <w:jc w:val="center"/>
      <w:outlineLvl w:val="0"/>
    </w:pPr>
    <w:rPr>
      <w:rFonts w:ascii="Cambria" w:hAnsi="Cambria" w:eastAsia="宋体"/>
      <w:b/>
      <w:bCs/>
      <w:sz w:val="21"/>
      <w:szCs w:val="32"/>
    </w:rPr>
  </w:style>
  <w:style w:type="paragraph" w:customStyle="1" w:styleId="14">
    <w:name w:val="Char Char Char Char Char Char Char"/>
    <w:basedOn w:val="1"/>
    <w:link w:val="13"/>
    <w:qFormat/>
    <w:uiPriority w:val="0"/>
    <w:pPr>
      <w:spacing w:after="160" w:line="240" w:lineRule="exact"/>
    </w:pPr>
    <w:rPr>
      <w:rFonts w:ascii="Verdana" w:hAnsi="Verdana" w:eastAsia="仿宋_GB2312"/>
      <w:sz w:val="24"/>
      <w:szCs w:val="20"/>
      <w:lang w:eastAsia="en-US"/>
    </w:rPr>
  </w:style>
  <w:style w:type="character" w:styleId="15">
    <w:name w:val="Strong"/>
    <w:basedOn w:val="13"/>
    <w:qFormat/>
    <w:uiPriority w:val="0"/>
    <w:rPr>
      <w:b/>
      <w:bCs/>
    </w:rPr>
  </w:style>
  <w:style w:type="character" w:styleId="16">
    <w:name w:val="page number"/>
    <w:basedOn w:val="13"/>
    <w:qFormat/>
    <w:uiPriority w:val="0"/>
  </w:style>
  <w:style w:type="character" w:styleId="17">
    <w:name w:val="Hyperlink"/>
    <w:basedOn w:val="13"/>
    <w:unhideWhenUsed/>
    <w:qFormat/>
    <w:uiPriority w:val="0"/>
    <w:rPr>
      <w:rFonts w:ascii="Verdana" w:hAnsi="Verdana" w:eastAsia="仿宋_GB2312"/>
      <w:color w:val="0000FF"/>
      <w:sz w:val="24"/>
      <w:szCs w:val="20"/>
      <w:u w:val="single"/>
      <w:lang w:eastAsia="en-US"/>
    </w:rPr>
  </w:style>
  <w:style w:type="paragraph" w:customStyle="1" w:styleId="18">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w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7882</Words>
  <Characters>9123</Characters>
  <Lines>1</Lines>
  <Paragraphs>1</Paragraphs>
  <TotalTime>5</TotalTime>
  <ScaleCrop>false</ScaleCrop>
  <LinksUpToDate>false</LinksUpToDate>
  <CharactersWithSpaces>9872</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2021-09-11T10:41:00Z</dcterms:created>
  <dc:creator>t</dc:creator>
  <cp:lastModifiedBy>Administrator</cp:lastModifiedBy>
  <cp:lastPrinted>2022-06-07T00:09:00Z</cp:lastPrinted>
  <dcterms:modified xsi:type="dcterms:W3CDTF">2022-06-12T08:30:18Z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48C61CB29D3F4D9384F5922CF0F7FFB4</vt:lpwstr>
  </property>
</Properties>
</file>