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ascii="Times New Roman" w:hAnsi="Times New Roman" w:eastAsia="仿宋_GB2312"/>
          <w:sz w:val="32"/>
          <w:szCs w:val="32"/>
        </w:rPr>
      </w:pP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pPr>
        <w:adjustRightInd w:val="0"/>
        <w:snapToGrid w:val="0"/>
        <w:spacing w:line="579" w:lineRule="exact"/>
        <w:jc w:val="center"/>
        <w:rPr>
          <w:rFonts w:asciiTheme="majorEastAsia" w:hAnsiTheme="majorEastAsia" w:eastAsiaTheme="majorEastAsia"/>
          <w:sz w:val="44"/>
          <w:szCs w:val="44"/>
        </w:rPr>
      </w:pPr>
    </w:p>
    <w:p>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pPr>
        <w:adjustRightInd w:val="0"/>
        <w:snapToGrid w:val="0"/>
        <w:spacing w:line="579" w:lineRule="exact"/>
      </w:pPr>
    </w:p>
    <w:p>
      <w:pPr>
        <w:adjustRightInd w:val="0"/>
        <w:snapToGrid w:val="0"/>
        <w:spacing w:line="579" w:lineRule="exact"/>
        <w:rPr>
          <w:rFonts w:hint="eastAsia"/>
        </w:rPr>
      </w:pPr>
    </w:p>
    <w:p>
      <w:pPr>
        <w:adjustRightInd w:val="0"/>
        <w:snapToGrid w:val="0"/>
        <w:spacing w:line="579" w:lineRule="exact"/>
      </w:pPr>
    </w:p>
    <w:p>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pPr>
        <w:overflowPunct w:val="0"/>
        <w:adjustRightInd w:val="0"/>
        <w:snapToGrid w:val="0"/>
        <w:spacing w:line="579" w:lineRule="exact"/>
        <w:jc w:val="center"/>
        <w:rPr>
          <w:rFonts w:hint="eastAsia"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pPr>
        <w:overflowPunct w:val="0"/>
        <w:adjustRightInd w:val="0"/>
        <w:snapToGrid w:val="0"/>
        <w:spacing w:line="579" w:lineRule="exact"/>
        <w:jc w:val="center"/>
        <w:rPr>
          <w:rFonts w:ascii="方正小标宋_GBK" w:hAnsi="微软雅黑" w:eastAsia="方正小标宋_GBK" w:cs="宋体"/>
          <w:kern w:val="0"/>
          <w:sz w:val="44"/>
          <w:szCs w:val="44"/>
        </w:rPr>
      </w:pPr>
    </w:p>
    <w:p>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县级人民政府民政部门负责特困人员认定的审核确认工作，乡镇人民政府（街道办事处）负责特困人员认定的受理、初审工作。村（居）民委员会协助做好相关工作。</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color w:val="0000FF"/>
          <w:kern w:val="0"/>
          <w:sz w:val="32"/>
          <w:szCs w:val="32"/>
        </w:rPr>
        <w:t>第五条  符合下列情形之一的，应当认定为本办法所称的无劳动能力：</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color w:val="0000FF"/>
          <w:kern w:val="0"/>
          <w:sz w:val="32"/>
          <w:szCs w:val="32"/>
        </w:rPr>
        <w:t>（一）60周岁以上的老年人；</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color w:val="0000FF"/>
          <w:kern w:val="0"/>
          <w:sz w:val="32"/>
          <w:szCs w:val="32"/>
        </w:rPr>
        <w:t>（二）未满16周岁的未成年人；</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color w:val="0000FF"/>
          <w:kern w:val="0"/>
          <w:sz w:val="32"/>
          <w:szCs w:val="32"/>
        </w:rPr>
        <w:t>（三）残疾等级为一、二、三级的智力、精神残疾人，残疾等级为一、二级的肢体残疾人，残疾等级为一级的视力残疾人；</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color w:val="0000FF"/>
          <w:kern w:val="0"/>
          <w:sz w:val="32"/>
          <w:szCs w:val="32"/>
        </w:rPr>
        <w:t>（四）省、自治区、直辖市人民政府规定的其他情形。</w:t>
      </w:r>
    </w:p>
    <w:p>
      <w:pPr>
        <w:overflowPunct w:val="0"/>
        <w:adjustRightInd w:val="0"/>
        <w:snapToGrid w:val="0"/>
        <w:spacing w:line="579" w:lineRule="exact"/>
        <w:ind w:firstLine="480"/>
        <w:rPr>
          <w:rFonts w:ascii="Times New Roman" w:hAnsi="Times New Roman" w:eastAsia="方正仿宋_GBK"/>
          <w:color w:val="0000FF"/>
          <w:kern w:val="0"/>
          <w:sz w:val="32"/>
          <w:szCs w:val="32"/>
        </w:rPr>
      </w:pPr>
      <w:r>
        <w:rPr>
          <w:rFonts w:ascii="Times New Roman" w:hAnsi="Times New Roman" w:eastAsia="方正仿宋_GBK"/>
          <w:kern w:val="0"/>
          <w:sz w:val="32"/>
          <w:szCs w:val="32"/>
        </w:rPr>
        <w:t xml:space="preserve">第六条  </w:t>
      </w:r>
      <w:r>
        <w:rPr>
          <w:rFonts w:ascii="Times New Roman" w:hAnsi="Times New Roman" w:eastAsia="方正仿宋_GBK"/>
          <w:color w:val="0000FF"/>
          <w:kern w:val="0"/>
          <w:sz w:val="32"/>
          <w:szCs w:val="32"/>
        </w:rPr>
        <w:t>收入低于当地最低生活保障标准，且财产符合当地特困人员财产状况规定的，应当认定为本办法所称的无生活来源。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color w:val="0000FF"/>
          <w:kern w:val="0"/>
          <w:sz w:val="32"/>
          <w:szCs w:val="32"/>
        </w:rPr>
        <w:t>前款所称收入包括工资性收入、经营净收入、财产净收入、转移净收入等各类收入。</w:t>
      </w:r>
      <w:r>
        <w:rPr>
          <w:rFonts w:ascii="Times New Roman" w:hAnsi="Times New Roman" w:eastAsia="方正仿宋_GBK"/>
          <w:kern w:val="0"/>
          <w:sz w:val="32"/>
          <w:szCs w:val="32"/>
        </w:rPr>
        <w:t>中央确定的城乡居民基本养老保险基础养老金、基本医疗保险等社会保险和优待抚恤金、高龄津贴不计入在内。</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（一）特困人员；</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（二）60周岁以上的最低生活保障对象；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（三）70周岁以上的老年人，本人收入低于当地上年人均可支配收入，且其财产符合当地低收入家庭财产状况规定的；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（四）重度残疾人和残疾等级为三级的智力、精神残疾人，本人收入低于当地上年人均可支配收入，且其财产符合当地低收入家庭财产状况规定的；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同时符合特困人员救助供养条件和孤儿、事实无人抚养儿童认定条件的未成年人，选择申请纳入孤儿、事实无人抚养儿童基本生活保障范围的，不再认定为特困人员。</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申请人及其法定义务人应当履行授权核查家庭经济状况的相关手续。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县级人民政府民政部门应当全面审核乡镇人民政府（街道办事处）上报的申请材料、调查材料和初审意见，按照不低于30%的比例随机抽查核实，并在15个工作日内提出确认意见。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不符合条件、不予同意的，县级人民政府民政部门应当在作出决定3个工作日内，通过乡镇人民政府（街道办事处）书面告知申请人或者其代理人并说明理由。</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第五章  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第六章  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（六）自愿申请退出救助供养。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特困人员中的未成年人，可继续享有救助供养待遇至18周岁；年满18周岁仍在接受义务教育或者在普通高中、中等职业学校就读的，可继续享有救助供养待遇。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第七章  附则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第二十八条  有条件的地方可将审核确认权限下放至乡镇人民政府（街道办事处），县级民政部门加强监督指导。</w:t>
      </w:r>
    </w:p>
    <w:p>
      <w:pPr>
        <w:overflowPunct w:val="0"/>
        <w:adjustRightInd w:val="0"/>
        <w:snapToGrid w:val="0"/>
        <w:spacing w:line="579"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ascii="Times New Roman" w:hAnsi="Times New Roman" w:eastAsia="方正仿宋_GBK"/>
          <w:sz w:val="32"/>
          <w:szCs w:val="32"/>
        </w:rPr>
      </w:pPr>
    </w:p>
    <w:p>
      <w:pPr>
        <w:snapToGrid w:val="0"/>
        <w:spacing w:line="300" w:lineRule="auto"/>
        <w:ind w:right="17" w:firstLine="210" w:firstLineChars="100"/>
        <w:rPr>
          <w:rFonts w:ascii="Times New Roman" w:hAnsi="Times New Roman" w:eastAsia="方正仿宋_GBK"/>
        </w:rPr>
      </w:pPr>
      <w:bookmarkStart w:id="1" w:name="_GoBack"/>
      <w:bookmarkEnd w:id="1"/>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lZWNiODQ4MTAyZjdhNDQ0Y2E2NWRlNDg2YzVkODQifQ=="/>
  </w:docVars>
  <w:rsids>
    <w:rsidRoot w:val="00D7255F"/>
    <w:rsid w:val="00256BF1"/>
    <w:rsid w:val="0036352A"/>
    <w:rsid w:val="00512CAA"/>
    <w:rsid w:val="005C47CA"/>
    <w:rsid w:val="00782A33"/>
    <w:rsid w:val="007C4765"/>
    <w:rsid w:val="008B5C0D"/>
    <w:rsid w:val="00B32A63"/>
    <w:rsid w:val="00BC6FF9"/>
    <w:rsid w:val="00C53131"/>
    <w:rsid w:val="00CE4D88"/>
    <w:rsid w:val="00D7255F"/>
    <w:rsid w:val="1C0802ED"/>
    <w:rsid w:val="1DA85D3A"/>
    <w:rsid w:val="1F370CBE"/>
    <w:rsid w:val="5A7F79CE"/>
    <w:rsid w:val="7B502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4111</Words>
  <Characters>4162</Characters>
  <Lines>31</Lines>
  <Paragraphs>8</Paragraphs>
  <TotalTime>8</TotalTime>
  <ScaleCrop>false</ScaleCrop>
  <LinksUpToDate>false</LinksUpToDate>
  <CharactersWithSpaces>4286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2021-05-12T09:09:00Z</dcterms:created>
  <dc:creator>Administrator</dc:creator>
  <cp:lastModifiedBy>haier</cp:lastModifiedBy>
  <cp:lastPrinted>2021-06-18T17:22:00Z</cp:lastPrinted>
  <dcterms:modified xsi:type="dcterms:W3CDTF">2024-09-24T11:56:16Z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86EB1773E8F841C89942F697C64E16DD_12</vt:lpwstr>
  </property>
</Properties>
</file>