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重庆市荣昌区荣隆镇人民政府</w:t>
      </w:r>
    </w:p>
    <w:p>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黑体" w:hAnsi="黑体" w:eastAsia="黑体" w:cs="黑体"/>
          <w:b w:val="0"/>
          <w:bCs/>
          <w:sz w:val="32"/>
          <w:szCs w:val="32"/>
        </w:rPr>
      </w:pPr>
      <w:r>
        <w:rPr>
          <w:rStyle w:val="9"/>
          <w:rFonts w:ascii="黑体" w:hAnsi="黑体" w:eastAsia="黑体" w:cs="黑体"/>
          <w:b w:val="0"/>
          <w:bCs/>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ascii="楷体" w:hAnsi="楷体" w:eastAsia="楷体" w:cs="楷体"/>
          <w:b w:val="0"/>
          <w:bCs/>
          <w:sz w:val="32"/>
          <w:szCs w:val="32"/>
          <w:shd w:val="clear" w:color="auto" w:fill="FFFFFF"/>
        </w:rPr>
      </w:pPr>
      <w:r>
        <w:rPr>
          <w:rStyle w:val="9"/>
          <w:rFonts w:ascii="楷体" w:hAnsi="楷体" w:eastAsia="楷体" w:cs="楷体"/>
          <w:b w:val="0"/>
          <w:bCs/>
          <w:sz w:val="32"/>
          <w:szCs w:val="32"/>
          <w:shd w:val="clear" w:color="auto" w:fill="FFFFFF"/>
        </w:rPr>
        <w:t>（一）职能职责</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重庆市荣昌区荣隆镇人民政府的主要职能职责是：制定和组织实施经济、科技和社会发展计划，组织指导各行生产，协调本镇与外地区经济交流与合作，抓好招商引资；制定组织村镇规划，部署重点工程建设，地方道路，公共设施、水利设施，负债土地、林木等；负责本区域类民政、计划生育、文化教育、卫生体育等社会公益事业的综合性工作；组织本级财政税收和财政收入，完成国家计划，增强财政实力；完成上级政府交办其他事项。</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line="560" w:lineRule="exact"/>
        <w:ind w:firstLine="640" w:firstLineChars="200"/>
        <w:textAlignment w:val="auto"/>
        <w:rPr>
          <w:rStyle w:val="9"/>
          <w:rFonts w:ascii="楷体" w:hAnsi="楷体" w:eastAsia="楷体" w:cs="楷体"/>
          <w:b w:val="0"/>
          <w:bCs/>
          <w:sz w:val="32"/>
          <w:szCs w:val="32"/>
          <w:shd w:val="clear" w:color="auto" w:fill="FFFFFF"/>
        </w:rPr>
      </w:pPr>
      <w:r>
        <w:rPr>
          <w:rStyle w:val="9"/>
          <w:rFonts w:ascii="楷体" w:hAnsi="楷体" w:eastAsia="楷体" w:cs="楷体"/>
          <w:b w:val="0"/>
          <w:bCs/>
          <w:sz w:val="32"/>
          <w:szCs w:val="32"/>
          <w:shd w:val="clear" w:color="auto" w:fill="FFFFFF"/>
        </w:rPr>
        <w:t>机构设置</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本单位内设机构10个：党政办公室、党群工作办公室、经济发展办公室、民政和社区事务办公室、平安建设办公室、规划建设管理环保办公室、财政办公室、应急管理办公室、人大办公室、综合行政执法办公室。</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line="560" w:lineRule="exact"/>
        <w:ind w:firstLine="640" w:firstLineChars="200"/>
        <w:textAlignment w:val="auto"/>
        <w:rPr>
          <w:rStyle w:val="9"/>
          <w:rFonts w:ascii="楷体" w:hAnsi="楷体" w:eastAsia="楷体" w:cs="楷体"/>
          <w:b w:val="0"/>
          <w:bCs/>
          <w:sz w:val="32"/>
          <w:szCs w:val="32"/>
          <w:shd w:val="clear" w:color="auto" w:fill="FFFFFF"/>
        </w:rPr>
      </w:pPr>
      <w:r>
        <w:rPr>
          <w:rStyle w:val="9"/>
          <w:rFonts w:ascii="楷体" w:hAnsi="楷体" w:eastAsia="楷体" w:cs="楷体"/>
          <w:b w:val="0"/>
          <w:bCs/>
          <w:sz w:val="32"/>
          <w:szCs w:val="32"/>
          <w:shd w:val="clear" w:color="auto" w:fill="FFFFFF"/>
        </w:rPr>
        <w:t>（三）单位构成</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从预算单位构成看，纳入本部门202</w:t>
      </w:r>
      <w:r>
        <w:rPr>
          <w:rFonts w:hint="eastAsia" w:ascii="Times New Roman" w:hAnsi="Times New Roman" w:eastAsia="方正仿宋_GBK" w:cs="方正仿宋_GBK"/>
          <w:sz w:val="32"/>
          <w:szCs w:val="32"/>
          <w:lang w:val="en-US" w:eastAsia="zh-CN" w:bidi="ar-SA"/>
        </w:rPr>
        <w:t>3</w:t>
      </w:r>
      <w:r>
        <w:rPr>
          <w:rFonts w:hint="default" w:ascii="Times New Roman" w:hAnsi="Times New Roman" w:eastAsia="方正仿宋_GBK" w:cs="方正仿宋_GBK"/>
          <w:sz w:val="32"/>
          <w:szCs w:val="32"/>
          <w:lang w:val="en-US" w:eastAsia="zh-CN" w:bidi="ar-SA"/>
        </w:rPr>
        <w:t>年度决算编制的二级预算单位主要包括</w:t>
      </w:r>
      <w:r>
        <w:rPr>
          <w:rFonts w:hint="eastAsia" w:ascii="Times New Roman" w:hAnsi="Times New Roman" w:eastAsia="方正仿宋_GBK" w:cs="方正仿宋_GBK"/>
          <w:sz w:val="32"/>
          <w:szCs w:val="32"/>
          <w:lang w:val="en-US" w:eastAsia="zh-CN" w:bidi="ar-SA"/>
        </w:rPr>
        <w:t>重庆市荣昌区荣隆镇人民政府（本级）、重庆市荣昌区荣隆镇文化服务中心、重庆市荣昌区荣隆镇农业服务中心、重庆市荣昌区荣隆镇劳动就业和社会保障服务所、重庆市荣昌区荣隆镇退役军人服务站、重庆市荣昌区荣隆镇综合行政执法大队、重庆市荣昌区荣隆镇建设环保服务中心、重庆市荣昌区荣隆镇畜牧服务中心。</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方正仿宋_GBK" w:cs="方正仿宋_GBK"/>
          <w:sz w:val="32"/>
          <w:szCs w:val="32"/>
          <w:lang w:val="en-US" w:eastAsia="zh-CN" w:bidi="ar-SA"/>
        </w:rPr>
      </w:pP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二、部门决算情况说明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2023年度收入总计7140.43万元，支出总计</w:t>
      </w:r>
      <w:r>
        <w:rPr>
          <w:rFonts w:ascii="方正仿宋_GBK" w:hAnsi="方正仿宋_GBK" w:eastAsia="方正仿宋_GBK" w:cs="方正仿宋_GBK"/>
          <w:sz w:val="32"/>
          <w:szCs w:val="32"/>
        </w:rPr>
        <w:t>7140.43</w:t>
      </w:r>
      <w:r>
        <w:rPr>
          <w:rFonts w:ascii="方正仿宋_GBK" w:hAnsi="方正仿宋_GBK" w:eastAsia="方正仿宋_GBK" w:cs="方正仿宋_GBK"/>
          <w:sz w:val="32"/>
          <w:szCs w:val="32"/>
          <w:shd w:val="clear" w:color="auto" w:fill="FFFFFF"/>
        </w:rPr>
        <w:t>万元。收支较上年决算数增加476.18万元，增长7.15%，主要原因是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2023年度收入合计7132.43万元，较上年决算数增加562.73万元，增长8.57%，主要原因是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7132.43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7140.43</w:t>
      </w:r>
      <w:r>
        <w:rPr>
          <w:rFonts w:ascii="方正仿宋_GBK" w:hAnsi="方正仿宋_GBK" w:eastAsia="方正仿宋_GBK" w:cs="方正仿宋_GBK"/>
          <w:sz w:val="32"/>
          <w:szCs w:val="32"/>
          <w:shd w:val="clear" w:color="auto" w:fill="FFFFFF"/>
        </w:rPr>
        <w:t>万元，较上年决算数增加476.18万元，增长7.15%，主要原因是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3003.63</w:t>
      </w:r>
      <w:r>
        <w:rPr>
          <w:rFonts w:ascii="方正仿宋_GBK" w:hAnsi="方正仿宋_GBK" w:eastAsia="方正仿宋_GBK" w:cs="方正仿宋_GBK"/>
          <w:sz w:val="32"/>
          <w:szCs w:val="32"/>
          <w:shd w:val="clear" w:color="auto" w:fill="FFFFFF"/>
        </w:rPr>
        <w:t>万元，占42.07%；项目支出</w:t>
      </w:r>
      <w:r>
        <w:rPr>
          <w:rFonts w:ascii="方正仿宋_GBK" w:hAnsi="方正仿宋_GBK" w:eastAsia="方正仿宋_GBK" w:cs="方正仿宋_GBK"/>
          <w:sz w:val="32"/>
          <w:szCs w:val="32"/>
        </w:rPr>
        <w:t>4136.80</w:t>
      </w:r>
      <w:r>
        <w:rPr>
          <w:rFonts w:ascii="方正仿宋_GBK" w:hAnsi="方正仿宋_GBK" w:eastAsia="方正仿宋_GBK" w:cs="方正仿宋_GBK"/>
          <w:sz w:val="32"/>
          <w:szCs w:val="32"/>
          <w:shd w:val="clear" w:color="auto" w:fill="FFFFFF"/>
        </w:rPr>
        <w:t>万元，占57.93%；经营支出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本年度本单位无财政应返还额度。</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2023年度财政拨款收、支总计7140.43万元。与2022年相比，财政拨款收、支总计各增加544.68万元，增长8.26%。主要原因是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6749.11</w:t>
      </w:r>
      <w:r>
        <w:rPr>
          <w:rFonts w:ascii="方正仿宋_GBK" w:hAnsi="方正仿宋_GBK" w:eastAsia="方正仿宋_GBK" w:cs="方正仿宋_GBK"/>
          <w:sz w:val="32"/>
          <w:szCs w:val="32"/>
          <w:shd w:val="clear" w:color="auto" w:fill="FFFFFF"/>
        </w:rPr>
        <w:t>万元，较上年决算数增加889.60万元，增长15.18%。主要原因是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r>
        <w:rPr>
          <w:rFonts w:ascii="方正仿宋_GBK" w:hAnsi="方正仿宋_GBK" w:eastAsia="方正仿宋_GBK" w:cs="方正仿宋_GBK"/>
          <w:sz w:val="32"/>
          <w:szCs w:val="32"/>
          <w:shd w:val="clear" w:color="auto" w:fill="FFFFFF"/>
        </w:rPr>
        <w:t>较年初预算数增加2244.43万元，增长49.82%。主要原因是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6757.11</w:t>
      </w:r>
      <w:r>
        <w:rPr>
          <w:rFonts w:ascii="方正仿宋_GBK" w:hAnsi="方正仿宋_GBK" w:eastAsia="方正仿宋_GBK" w:cs="方正仿宋_GBK"/>
          <w:sz w:val="32"/>
          <w:szCs w:val="32"/>
          <w:shd w:val="clear" w:color="auto" w:fill="FFFFFF"/>
        </w:rPr>
        <w:t>万元，较上年决算数增加803.05万元，增长13.49%。主要原因是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r>
        <w:rPr>
          <w:rFonts w:ascii="方正仿宋_GBK" w:hAnsi="方正仿宋_GBK" w:eastAsia="方正仿宋_GBK" w:cs="方正仿宋_GBK"/>
          <w:sz w:val="32"/>
          <w:szCs w:val="32"/>
          <w:shd w:val="clear" w:color="auto" w:fill="FFFFFF"/>
        </w:rPr>
        <w:t>较年初预算数增加2252.43万元，增长50.00%。主要原因是</w:t>
      </w:r>
      <w:r>
        <w:rPr>
          <w:rFonts w:hint="eastAsia" w:ascii="方正仿宋_GBK" w:hAnsi="方正仿宋_GBK" w:eastAsia="方正仿宋_GBK" w:cs="方正仿宋_GBK"/>
          <w:sz w:val="32"/>
          <w:szCs w:val="32"/>
          <w:shd w:val="clear" w:color="auto" w:fill="FFFFFF"/>
        </w:rPr>
        <w:t>增加政府新建办公楼，美丽乡村建设资金等基础设施建设资金。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1342.88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19.87</w:t>
      </w:r>
      <w:r>
        <w:rPr>
          <w:rFonts w:ascii="方正仿宋_GBK" w:hAnsi="方正仿宋_GBK" w:eastAsia="方正仿宋_GBK" w:cs="方正仿宋_GBK"/>
          <w:sz w:val="32"/>
          <w:szCs w:val="32"/>
          <w:shd w:val="clear" w:color="auto" w:fill="FFFFFF"/>
        </w:rPr>
        <w:t>%，较年初预算数减少29.41万元，下降2.14%，主要原因是</w:t>
      </w:r>
      <w:r>
        <w:rPr>
          <w:rFonts w:hint="eastAsia" w:ascii="方正仿宋_GBK" w:hAnsi="方正仿宋_GBK" w:eastAsia="方正仿宋_GBK" w:cs="方正仿宋_GBK"/>
          <w:sz w:val="32"/>
          <w:szCs w:val="32"/>
          <w:shd w:val="clear" w:color="auto" w:fill="FFFFFF"/>
          <w:lang w:eastAsia="zh-CN"/>
        </w:rPr>
        <w:t>厉行节俭，减少经费支出。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66.41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0.98</w:t>
      </w:r>
      <w:r>
        <w:rPr>
          <w:rFonts w:ascii="方正仿宋_GBK" w:hAnsi="方正仿宋_GBK" w:eastAsia="方正仿宋_GBK" w:cs="方正仿宋_GBK"/>
          <w:sz w:val="32"/>
          <w:szCs w:val="32"/>
          <w:shd w:val="clear" w:color="auto" w:fill="FFFFFF"/>
        </w:rPr>
        <w:t>%，较年初预算数增加66.41万元，增长100.00%，主要原因是</w:t>
      </w:r>
      <w:r>
        <w:rPr>
          <w:rFonts w:hint="eastAsia" w:ascii="方正仿宋_GBK" w:hAnsi="方正仿宋_GBK" w:eastAsia="方正仿宋_GBK" w:cs="方正仿宋_GBK"/>
          <w:sz w:val="32"/>
          <w:szCs w:val="32"/>
          <w:shd w:val="clear" w:color="auto" w:fill="FFFFFF"/>
          <w:lang w:eastAsia="zh-CN"/>
        </w:rPr>
        <w:t>增加了平安及法治建设项目支出。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%，较年初预算数增加1.99万元，增长100.00%，主要原因是</w:t>
      </w:r>
      <w:r>
        <w:rPr>
          <w:rFonts w:hint="eastAsia" w:ascii="方正仿宋_GBK" w:hAnsi="方正仿宋_GBK" w:eastAsia="方正仿宋_GBK" w:cs="方正仿宋_GBK"/>
          <w:sz w:val="32"/>
          <w:szCs w:val="32"/>
          <w:shd w:val="clear" w:color="auto" w:fill="FFFFFF"/>
          <w:lang w:eastAsia="zh-CN"/>
        </w:rPr>
        <w:t>增加了荣隆镇社区教育项目支出。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75.04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1.11</w:t>
      </w:r>
      <w:r>
        <w:rPr>
          <w:rFonts w:ascii="方正仿宋_GBK" w:hAnsi="方正仿宋_GBK" w:eastAsia="方正仿宋_GBK" w:cs="方正仿宋_GBK"/>
          <w:sz w:val="32"/>
          <w:szCs w:val="32"/>
          <w:shd w:val="clear" w:color="auto" w:fill="FFFFFF"/>
        </w:rPr>
        <w:t>%，较年初预算数减少5.83万元，下降7.21%，主要原因是</w:t>
      </w:r>
      <w:r>
        <w:rPr>
          <w:rFonts w:hint="eastAsia" w:ascii="方正仿宋_GBK" w:hAnsi="方正仿宋_GBK" w:eastAsia="方正仿宋_GBK" w:cs="方正仿宋_GBK"/>
          <w:sz w:val="32"/>
          <w:szCs w:val="32"/>
          <w:shd w:val="clear" w:color="auto" w:fill="FFFFFF"/>
          <w:lang w:val="en-US" w:eastAsia="zh-CN"/>
        </w:rPr>
        <w:t>厉行节约，减少文化宣传等支出，落实过紧日子要求。</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895.67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13.26</w:t>
      </w:r>
      <w:r>
        <w:rPr>
          <w:rFonts w:ascii="方正仿宋_GBK" w:hAnsi="方正仿宋_GBK" w:eastAsia="方正仿宋_GBK" w:cs="方正仿宋_GBK"/>
          <w:sz w:val="32"/>
          <w:szCs w:val="32"/>
          <w:shd w:val="clear" w:color="auto" w:fill="FFFFFF"/>
        </w:rPr>
        <w:t>%，较年初预算数减少72.77万元，下降7.51%，主要原因是</w:t>
      </w:r>
      <w:r>
        <w:rPr>
          <w:rStyle w:val="9"/>
          <w:rFonts w:hint="default" w:ascii="Times New Roman" w:hAnsi="Times New Roman" w:eastAsia="方正仿宋_GBK" w:cs="Times New Roman"/>
          <w:b w:val="0"/>
          <w:bCs/>
          <w:sz w:val="32"/>
          <w:szCs w:val="32"/>
          <w:lang w:eastAsia="zh-CN"/>
        </w:rPr>
        <w:t>严控人员经费支，工资福利支出减少。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128.68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%，较年初预算数增加5.70万元，增长4.63%，主要原因是</w:t>
      </w:r>
      <w:r>
        <w:rPr>
          <w:rFonts w:hint="eastAsia" w:ascii="方正仿宋_GBK" w:hAnsi="方正仿宋_GBK" w:eastAsia="方正仿宋_GBK" w:cs="方正仿宋_GBK"/>
          <w:sz w:val="32"/>
          <w:szCs w:val="32"/>
          <w:shd w:val="clear" w:color="auto" w:fill="FFFFFF"/>
          <w:lang w:eastAsia="zh-CN"/>
        </w:rPr>
        <w:t>增加了医疗保障服务示范点建设项目支出。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690.25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10.22</w:t>
      </w:r>
      <w:r>
        <w:rPr>
          <w:rFonts w:ascii="方正仿宋_GBK" w:hAnsi="方正仿宋_GBK" w:eastAsia="方正仿宋_GBK" w:cs="方正仿宋_GBK"/>
          <w:sz w:val="32"/>
          <w:szCs w:val="32"/>
          <w:shd w:val="clear" w:color="auto" w:fill="FFFFFF"/>
        </w:rPr>
        <w:t>%，较年初预算数增加188.24万元，增长37.50%，主要原因是</w:t>
      </w:r>
      <w:r>
        <w:rPr>
          <w:rFonts w:hint="eastAsia" w:ascii="方正仿宋_GBK" w:hAnsi="方正仿宋_GBK" w:eastAsia="方正仿宋_GBK" w:cs="方正仿宋_GBK"/>
          <w:sz w:val="32"/>
          <w:szCs w:val="32"/>
          <w:shd w:val="clear" w:color="auto" w:fill="FFFFFF"/>
          <w:lang w:eastAsia="zh-CN"/>
        </w:rPr>
        <w:t>增加了新建政府行政大楼支出。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2006.07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29.69</w:t>
      </w:r>
      <w:r>
        <w:rPr>
          <w:rFonts w:ascii="方正仿宋_GBK" w:hAnsi="方正仿宋_GBK" w:eastAsia="方正仿宋_GBK" w:cs="方正仿宋_GBK"/>
          <w:sz w:val="32"/>
          <w:szCs w:val="32"/>
          <w:shd w:val="clear" w:color="auto" w:fill="FFFFFF"/>
        </w:rPr>
        <w:t>%，较年初预算数增加803.72万元，增长66.85%，主要原因是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粮食烘干仓储加工中心建设</w:t>
      </w:r>
      <w:r>
        <w:rPr>
          <w:rFonts w:hint="eastAsia" w:ascii="方正仿宋_GBK" w:hAnsi="方正仿宋_GBK" w:eastAsia="方正仿宋_GBK" w:cs="方正仿宋_GBK"/>
          <w:sz w:val="32"/>
          <w:szCs w:val="32"/>
          <w:shd w:val="clear" w:color="auto" w:fill="FFFFFF"/>
          <w:lang w:eastAsia="zh-CN"/>
        </w:rPr>
        <w:t>项目资金。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304.25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%，较年初预算数增加191.50万元，增长169.84%，主要原因是</w:t>
      </w:r>
      <w:r>
        <w:rPr>
          <w:rFonts w:hint="eastAsia" w:ascii="方正仿宋_GBK" w:hAnsi="方正仿宋_GBK" w:eastAsia="方正仿宋_GBK" w:cs="方正仿宋_GBK"/>
          <w:color w:val="auto"/>
          <w:sz w:val="32"/>
          <w:szCs w:val="32"/>
          <w:shd w:val="clear" w:color="auto" w:fill="FFFFFF"/>
          <w:lang w:eastAsia="zh-CN"/>
        </w:rPr>
        <w:t>增加了农村公路建设补助资金。</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%，较年初预算数增加25.10万元，增长100.00%，主要原因是</w:t>
      </w:r>
      <w:r>
        <w:rPr>
          <w:rFonts w:hint="eastAsia" w:ascii="方正仿宋_GBK" w:hAnsi="方正仿宋_GBK" w:eastAsia="方正仿宋_GBK" w:cs="方正仿宋_GBK"/>
          <w:sz w:val="32"/>
          <w:szCs w:val="32"/>
          <w:shd w:val="clear" w:color="auto" w:fill="FFFFFF"/>
          <w:lang w:eastAsia="zh-CN"/>
        </w:rPr>
        <w:t>增加了耕地缺口恢复补足项目资金。</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住房保障支出1220.77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18.07</w:t>
      </w:r>
      <w:r>
        <w:rPr>
          <w:rFonts w:ascii="方正仿宋_GBK" w:hAnsi="方正仿宋_GBK" w:eastAsia="方正仿宋_GBK" w:cs="方正仿宋_GBK"/>
          <w:sz w:val="32"/>
          <w:szCs w:val="32"/>
          <w:shd w:val="clear" w:color="auto" w:fill="FFFFFF"/>
        </w:rPr>
        <w:t>%，较年初预算数增加1077.79万元，增长753.80%，主要原因是</w:t>
      </w:r>
      <w:r>
        <w:rPr>
          <w:rFonts w:hint="eastAsia" w:ascii="方正仿宋_GBK" w:hAnsi="方正仿宋_GBK" w:eastAsia="方正仿宋_GBK" w:cs="方正仿宋_GBK"/>
          <w:sz w:val="32"/>
          <w:szCs w:val="32"/>
          <w:shd w:val="clear" w:color="auto" w:fill="FFFFFF"/>
          <w:lang w:eastAsia="zh-CN"/>
        </w:rPr>
        <w:t>增加了新民社区老旧小区配套基础设施改造工程的项目资金。</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3003.63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2601.99</w:t>
      </w:r>
      <w:r>
        <w:rPr>
          <w:rFonts w:ascii="方正仿宋_GBK" w:hAnsi="方正仿宋_GBK" w:eastAsia="方正仿宋_GBK" w:cs="方正仿宋_GBK"/>
          <w:sz w:val="32"/>
          <w:szCs w:val="32"/>
          <w:shd w:val="clear" w:color="auto" w:fill="FFFFFF"/>
        </w:rPr>
        <w:t>万元，较上年决算数增加260.00万元，增长11.10%，主要原因是人员晋升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工资结构、</w:t>
      </w:r>
      <w:r>
        <w:rPr>
          <w:rFonts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lang w:eastAsia="zh-CN"/>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401.64</w:t>
      </w:r>
      <w:r>
        <w:rPr>
          <w:rFonts w:ascii="方正仿宋_GBK" w:hAnsi="方正仿宋_GBK" w:eastAsia="方正仿宋_GBK" w:cs="方正仿宋_GBK"/>
          <w:sz w:val="32"/>
          <w:szCs w:val="32"/>
          <w:shd w:val="clear" w:color="auto" w:fill="FFFFFF"/>
        </w:rPr>
        <w:t>万元，较上年决算数减少121.83万元，下降23.27%，主要原因是</w:t>
      </w:r>
      <w:r>
        <w:rPr>
          <w:rFonts w:hint="default" w:ascii="方正仿宋_GBK" w:hAnsi="方正仿宋_GBK" w:eastAsia="方正仿宋_GBK" w:cs="方正仿宋_GBK"/>
          <w:sz w:val="32"/>
          <w:szCs w:val="32"/>
          <w:shd w:val="clear" w:color="auto" w:fill="FFFFFF"/>
          <w:lang w:eastAsia="zh-CN"/>
        </w:rPr>
        <w:t>厉行节约，严控公用经费支出。</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sz w:val="32"/>
          <w:szCs w:val="32"/>
          <w:shd w:val="clear" w:color="auto" w:fill="FFFFFF"/>
          <w:lang w:eastAsia="zh-CN"/>
        </w:rPr>
        <w:t>办公费、印刷费、水费、电费、邮电费、差旅费、维修（护）费、会议费、培训费、公务接待费、专用材料费、劳务费、工会经费、公务车用车运行维护费、其他交通费用</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年度对荣隆工业园的基金投入减少。本年支出</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36.36</w:t>
      </w:r>
      <w:r>
        <w:rPr>
          <w:rFonts w:ascii="方正仿宋_GBK" w:hAnsi="方正仿宋_GBK" w:eastAsia="方正仿宋_GBK" w:cs="方正仿宋_GBK"/>
          <w:sz w:val="32"/>
          <w:szCs w:val="32"/>
          <w:shd w:val="clear" w:color="auto" w:fill="FFFFFF"/>
        </w:rPr>
        <w:t>万元，较年初预算数增加7.36万元，增长25.38%，主要原因是本年根据荣昌府办函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11号文件，新购公务车一辆，导致三公经费增加。较上年支出数增加19.15万元，增长111.27%，主要原因是本年根据荣昌府办函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eastAsia="zh-CN"/>
        </w:rPr>
        <w:t>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年度未发生因公出国（境）费用。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公务用车购置价款、车辆购置税和其他相关支出</w:t>
      </w:r>
      <w:r>
        <w:rPr>
          <w:rFonts w:ascii="方正仿宋_GBK" w:hAnsi="方正仿宋_GBK" w:eastAsia="方正仿宋_GBK" w:cs="方正仿宋_GBK"/>
          <w:sz w:val="32"/>
          <w:szCs w:val="32"/>
          <w:shd w:val="clear" w:color="auto" w:fill="FFFFFF"/>
        </w:rPr>
        <w:t>。费用支出较年初预算数增加13.08万元，增长100.00%，主要原因是本年根据荣昌府办函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11号文件，新购公务车一辆，导致公车购置费增加。较上年支出数增加13.08万元，增长100.00%，主要原因是本年根据荣昌府办函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10.28</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lang w:val="en-US" w:eastAsia="zh-CN"/>
        </w:rPr>
        <w:t>工作产生的公务用车燃料费、维修费、过路过桥费、保险费等支出。</w:t>
      </w:r>
      <w:r>
        <w:rPr>
          <w:rFonts w:ascii="方正仿宋_GBK" w:hAnsi="方正仿宋_GBK" w:eastAsia="方正仿宋_GBK" w:cs="方正仿宋_GBK"/>
          <w:sz w:val="32"/>
          <w:szCs w:val="32"/>
          <w:shd w:val="clear" w:color="auto" w:fill="FFFFFF"/>
        </w:rPr>
        <w:t>费用支出较年初预算数减少5.72万元，下降35.75%，主要原因是主要原因是厉行节约，</w:t>
      </w:r>
      <w:r>
        <w:rPr>
          <w:rFonts w:hint="eastAsia" w:ascii="Times New Roman" w:hAnsi="Times New Roman" w:eastAsia="方正仿宋_GBK" w:cs="方正仿宋_GBK"/>
          <w:sz w:val="32"/>
          <w:szCs w:val="32"/>
          <w:lang w:val="en-US" w:eastAsia="zh-CN"/>
        </w:rPr>
        <w:t>严格落实公车使用规定，公车运行维护成本下降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较上年支出数增加2.68万元，增长35.26%，主要原因是主要原因是乡村振兴衔接工作增加，用车增加</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万元，主要用于接待接待</w:t>
      </w:r>
      <w:r>
        <w:rPr>
          <w:rFonts w:hint="eastAsia" w:ascii="方正仿宋_GBK" w:hAnsi="方正仿宋_GBK" w:eastAsia="方正仿宋_GBK" w:cs="方正仿宋_GBK"/>
          <w:sz w:val="32"/>
          <w:szCs w:val="32"/>
          <w:shd w:val="clear" w:color="auto" w:fill="FFFFFF"/>
          <w:lang w:eastAsia="zh-CN"/>
        </w:rPr>
        <w:t>客商。</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较上年支出数增加3.38万元，增长35.14%，主要原因是主要原因</w:t>
      </w:r>
      <w:r>
        <w:rPr>
          <w:rFonts w:ascii="方正仿宋_GBK" w:hAnsi="方正仿宋_GBK" w:eastAsia="方正仿宋_GBK" w:cs="方正仿宋_GBK"/>
          <w:sz w:val="32"/>
          <w:szCs w:val="32"/>
        </w:rPr>
        <w:t>是全镇的公务接待费统一在政府本级核算。</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936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138.89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2.74</w:t>
      </w:r>
      <w:r>
        <w:rPr>
          <w:rFonts w:ascii="方正仿宋_GBK" w:hAnsi="方正仿宋_GBK" w:eastAsia="方正仿宋_GBK" w:cs="方正仿宋_GBK"/>
          <w:sz w:val="32"/>
          <w:szCs w:val="32"/>
          <w:shd w:val="clear" w:color="auto" w:fill="FFFFFF"/>
        </w:rPr>
        <w:t>万元，较上年决算数减少1.89万元，下降40.82%，主要原因是厉行节约，严控会议费支出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万元，较上年决算数减少2.69万元，下降16.02%，主要原因是加大了对职工的培训支出。</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177.94</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lang w:val="en-US" w:eastAsia="zh-CN"/>
        </w:rPr>
        <w:t>办公费、水费、电费、邮电费、差旅费、会议费、培训费、公务接待费、工会经费、公务用车运行维护费以及其他交通费用。</w:t>
      </w:r>
      <w:r>
        <w:rPr>
          <w:rFonts w:ascii="方正仿宋_GBK" w:hAnsi="方正仿宋_GBK" w:eastAsia="方正仿宋_GBK" w:cs="方正仿宋_GBK"/>
          <w:sz w:val="32"/>
          <w:szCs w:val="32"/>
          <w:shd w:val="clear" w:color="auto" w:fill="FFFFFF"/>
        </w:rPr>
        <w:t>机关运行经费较上年支出数减少120.47万元，下降40.37%，主要原因是厉行节约，减少办公费、水电费等支出。</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378.33万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老旧小区改造工程。</w:t>
      </w:r>
    </w:p>
    <w:p>
      <w:pPr>
        <w:pStyle w:val="7"/>
        <w:keepNext w:val="0"/>
        <w:keepLines w:val="0"/>
        <w:pageBreakBefore w:val="0"/>
        <w:widowControl/>
        <w:numPr>
          <w:ilvl w:val="0"/>
          <w:numId w:val="2"/>
        </w:numPr>
        <w:shd w:val="clear" w:color="auto" w:fill="FFFFFF"/>
        <w:kinsoku/>
        <w:wordWrap/>
        <w:overflowPunct/>
        <w:topLinePunct w:val="0"/>
        <w:autoSpaceDN/>
        <w:bidi w:val="0"/>
        <w:adjustRightInd/>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（一）部门自评情况</w:t>
      </w:r>
    </w:p>
    <w:p>
      <w:pPr>
        <w:pStyle w:val="13"/>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根据预算绩效管理要求，我单位对64个项目开展了绩效自评，涉及财政拨款项目支出资金4136.8万元。</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hint="eastAsia" w:ascii="楷体" w:hAnsi="楷体" w:eastAsia="楷体" w:cs="楷体"/>
          <w:b w:val="0"/>
          <w:bCs/>
          <w:sz w:val="32"/>
          <w:szCs w:val="32"/>
          <w:shd w:val="clear" w:color="auto" w:fill="FFFFFF"/>
          <w:lang w:val="en-US" w:eastAsia="zh-CN"/>
        </w:rPr>
      </w:pPr>
      <w:r>
        <w:rPr>
          <w:rFonts w:hint="eastAsia" w:ascii="楷体" w:hAnsi="楷体" w:eastAsia="楷体" w:cs="楷体"/>
          <w:b w:val="0"/>
          <w:bCs/>
          <w:sz w:val="32"/>
          <w:szCs w:val="32"/>
          <w:shd w:val="clear" w:color="auto" w:fill="FFFFFF"/>
          <w:lang w:eastAsia="zh-CN"/>
        </w:rPr>
        <w:t>（</w:t>
      </w:r>
      <w:r>
        <w:rPr>
          <w:rFonts w:hint="eastAsia" w:ascii="楷体" w:hAnsi="楷体" w:eastAsia="楷体" w:cs="楷体"/>
          <w:b w:val="0"/>
          <w:bCs/>
          <w:sz w:val="32"/>
          <w:szCs w:val="32"/>
          <w:shd w:val="clear" w:color="auto" w:fill="FFFFFF"/>
          <w:lang w:val="en-US" w:eastAsia="zh-CN"/>
        </w:rPr>
        <w:t>二）</w:t>
      </w:r>
      <w:r>
        <w:rPr>
          <w:rFonts w:hint="eastAsia" w:ascii="楷体" w:hAnsi="楷体" w:eastAsia="楷体" w:cs="楷体"/>
          <w:b w:val="0"/>
          <w:bCs/>
          <w:sz w:val="32"/>
          <w:szCs w:val="32"/>
          <w:shd w:val="clear" w:color="auto" w:fill="FFFFFF"/>
        </w:rPr>
        <w:t>单位绩效评价情况</w:t>
      </w:r>
    </w:p>
    <w:p>
      <w:pPr>
        <w:pStyle w:val="12"/>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rPr>
        <w:t>1.</w:t>
      </w:r>
      <w:r>
        <w:rPr>
          <w:rFonts w:hint="eastAsia" w:ascii="方正仿宋_GBK" w:hAnsi="方正仿宋_GBK" w:eastAsia="方正仿宋_GBK" w:cs="方正仿宋_GBK"/>
          <w:b w:val="0"/>
          <w:bCs w:val="0"/>
          <w:sz w:val="32"/>
          <w:szCs w:val="32"/>
          <w:shd w:val="clear" w:color="auto" w:fill="FFFFFF"/>
          <w:lang w:val="en-US" w:eastAsia="zh-CN" w:bidi="ar-SA"/>
        </w:rPr>
        <w:t>项</w:t>
      </w:r>
      <w:r>
        <w:rPr>
          <w:rFonts w:hint="eastAsia" w:ascii="方正仿宋_GBK" w:hAnsi="方正仿宋_GBK" w:eastAsia="方正仿宋_GBK" w:cs="方正仿宋_GBK"/>
          <w:sz w:val="32"/>
          <w:szCs w:val="32"/>
          <w:shd w:val="clear" w:color="auto" w:fill="FFFFFF"/>
          <w:lang w:val="en-US" w:eastAsia="zh-CN" w:bidi="ar-SA"/>
        </w:rPr>
        <w:t>目绩效自评表</w:t>
      </w:r>
    </w:p>
    <w:p>
      <w:pPr>
        <w:pStyle w:val="12"/>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公开范围</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 xml:space="preserve">本单位共自评 </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个项目。公开内容</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详见附件项目绩效自评表。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2.绩效自评报告或案例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本单位未委托第三方开展绩效评价</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w:t>
      </w:r>
      <w:r>
        <w:rPr>
          <w:rFonts w:hint="default" w:ascii="方正仿宋_GBK" w:hAnsi="方正仿宋_GBK" w:eastAsia="方正仿宋_GBK" w:cs="方正仿宋_GBK"/>
          <w:sz w:val="32"/>
          <w:szCs w:val="32"/>
          <w:shd w:val="clear" w:color="auto" w:fill="FFFFFF"/>
          <w:lang w:val="en-US" w:eastAsia="zh-CN" w:bidi="ar-SA"/>
        </w:rPr>
        <w:t>关于绩效自评结果的说明。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荣昌区荣隆镇新民社区老旧小区主体及场镇品质提升一体化改造项目</w:t>
      </w:r>
      <w:r>
        <w:rPr>
          <w:rFonts w:hint="eastAsia" w:ascii="方正仿宋_GBK" w:hAnsi="方正仿宋_GBK" w:eastAsia="方正仿宋_GBK" w:cs="方正仿宋_GBK"/>
          <w:sz w:val="32"/>
          <w:szCs w:val="32"/>
          <w:shd w:val="clear" w:color="auto" w:fill="FFFFFF"/>
          <w:lang w:val="en-US" w:eastAsia="zh-CN" w:bidi="ar-SA"/>
        </w:rPr>
        <w:t>，荣隆镇街品质提升项目，荣隆镇零星D级危房改造，农作物（玉米）秸秆青黄贮饲料生产加工，重庆市荣昌区荣隆镇先锋村蔬菜基地抗旱供水工程，荣昌区荣隆镇培爵村2023年公路建设项目，粮食烘干仓储加工中心建设项目，美丽宜居村建设、非洲猪瘟防控专项、</w:t>
      </w:r>
      <w:r>
        <w:rPr>
          <w:rFonts w:hint="default" w:ascii="方正仿宋_GBK" w:hAnsi="方正仿宋_GBK" w:eastAsia="方正仿宋_GBK" w:cs="方正仿宋_GBK"/>
          <w:sz w:val="32"/>
          <w:szCs w:val="32"/>
          <w:shd w:val="clear" w:color="auto" w:fill="FFFFFF"/>
          <w:lang w:val="en-US" w:eastAsia="zh-CN" w:bidi="ar-SA"/>
        </w:rPr>
        <w:t>渝馨家园建设</w:t>
      </w:r>
      <w:r>
        <w:rPr>
          <w:rFonts w:hint="eastAsia" w:ascii="方正仿宋_GBK" w:hAnsi="方正仿宋_GBK" w:eastAsia="方正仿宋_GBK" w:cs="方正仿宋_GBK"/>
          <w:sz w:val="32"/>
          <w:szCs w:val="32"/>
          <w:shd w:val="clear" w:color="auto" w:fill="FFFFFF"/>
          <w:lang w:val="en-US" w:eastAsia="zh-CN" w:bidi="ar-SA"/>
        </w:rPr>
        <w:t>等项目正在顺利进行中；医保工作经费项目：因本镇外流人员较多，参加职工医保人数增加，导致参加居民医保人数减少，未完成参保任务。</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彭圆</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46551008</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附件1：2023年度部门整体绩效自评表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附件2：重庆市荣昌区荣隆镇人民政府2022年度决算公开报表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10"/>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1"/>
        <w:gridCol w:w="1791"/>
        <w:gridCol w:w="1328"/>
        <w:gridCol w:w="1963"/>
        <w:gridCol w:w="943"/>
        <w:gridCol w:w="1462"/>
        <w:gridCol w:w="825"/>
        <w:gridCol w:w="1462"/>
        <w:gridCol w:w="806"/>
        <w:gridCol w:w="1018"/>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53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重庆市荣昌区荣隆镇人民政府整体自评</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50015300023P000075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911-重庆市荣昌区荣隆镇人民政府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13372654880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3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9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66,453,639.80 </w:t>
            </w:r>
          </w:p>
        </w:tc>
        <w:tc>
          <w:tcPr>
            <w:tcW w:w="9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71,404,284.90 </w:t>
            </w:r>
          </w:p>
        </w:tc>
        <w:tc>
          <w:tcPr>
            <w:tcW w:w="82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71,404,284.90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9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66,453,639.80 </w:t>
            </w:r>
          </w:p>
        </w:tc>
        <w:tc>
          <w:tcPr>
            <w:tcW w:w="9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71,404,284.90 </w:t>
            </w:r>
          </w:p>
        </w:tc>
        <w:tc>
          <w:tcPr>
            <w:tcW w:w="82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71,404,284.90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9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66,228,339.80 </w:t>
            </w:r>
          </w:p>
        </w:tc>
        <w:tc>
          <w:tcPr>
            <w:tcW w:w="9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67,571,135.40 </w:t>
            </w:r>
          </w:p>
        </w:tc>
        <w:tc>
          <w:tcPr>
            <w:tcW w:w="82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67,571,135.40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3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689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今年经济社会发展的主要预期目标是：完成地区生产总值增长7.5%；工业增加值增长9%；全社会固定资产投资增长12%；社会消费品零售总额增长8%；一般公共预算收入增长10%；城镇和农村常住居民人均可支配收入分别增长7%、9%；实现上述目标，重点做好以下六个方面的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一是全力以赴保持经济稳定增长，强力推进招商引资，持续扩大有效投资，围绕同城化发展、城乡融合示范、“桥头堡”打造，聚焦荣隆园扩容、荣隆场提升、工矿区改造；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二是全力以赴提升园区承载能力，推动食品企业绿色化、标准化、规模化升级，争取引入中央厨房项目，推动优质食品企业布局直营店、加盟店、数字店，打造成渝地区现代食品产业园区；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三是全力以赴创建国家级制种基地，加快创建国家级玉米制种基地，提升荣昌桥头堡城市辐射带动功能；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四是全力以赴推动城乡融合发展，巩固拓展脱贫攻坚成果同乡村振兴有效衔接，以玉米制种、水稻制种为引擎，发展壮大集体经济，加快农业农村现代化，争创全市乡村振兴示范镇，深入推进乡村建设行动，完成6300亩高标准农田建设、7200亩丘陵山区高标准农田改造提升，争取启动柏香、培爵、葛桥高标准农田改造提升示范项目；完成麻雀岩至龙滩子至观音岩水库联通工程、麻雀岩中型灌区续建配套与节水改造；争取实施玉河沟路、黄坪沿线路、小山路、八河路、刘开路、桂开路、长寨路改建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五是全力以赴促进绿色低碳转型，加大常态化巡护力度，启动连丰河山洪沟治理，配合实施石卡拉水库、龙滩子水库、沙溪河、太平桥河生态修复项目，持续推进河库水土保持。深入落实“林长制”，坚决抓好森林督查问题整改，推进低效林改造、储备林建设，加强松材线虫病防治，提升林业资源管护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六是全力以赴增进民生福祉，推动社保扩面提质，全民基本医保、城乡养老保险参保率稳定在95%以上。全面落实最低生活保障制度，做到动态调整、应纳尽纳，巩固拓展脱贫户、监测户社会救助兜底保障成果。坚持“应救尽救”，扎实做好临时救助、冬春救助，确保困难群众求助有门、受助及时。</w:t>
            </w:r>
          </w:p>
        </w:tc>
        <w:tc>
          <w:tcPr>
            <w:tcW w:w="46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今年经济社会发展的主要预期目标是：完成地区生产总值增长7.5%；工业增加值增长9%；全社会固定资产投资增长12%；社会消费品零售总额增长8%；一般公共预算收入增长10%；城镇和农村常住居民人均可支配收入分别增长7%、9%；实现上述目标，重点做好以下六个方面的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一是全力以赴保持经济稳定增长，强力推进招商引资，持续扩大有效投资，围绕同城化发展、城乡融合示范、“桥头堡”打造，聚焦荣隆园扩容、荣隆场提升、工矿区改造；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二是全力以赴提升园区承载能力，推动食品企业绿色化、标准化、规模化升级，争取引入中央厨房项目，推动优质食品企业布局直营店、加盟店、数字店，打造成渝地区现代食品产业园区；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三是全力以赴创建国家级制种基地，加快创建国家级玉米制种基地，提升荣昌桥头堡城市辐射带动功能；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四是全力以赴推动城乡融合发展，巩固拓展脱贫攻坚成果同乡村振兴有效衔接，以玉米制种、水稻制种为引擎，发展壮大集体经济，加快农业农村现代化，争创全市乡村振兴示范镇，深入推进乡村建设行动，完成6300亩高标准农田建设、7200亩丘陵山区高标准农田改造提升，争取启动柏香、培爵、葛桥高标准农田改造提升示范项目；完成麻雀岩至龙滩子至观音岩水库联通工程、麻雀岩中型灌区续建配套与节水改造；争取实施玉河沟路、黄坪沿线路、小山路、八河路、刘开路、桂开路、长寨路改建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五是全力以赴促进绿色低碳转型，加大常态化巡护力度，启动连丰河山洪沟治理，配合实施石卡拉水库、龙滩子水库、沙溪河、太平桥河生态修复项目，持续推进河库水土保持。深入落实“林长制”，坚决抓好森林督查问题整改，推进低效林改造、储备林建设，加强松材线虫病防治，提升林业资源管护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六是全力以赴增进民生福祉，推动社保扩面提质，全民基本医保、城乡养老保险参保率稳定在95%以上。全面落实最低生活保障制度，做到动态调整、应纳尽纳，巩固拓展脱贫户、监测户社会救助兜底保障成果。坚持“应救尽救”，扎实做好临时救助、冬春救助，确保困难群众求助有门、受助及时。</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社会发展情况：完成地区生产总值增长7.5%；工业增加值增长9%；全社会固定资产投资增长16.4%；社会消费品零售总额增长8%；一般公共预算收入467.9万元；城镇和农村常住居民人均可支配收入分别增长21.4%、9.6%.实现上述目标，主要做了以下六个方面的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是顶压前行、稳中求进，经济运行态势回升向好。镇域经济稳步发展。全年完成工业总产值30.28亿元，同比增长16.4%，其中规上工业总产值完成27.81亿元，同比增长15.59%。完成战新企业总产值2.81亿元、数字经济企业总产值2.84亿。要素保障有力加强。聚焦本镇特色优势,精心设计、谋划、储备一批高质量项目，通过有针对性地强化沟通，成功争取上级转移支付资金6749万元，其中债券资金2242万元。营商环境不断优化。深入贯彻落实区民营经济发展壮大专项行动工作要求，荣获荣昌区发展民营经济工作暨荣昌高新区建园30周年先进集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是内联外拓、创新驱动，扩大内需战略深入实施。招商引资提质增量。实施招商引资突破专项行动，紧盯产业优势资源开展招商引资，累计跟踪项目37个，已签约落地项目6个、正式合同金额4亿元、资金到位1.01亿元，其中成都舟翔农业科技有限公司荣昌猪肉制品加工中心项目总投资达到1亿元，正在跟踪的招商项目23个。有效投资持续扩大。实施抓项目促投资专项行动，全社会固定资产投资完成2.98亿元，同比翻番，其中工业投资增长10倍以上。闲置资源高效利用。持续实施全域农村资源调查行动，全面摸排清理出农村闲置资产55处共约21万平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是真抓实干、以效提能，乡村振兴迸发强劲活力。主导产业成链发展。聚集12家优质制种企业资源建设涵盖制种生产、种业创新、加工配套的1.1万亩玉米制种基地，其中核心区面积超4000亩，成功创建农业部西南春玉米指定生产试点基地，是我市唯一市级玉米制种基地。特色农业示范带动。创新发展模式，建立公司+家庭农场利益联结机制，发展8家肉鸡养殖大户，出栏肉鸡3.4万羽。农村基础有序提升。完成黄坪村沿线路一段、柏香村环8社路、小山路和八河路4条7公里农村公路及1.7公里人行便道建设。完善农村公路养护管理办法，排查整改花大路路基边坡滑坡、玉龙路水毁等10余处交通安全隐患。供给模式加快转变。以村（社区）领创、镇农业农头公司发起成立镇级合作社联合社，吸纳8个村级集体经济组织共同出资，下设8个专业合作社，提供农业生产全年全过程12大项专业化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是固优补短、提档升级，城乡面貌日益更新蝶变。生态建设成效显著。疏堵结合加强露天焚烧管控，开展进村巡查宣传320余次，，露天焚烧整体呈下降趋势。场镇功能大幅提升。坚持把荣隆场镇作为城乡融合发展的主要支点，巩固提升场镇精细化更新力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五是我们关注民生、增进民利，民生福祉得到有效改善。基础兜底保障有力。民生实事落实有力。文体事业蓬勃发展。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六是我们强化治理、防范风险，基层治理水平不断提升。治理体系重塑升级。推进“党建扎桩·治理结网”集成改革工作，纵横贯通“一中心四板块一网格”，重构镇级核心业务事项，完成村（社区）”四清单一目录“清理。社会大局和谐稳定。坚持领导公开接访日和群众工作日相结合，共接待群众来访163次，办理人民来件26件，排查调处各类矛盾纠纷150余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53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高标准农田建设</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农村公路修建里程</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农村公路养护里程</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社会消费品零售增速</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衔接乡村振兴产业到户户数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GDP完成率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城镇品质提升完成率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城镇新增就业人数完成质量</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基本公共服务保障率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困难群众基本生活保障力度</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农村人居环境改善</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生态保护及国土绿化完成率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经调查，群众满意度95%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pStyle w:val="2"/>
        <w:jc w:val="both"/>
        <w:rPr>
          <w:rFonts w:hint="default"/>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重庆市荣昌区荣隆镇人民政府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收入</w:t>
            </w:r>
          </w:p>
        </w:tc>
        <w:tc>
          <w:tcPr>
            <w:tcW w:w="82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6,749.11</w:t>
            </w: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1,342.88</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383.31</w:t>
            </w: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66.41</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1.99</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75.04</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895.67</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128.68</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983.97</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2,006.07</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304.25</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25.10</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1,220.77</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89.60</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7,132.43</w:t>
            </w: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7,140.43</w:t>
            </w: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8.00</w:t>
            </w: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7,140.43</w:t>
            </w:r>
            <w:r>
              <w:rPr>
                <w:color w:val="000000" w:themeColor="text1"/>
                <w:sz w:val="20"/>
                <w:u w:color="auto"/>
                <w14:textFill>
                  <w14:solidFill>
                    <w14:schemeClr w14:val="tx1"/>
                  </w14:solidFill>
                </w14:textFill>
              </w:rPr>
              <w:t xml:space="preserve"> </w:t>
            </w:r>
          </w:p>
        </w:tc>
        <w:tc>
          <w:tcPr>
            <w:tcW w:w="4791"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7,140.43</w:t>
            </w:r>
            <w:r>
              <w:rPr>
                <w:color w:val="000000" w:themeColor="text1"/>
                <w:sz w:val="20"/>
                <w:u w:color="auto"/>
                <w14:textFill>
                  <w14:solidFill>
                    <w14:schemeClr w14:val="tx1"/>
                  </w14:solidFill>
                </w14:textFill>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重庆市荣昌区荣隆镇人民政府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15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7,132.43</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7,132.43</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1,342.88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1,342.88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983.97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983.97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425.88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425.88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1,998.07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1,220.77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1,220.77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重庆市荣昌区荣隆镇人民政府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7,140.43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3,003.63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4,136.80</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1,342.88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1,301.99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112.06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983.97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425.88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2,006.07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995.93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1,220.77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重庆市荣昌区荣隆镇人民政府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6,749.11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1,342.88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1,342.88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983.97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293.72</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2,006.07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2,006.07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7,132.43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7,140.43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6,757.11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7,140.43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7,140.43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6,757.11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重庆市荣昌区荣隆镇人民政府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6,757.11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3,003.63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3,753.48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1,342.88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1,065.18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277.71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1,301.99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1,065.18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783.61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632.69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190.42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252.79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52.18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52.18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690.25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564.37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425.88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125.88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2,006.07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995.93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712.03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712.03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1,220.77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重庆市荣昌区荣隆镇人民政府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2,240.05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400.37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207.31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302.25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570.77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361.94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2,601.99</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401.64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重庆市荣昌区荣隆镇人民政府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重庆市荣昌区荣隆镇人民政府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重庆市荣昌区荣隆镇人民政府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177.94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36.36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36.36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177.94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23.36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23.36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936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14.10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DEA6B"/>
    <w:multiLevelType w:val="singleLevel"/>
    <w:tmpl w:val="937DEA6B"/>
    <w:lvl w:ilvl="0" w:tentative="0">
      <w:start w:val="2"/>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YjNmMTAzYzc3MjJlNWI4MzczZGRmMjllMDhkMW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A4461E"/>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49568A"/>
    <w:rsid w:val="0B9335CE"/>
    <w:rsid w:val="0C7927C4"/>
    <w:rsid w:val="0C9B098C"/>
    <w:rsid w:val="0D673E11"/>
    <w:rsid w:val="0DDA54E4"/>
    <w:rsid w:val="0E3A5F83"/>
    <w:rsid w:val="0E74421A"/>
    <w:rsid w:val="0F4C0B59"/>
    <w:rsid w:val="0F836721"/>
    <w:rsid w:val="0FA25D96"/>
    <w:rsid w:val="107B59E5"/>
    <w:rsid w:val="10EC0126"/>
    <w:rsid w:val="10F70B9A"/>
    <w:rsid w:val="111445C7"/>
    <w:rsid w:val="114278C6"/>
    <w:rsid w:val="1158083A"/>
    <w:rsid w:val="11643A4B"/>
    <w:rsid w:val="11817220"/>
    <w:rsid w:val="11ED0F98"/>
    <w:rsid w:val="11F03528"/>
    <w:rsid w:val="12C921C4"/>
    <w:rsid w:val="13181D71"/>
    <w:rsid w:val="13871C70"/>
    <w:rsid w:val="13A71CB4"/>
    <w:rsid w:val="13AF1D43"/>
    <w:rsid w:val="13CE1647"/>
    <w:rsid w:val="13FD55AB"/>
    <w:rsid w:val="14200702"/>
    <w:rsid w:val="163A6CEE"/>
    <w:rsid w:val="173708E3"/>
    <w:rsid w:val="177F7ADA"/>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890889"/>
    <w:rsid w:val="37BF1123"/>
    <w:rsid w:val="383C3F15"/>
    <w:rsid w:val="38BE4696"/>
    <w:rsid w:val="3939115E"/>
    <w:rsid w:val="39B82A39"/>
    <w:rsid w:val="39C42CA8"/>
    <w:rsid w:val="39DC4FD6"/>
    <w:rsid w:val="39F03D7A"/>
    <w:rsid w:val="39F33306"/>
    <w:rsid w:val="3A2C1C67"/>
    <w:rsid w:val="3B1705E5"/>
    <w:rsid w:val="3B18334B"/>
    <w:rsid w:val="3B36794F"/>
    <w:rsid w:val="3BB94D09"/>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5C46D5"/>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3C84CF1"/>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12193</Words>
  <Characters>18351</Characters>
  <Lines>194</Lines>
  <Paragraphs>54</Paragraphs>
  <ScaleCrop>false</ScaleCrop>
  <LinksUpToDate>false</LinksUpToDate>
  <CharactersWithSpaces>20952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2024-10-08T02:18:20Z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