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重庆市荣昌区清升镇退役军人服务站</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9"/>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spacing w:line="60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为镇政府管理的正科级全额拨款事业单位(公益一类)。宗旨:为退役军人提供服务。主要职责:负责退役军人关系转接、联络接待、困难帮扶、信息采集、情况反映、立功喜报、悬挂光荣牌和“八一”、春节等节日以及重大变故走访慰问等具体事务，搭建政策咨询、帮扶援助、沟通联系、学习交流等活动场所;承担其他涉及退役军人的相关服务等工作。</w:t>
      </w:r>
    </w:p>
    <w:p>
      <w:pPr>
        <w:pStyle w:val="6"/>
        <w:shd w:val="clear" w:color="auto" w:fill="FFFFFF"/>
        <w:ind w:firstLine="420"/>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pPr>
        <w:spacing w:line="60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从预算单位构成看，纳入本部门2023年度决算编制的二级预算单位主要包括重庆市荣昌区清升镇人民政府退役军人服务站。</w:t>
      </w:r>
    </w:p>
    <w:p>
      <w:pPr>
        <w:pStyle w:val="6"/>
        <w:shd w:val="clear" w:color="auto" w:fill="FFFFFF"/>
        <w:rPr>
          <w:rFonts w:hint="default" w:ascii="方正仿宋_GBK" w:hAnsi="方正仿宋_GBK" w:eastAsia="方正仿宋_GBK" w:cs="方正仿宋_GBK"/>
          <w:sz w:val="32"/>
          <w:szCs w:val="32"/>
        </w:rPr>
      </w:pPr>
      <w:r>
        <w:rPr>
          <w:rStyle w:val="9"/>
          <w:rFonts w:ascii="黑体" w:hAnsi="黑体" w:eastAsia="黑体" w:cs="黑体"/>
          <w:sz w:val="32"/>
          <w:szCs w:val="32"/>
          <w:shd w:val="clear" w:color="auto" w:fill="FFFFFF"/>
        </w:rPr>
        <w:t>二、单位决算情况说明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2023年度收入总计51.12万元，支出总计</w:t>
      </w:r>
      <w:r>
        <w:rPr>
          <w:rFonts w:ascii="方正仿宋_GBK" w:hAnsi="方正仿宋_GBK" w:eastAsia="方正仿宋_GBK" w:cs="方正仿宋_GBK"/>
          <w:sz w:val="32"/>
          <w:szCs w:val="32"/>
        </w:rPr>
        <w:t>51.12</w:t>
      </w:r>
      <w:r>
        <w:rPr>
          <w:rFonts w:ascii="方正仿宋_GBK" w:hAnsi="方正仿宋_GBK" w:eastAsia="方正仿宋_GBK" w:cs="方正仿宋_GBK"/>
          <w:sz w:val="32"/>
          <w:szCs w:val="32"/>
          <w:shd w:val="clear" w:color="auto" w:fill="FFFFFF"/>
        </w:rPr>
        <w:t>万元。收支较上年决算数减少8.58万元，下降14.37%，主要原因是</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财政拨付本单位的专项资金中，一般公共预算财政拨款收入减少8.58万元；二是厉行节约，压减公用经费。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2023年度收入合计51.12万元，较上年决算数减少8.58万元，下降14.37%，主要原因是</w:t>
      </w:r>
      <w:r>
        <w:rPr>
          <w:rFonts w:hint="eastAsia" w:ascii="方正仿宋_GBK" w:hAnsi="方正仿宋_GBK" w:eastAsia="方正仿宋_GBK" w:cs="方正仿宋_GBK"/>
          <w:sz w:val="32"/>
          <w:szCs w:val="32"/>
          <w:shd w:val="clear" w:color="auto" w:fill="FFFFFF"/>
          <w:lang w:val="en-US" w:eastAsia="zh-CN"/>
        </w:rPr>
        <w:t>财政拨付本单位的专项资金中，一般公共预算财政拨款收入减少8.58万元。</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51.12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51.12</w:t>
      </w:r>
      <w:r>
        <w:rPr>
          <w:rFonts w:ascii="方正仿宋_GBK" w:hAnsi="方正仿宋_GBK" w:eastAsia="方正仿宋_GBK" w:cs="方正仿宋_GBK"/>
          <w:sz w:val="32"/>
          <w:szCs w:val="32"/>
          <w:shd w:val="clear" w:color="auto" w:fill="FFFFFF"/>
        </w:rPr>
        <w:t>万元，较上年决算数减少8.58万元，下降14.37%，主要原因是</w:t>
      </w:r>
      <w:r>
        <w:rPr>
          <w:rFonts w:hint="eastAsia" w:ascii="方正仿宋_GBK" w:hAnsi="方正仿宋_GBK" w:eastAsia="方正仿宋_GBK" w:cs="方正仿宋_GBK"/>
          <w:sz w:val="32"/>
          <w:szCs w:val="32"/>
          <w:shd w:val="clear" w:color="auto" w:fill="FFFFFF"/>
          <w:lang w:val="en-US" w:eastAsia="zh-CN"/>
        </w:rPr>
        <w:t>厉行节约，压减公用经费。</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51.12</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2023年度无年末结转和结余。</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2023年度财政拨款收、支总计51.12万元。与2022年相比，财政拨款收、支总计各减少8.58万元，下降14.37%。主要原因是</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财政拨付本单位的专项资金中，一般公共预算财政拨款收入减少8.58万元；二是厉行节约，压减公用经费。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51.12</w:t>
      </w:r>
      <w:r>
        <w:rPr>
          <w:rFonts w:ascii="方正仿宋_GBK" w:hAnsi="方正仿宋_GBK" w:eastAsia="方正仿宋_GBK" w:cs="方正仿宋_GBK"/>
          <w:sz w:val="32"/>
          <w:szCs w:val="32"/>
          <w:shd w:val="clear" w:color="auto" w:fill="FFFFFF"/>
        </w:rPr>
        <w:t>万元，较上年决算数减少8.58万元，下降14.37%。主要原因是</w:t>
      </w:r>
      <w:r>
        <w:rPr>
          <w:rFonts w:hint="eastAsia" w:ascii="方正仿宋_GBK" w:hAnsi="方正仿宋_GBK" w:eastAsia="方正仿宋_GBK" w:cs="方正仿宋_GBK"/>
          <w:sz w:val="32"/>
          <w:szCs w:val="32"/>
          <w:shd w:val="clear" w:color="auto" w:fill="FFFFFF"/>
          <w:lang w:val="en-US" w:eastAsia="zh-CN"/>
        </w:rPr>
        <w:t>财政拨付本单位的专项资金中，一般公共预算财政拨款收入减少8.58万元。</w:t>
      </w:r>
      <w:r>
        <w:rPr>
          <w:rFonts w:ascii="方正仿宋_GBK" w:hAnsi="方正仿宋_GBK" w:eastAsia="方正仿宋_GBK" w:cs="方正仿宋_GBK"/>
          <w:sz w:val="32"/>
          <w:szCs w:val="32"/>
          <w:shd w:val="clear" w:color="auto" w:fill="FFFFFF"/>
        </w:rPr>
        <w:t>较年初预算数减少6.70万元，下降11.59%。主要原因是</w:t>
      </w:r>
      <w:r>
        <w:rPr>
          <w:rFonts w:hint="eastAsia" w:ascii="方正仿宋_GBK" w:hAnsi="方正仿宋_GBK" w:eastAsia="方正仿宋_GBK" w:cs="方正仿宋_GBK"/>
          <w:sz w:val="32"/>
          <w:szCs w:val="32"/>
          <w:shd w:val="clear" w:color="auto" w:fill="FFFFFF"/>
          <w:lang w:val="en-US" w:eastAsia="zh-CN"/>
        </w:rPr>
        <w:t>单位内部加强预算管理，对公用经费进行严格的预算编制和控制，厉行节约，压减公用经费开支。</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51.12</w:t>
      </w:r>
      <w:r>
        <w:rPr>
          <w:rFonts w:ascii="方正仿宋_GBK" w:hAnsi="方正仿宋_GBK" w:eastAsia="方正仿宋_GBK" w:cs="方正仿宋_GBK"/>
          <w:sz w:val="32"/>
          <w:szCs w:val="32"/>
          <w:shd w:val="clear" w:color="auto" w:fill="FFFFFF"/>
        </w:rPr>
        <w:t>万元，较上年决算数减少8.58万元，下降14.37%。主要原因是</w:t>
      </w:r>
      <w:r>
        <w:rPr>
          <w:rFonts w:hint="eastAsia" w:ascii="方正仿宋_GBK" w:hAnsi="方正仿宋_GBK" w:eastAsia="方正仿宋_GBK" w:cs="方正仿宋_GBK"/>
          <w:sz w:val="32"/>
          <w:szCs w:val="32"/>
          <w:shd w:val="clear" w:color="auto" w:fill="FFFFFF"/>
          <w:lang w:val="en-US" w:eastAsia="zh-CN"/>
        </w:rPr>
        <w:t>财政拨付本单位的专项资金中，一般公共预算财政拨款收入减少8.58万元。</w:t>
      </w:r>
      <w:r>
        <w:rPr>
          <w:rFonts w:ascii="方正仿宋_GBK" w:hAnsi="方正仿宋_GBK" w:eastAsia="方正仿宋_GBK" w:cs="方正仿宋_GBK"/>
          <w:sz w:val="32"/>
          <w:szCs w:val="32"/>
          <w:shd w:val="clear" w:color="auto" w:fill="FFFFFF"/>
        </w:rPr>
        <w:t>较年初预算数减少6.70万元，下降11.59%。主要原因是</w:t>
      </w:r>
      <w:r>
        <w:rPr>
          <w:rFonts w:hint="eastAsia" w:ascii="方正仿宋_GBK" w:hAnsi="方正仿宋_GBK" w:eastAsia="方正仿宋_GBK" w:cs="方正仿宋_GBK"/>
          <w:sz w:val="32"/>
          <w:szCs w:val="32"/>
          <w:shd w:val="clear" w:color="auto" w:fill="FFFFFF"/>
          <w:lang w:val="en-US" w:eastAsia="zh-CN"/>
        </w:rPr>
        <w:t>单位内部加强预算管理，对公用经费进行严格的预算编制和控制，厉行节约，压减公用经费开支。</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2023年度无年末结转和结余。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45.84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89.66</w:t>
      </w:r>
      <w:r>
        <w:rPr>
          <w:rFonts w:ascii="方正仿宋_GBK" w:hAnsi="方正仿宋_GBK" w:eastAsia="方正仿宋_GBK" w:cs="方正仿宋_GBK"/>
          <w:sz w:val="32"/>
          <w:szCs w:val="32"/>
          <w:shd w:val="clear" w:color="auto" w:fill="FFFFFF"/>
        </w:rPr>
        <w:t>%，较年初预算数减少6.51万元，下降12.44%，主要原因是</w:t>
      </w:r>
      <w:r>
        <w:rPr>
          <w:rFonts w:hint="eastAsia" w:ascii="方正仿宋_GBK" w:hAnsi="方正仿宋_GBK" w:eastAsia="方正仿宋_GBK" w:cs="方正仿宋_GBK"/>
          <w:sz w:val="32"/>
          <w:szCs w:val="32"/>
          <w:shd w:val="clear" w:color="auto" w:fill="FFFFFF"/>
          <w:lang w:val="en-US" w:eastAsia="zh-CN"/>
        </w:rPr>
        <w:t>厉行节约，压减公用经费开支。</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5.02</w:t>
      </w:r>
      <w:r>
        <w:rPr>
          <w:rFonts w:ascii="方正仿宋_GBK" w:hAnsi="方正仿宋_GBK" w:eastAsia="方正仿宋_GBK" w:cs="方正仿宋_GBK"/>
          <w:sz w:val="32"/>
          <w:szCs w:val="32"/>
          <w:shd w:val="clear" w:color="auto" w:fill="FFFFFF"/>
        </w:rPr>
        <w:t>%，较年初预算数减少0.18万元，下降6.55%，主要原因是</w:t>
      </w:r>
      <w:r>
        <w:rPr>
          <w:rFonts w:hint="eastAsia" w:ascii="方正仿宋_GBK" w:hAnsi="方正仿宋_GBK" w:eastAsia="方正仿宋_GBK" w:cs="方正仿宋_GBK"/>
          <w:sz w:val="32"/>
          <w:szCs w:val="32"/>
          <w:shd w:val="clear" w:color="auto" w:fill="FFFFFF"/>
        </w:rPr>
        <w:t>生育保险</w:t>
      </w:r>
      <w:r>
        <w:rPr>
          <w:rFonts w:hint="eastAsia" w:ascii="方正仿宋_GBK" w:hAnsi="方正仿宋_GBK" w:eastAsia="方正仿宋_GBK" w:cs="方正仿宋_GBK"/>
          <w:sz w:val="32"/>
          <w:szCs w:val="32"/>
          <w:shd w:val="clear" w:color="auto" w:fill="FFFFFF"/>
          <w:lang w:eastAsia="zh-CN"/>
        </w:rPr>
        <w:t>费用减少。</w:t>
      </w:r>
    </w:p>
    <w:p>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5.32</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51.12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49.63</w:t>
      </w:r>
      <w:r>
        <w:rPr>
          <w:rFonts w:ascii="方正仿宋_GBK" w:hAnsi="方正仿宋_GBK" w:eastAsia="方正仿宋_GBK" w:cs="方正仿宋_GBK"/>
          <w:sz w:val="32"/>
          <w:szCs w:val="32"/>
          <w:shd w:val="clear" w:color="auto" w:fill="FFFFFF"/>
        </w:rPr>
        <w:t>万元，较上年决算数增加0.39万元，增长0.79%，主要原因是</w:t>
      </w:r>
      <w:r>
        <w:rPr>
          <w:rFonts w:hint="eastAsia" w:ascii="方正仿宋_GBK" w:hAnsi="方正仿宋_GBK" w:eastAsia="方正仿宋_GBK" w:cs="方正仿宋_GBK"/>
          <w:sz w:val="32"/>
          <w:szCs w:val="32"/>
          <w:shd w:val="clear" w:color="auto" w:fill="FFFFFF"/>
          <w:lang w:eastAsia="zh-CN"/>
        </w:rPr>
        <w:t>根据工资文件，人员工资略有上浮。</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基本工资、绩效工资、津贴补贴、各项奖金、社会保障缴费以及部分离退休人员经费支出等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1.50</w:t>
      </w:r>
      <w:r>
        <w:rPr>
          <w:rFonts w:ascii="方正仿宋_GBK" w:hAnsi="方正仿宋_GBK" w:eastAsia="方正仿宋_GBK" w:cs="方正仿宋_GBK"/>
          <w:sz w:val="32"/>
          <w:szCs w:val="32"/>
          <w:shd w:val="clear" w:color="auto" w:fill="FFFFFF"/>
        </w:rPr>
        <w:t>万元，较上年决算数减少8.96万元，下降85.66%，主要原因是</w:t>
      </w:r>
      <w:r>
        <w:rPr>
          <w:rFonts w:hint="eastAsia" w:ascii="方正仿宋_GBK" w:hAnsi="方正仿宋_GBK" w:eastAsia="方正仿宋_GBK" w:cs="方正仿宋_GBK"/>
          <w:sz w:val="32"/>
          <w:szCs w:val="32"/>
          <w:shd w:val="clear" w:color="auto" w:fill="FFFFFF"/>
          <w:lang w:eastAsia="zh-CN"/>
        </w:rPr>
        <w:t>厉行节约，压减开支，公用经费减</w:t>
      </w:r>
      <w:r>
        <w:rPr>
          <w:rFonts w:hint="eastAsia" w:ascii="方正仿宋_GBK" w:hAnsi="方正仿宋_GBK" w:eastAsia="方正仿宋_GBK" w:cs="方正仿宋_GBK"/>
          <w:color w:val="auto"/>
          <w:sz w:val="32"/>
          <w:szCs w:val="32"/>
          <w:shd w:val="clear" w:color="auto" w:fill="FFFFFF"/>
          <w:lang w:eastAsia="zh-CN"/>
        </w:rPr>
        <w:t>少。</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办公费、印刷费、咨询费、水电费、邮电费、差旅费、会议费、公务接待费、劳务费、公务用车运行维护费、其他商品和服务支出等费用支出。</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2"/>
        <w:autoSpaceDE w:val="0"/>
        <w:ind w:firstLine="643"/>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本部门2023年度无政府性基金预算财政拨款收支。</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本部门2023年度无国有资本经营预算财政拨款支出。</w:t>
      </w:r>
    </w:p>
    <w:p>
      <w:pPr>
        <w:pStyle w:val="6"/>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三、“三公”经费情况说明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万元，较年初预算数无增减，较上年支出数减少0.03万元，下降100.00%，主要原因是</w:t>
      </w:r>
      <w:r>
        <w:rPr>
          <w:rFonts w:hint="eastAsia" w:ascii="方正仿宋_GBK" w:hAnsi="方正仿宋_GBK" w:eastAsia="方正仿宋_GBK" w:cs="方正仿宋_GBK"/>
          <w:sz w:val="32"/>
          <w:szCs w:val="32"/>
          <w:shd w:val="clear" w:color="auto" w:fill="FFFFFF"/>
          <w:lang w:eastAsia="zh-CN"/>
        </w:rPr>
        <w:t>未发生三公经费支出。</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val="en-US" w:eastAsia="zh-CN"/>
        </w:rPr>
        <w:t>2023年度未发生因公出国（境）费用支出。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val="en-US" w:eastAsia="zh-CN"/>
        </w:rPr>
        <w:t>2023年度未发生</w:t>
      </w:r>
      <w:r>
        <w:rPr>
          <w:rFonts w:ascii="方正仿宋_GBK" w:hAnsi="方正仿宋_GBK" w:eastAsia="方正仿宋_GBK" w:cs="方正仿宋_GBK"/>
          <w:sz w:val="32"/>
          <w:szCs w:val="32"/>
          <w:shd w:val="clear" w:color="auto" w:fill="FFFFFF"/>
        </w:rPr>
        <w:t>公务车购置</w:t>
      </w:r>
      <w:r>
        <w:rPr>
          <w:rFonts w:hint="eastAsia" w:ascii="方正仿宋_GBK" w:hAnsi="方正仿宋_GBK" w:eastAsia="方正仿宋_GBK" w:cs="方正仿宋_GBK"/>
          <w:sz w:val="32"/>
          <w:szCs w:val="32"/>
          <w:shd w:val="clear" w:color="auto" w:fill="FFFFFF"/>
          <w:lang w:eastAsia="zh-CN"/>
        </w:rPr>
        <w:t>费用支出。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eastAsia="zh-CN"/>
        </w:rPr>
        <w:t>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万元，费用支出较年初预算数无增减，较上年支出数减少0.03万元，下降100.00%，主要原因是</w:t>
      </w:r>
      <w:r>
        <w:rPr>
          <w:rFonts w:hint="eastAsia" w:ascii="方正仿宋_GBK" w:hAnsi="方正仿宋_GBK" w:eastAsia="方正仿宋_GBK" w:cs="方正仿宋_GBK"/>
          <w:sz w:val="32"/>
          <w:szCs w:val="32"/>
          <w:shd w:val="clear" w:color="auto" w:fill="FFFFFF"/>
          <w:lang w:val="en-US" w:eastAsia="zh-CN"/>
        </w:rPr>
        <w:t>2023年度未发生</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支出。</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万元，较上年决算数增加0.20万元，增长100.00%，主要原因是</w:t>
      </w:r>
      <w:r>
        <w:rPr>
          <w:rFonts w:hint="eastAsia" w:ascii="方正仿宋_GBK" w:hAnsi="方正仿宋_GBK" w:eastAsia="方正仿宋_GBK" w:cs="方正仿宋_GBK"/>
          <w:sz w:val="32"/>
          <w:szCs w:val="32"/>
          <w:shd w:val="clear" w:color="auto" w:fill="FFFFFF"/>
          <w:lang w:val="en-US" w:eastAsia="zh-CN"/>
        </w:rPr>
        <w:t>2023年本单位人员进行了业务培训，合理开支。</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2"/>
        <w:autoSpaceDE w:val="0"/>
        <w:ind w:firstLine="643"/>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按照部门决算列报口径，我单位不在机关运行经费统计范围之内。</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960" w:firstLineChars="3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numPr>
          <w:ilvl w:val="0"/>
          <w:numId w:val="1"/>
        </w:numPr>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3"/>
        <w:autoSpaceDE w:val="0"/>
        <w:spacing w:before="0" w:beforeAutospacing="0" w:line="600" w:lineRule="exact"/>
        <w:ind w:firstLine="960" w:firstLineChars="3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2"/>
        <w:autoSpaceDE w:val="0"/>
        <w:ind w:firstLine="960" w:firstLineChars="3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2"/>
        <w:autoSpaceDE w:val="0"/>
        <w:ind w:firstLine="960" w:firstLineChars="3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6"/>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pPr>
        <w:pStyle w:val="12"/>
        <w:autoSpaceDE w:val="0"/>
        <w:ind w:firstLine="960" w:firstLineChars="300"/>
        <w:rPr>
          <w:rFonts w:hint="eastAsia" w:ascii="方正仿宋_GBK" w:hAnsi="方正仿宋_GBK" w:eastAsia="方正仿宋_GBK" w:cs="方正仿宋_GBK"/>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罗橙</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val="en-US" w:eastAsia="zh-CN" w:bidi="ar-SA"/>
        </w:rPr>
        <w:t>023-81069618</w:t>
      </w:r>
    </w:p>
    <w:p>
      <w:pPr>
        <w:pStyle w:val="12"/>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pPr>
    </w:p>
    <w:p>
      <w:pPr>
        <w:pStyle w:val="12"/>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pPr>
    </w:p>
    <w:p>
      <w:pPr>
        <w:pStyle w:val="12"/>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pPr>
    </w:p>
    <w:p>
      <w:pPr>
        <w:pStyle w:val="12"/>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pPr>
    </w:p>
    <w:p>
      <w:pPr>
        <w:pStyle w:val="12"/>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pPr>
    </w:p>
    <w:p>
      <w:pPr>
        <w:pStyle w:val="12"/>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ascii="Arial" w:hAnsi="Arial" w:cs="Arial"/>
                <w:color w:val="000000"/>
                <w:sz w:val="22"/>
                <w:szCs w:val="22"/>
              </w:rPr>
            </w:pPr>
            <w:r>
              <w:rPr>
                <w:rFonts w:cs="宋体"/>
                <w:color w:val="000000"/>
                <w:sz w:val="20"/>
                <w:szCs w:val="20"/>
              </w:rPr>
              <w:t>公开单位：</w:t>
            </w:r>
            <w:r>
              <w:rPr>
                <w:color w:val="000000"/>
                <w:sz w:val="20"/>
                <w:u w:color="auto"/>
              </w:rPr>
              <w:t>重庆市荣昌区清升镇退役军人服务站</w:t>
            </w:r>
          </w:p>
        </w:tc>
        <w:tc>
          <w:tcPr>
            <w:tcW w:w="480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51.12</w:t>
            </w: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45.84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51.12</w:t>
            </w: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51.12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51.12</w:t>
            </w: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51.12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color w:val="000000"/>
                <w:sz w:val="20"/>
                <w:u w:color="auto"/>
              </w:rPr>
              <w:t>重庆市荣昌区清升镇退役军人服务站</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51.12</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51.12</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45.84</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45.84</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5.37</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5.37</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40.46</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40.46</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40.46</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40.46</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 xml:space="preserve">重庆市荣昌区清升镇退役军人服务站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51.12</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51.12</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45.84</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45.84</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5.37</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5.37</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40.46</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40.46</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40.46</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40.46</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5378" w:type="dxa"/>
        <w:tblInd w:w="0" w:type="dxa"/>
        <w:tblLayout w:type="fixed"/>
        <w:tblCellMar>
          <w:top w:w="0" w:type="dxa"/>
          <w:left w:w="0" w:type="dxa"/>
          <w:bottom w:w="0" w:type="dxa"/>
          <w:right w:w="0" w:type="dxa"/>
        </w:tblCellMar>
      </w:tblPr>
      <w:tblGrid>
        <w:gridCol w:w="3110"/>
        <w:gridCol w:w="1593"/>
        <w:gridCol w:w="3330"/>
        <w:gridCol w:w="1"/>
        <w:gridCol w:w="1774"/>
        <w:gridCol w:w="1"/>
        <w:gridCol w:w="1774"/>
        <w:gridCol w:w="1774"/>
        <w:gridCol w:w="1"/>
        <w:gridCol w:w="2020"/>
      </w:tblGrid>
      <w:tr>
        <w:tblPrEx>
          <w:tblLayout w:type="fixed"/>
          <w:tblCellMar>
            <w:top w:w="0" w:type="dxa"/>
            <w:left w:w="0" w:type="dxa"/>
            <w:bottom w:w="0" w:type="dxa"/>
            <w:right w:w="0" w:type="dxa"/>
          </w:tblCellMar>
        </w:tblPrEx>
        <w:trPr>
          <w:trHeight w:val="90" w:hRule="atLeast"/>
        </w:trPr>
        <w:tc>
          <w:tcPr>
            <w:tcW w:w="15378" w:type="dxa"/>
            <w:gridSpan w:val="10"/>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400" w:lineRule="exact"/>
              <w:jc w:val="center"/>
              <w:textAlignment w:val="bottom"/>
              <w:rPr>
                <w:rFonts w:hint="default" w:cs="宋体"/>
                <w:b/>
                <w:color w:val="000000"/>
                <w:sz w:val="32"/>
                <w:szCs w:val="32"/>
              </w:rPr>
            </w:pPr>
            <w:bookmarkStart w:id="0" w:name="_GoBack"/>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8033"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重庆市荣昌区清升镇退役军人服务站</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202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8033"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202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90" w:hRule="atLeast"/>
        </w:trPr>
        <w:tc>
          <w:tcPr>
            <w:tcW w:w="4703"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675" w:type="dxa"/>
            <w:gridSpan w:val="8"/>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3110"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9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331" w:type="dxa"/>
            <w:gridSpan w:val="2"/>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344" w:type="dxa"/>
            <w:gridSpan w:val="6"/>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311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59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3331"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7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75"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02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51.12</w:t>
            </w: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45.84</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45.84</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51.12</w:t>
            </w: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51.12</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51.12</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51.12</w:t>
            </w: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51.12</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51.12</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bookmarkEnd w:id="0"/>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重庆市荣昌区清升镇退役军人服务站</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51.12</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51.12</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45.84</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45.84</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5.37</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5.37</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3.58</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3.58</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40.46</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40.46</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40.46</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40.46</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0.79</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0.79</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2.72</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2.72</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重庆市荣昌区清升镇退役军人服务站</w:t>
            </w:r>
          </w:p>
        </w:tc>
        <w:tc>
          <w:tcPr>
            <w:tcW w:w="19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49.63</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11.59</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25.53</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49.63</w:t>
            </w:r>
            <w:r>
              <w:rPr>
                <w:color w:val="000000"/>
                <w:sz w:val="18"/>
                <w:u w:color="auto"/>
              </w:rPr>
              <w:t xml:space="preserve"> </w:t>
            </w:r>
          </w:p>
        </w:tc>
        <w:tc>
          <w:tcPr>
            <w:tcW w:w="8750" w:type="dxa"/>
            <w:gridSpan w:val="5"/>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r>
    </w:tbl>
    <w:p>
      <w:pPr>
        <w:spacing w:line="280" w:lineRule="exact"/>
        <w:rPr>
          <w:rFonts w:hint="default" w:ascii="宋体" w:hAnsi="宋体" w:eastAsia="宋体" w:cs="宋体"/>
          <w:sz w:val="21"/>
          <w:szCs w:val="21"/>
          <w:lang w:val="en-US" w:eastAsia="zh-CN" w:bidi="ar-SA"/>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重庆市荣昌区清升镇退役军人服务站</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ascii="宋体" w:hAnsi="宋体" w:eastAsia="宋体" w:cs="宋体"/>
          <w:sz w:val="21"/>
          <w:szCs w:val="21"/>
          <w:lang w:val="en-US" w:eastAsia="zh-CN" w:bidi="ar-SA"/>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重庆市荣昌区清升镇退役军人服务站</w:t>
            </w:r>
          </w:p>
        </w:tc>
        <w:tc>
          <w:tcPr>
            <w:tcW w:w="3752"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4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752"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4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378" w:type="dxa"/>
        <w:tblInd w:w="0" w:type="dxa"/>
        <w:tblLayout w:type="fixed"/>
        <w:tblCellMar>
          <w:top w:w="0" w:type="dxa"/>
          <w:left w:w="170" w:type="dxa"/>
          <w:bottom w:w="0" w:type="dxa"/>
          <w:right w:w="170" w:type="dxa"/>
        </w:tblCellMar>
      </w:tblPr>
      <w:tblGrid>
        <w:gridCol w:w="4143"/>
        <w:gridCol w:w="2220"/>
        <w:gridCol w:w="2169"/>
        <w:gridCol w:w="4638"/>
        <w:gridCol w:w="2208"/>
      </w:tblGrid>
      <w:tr>
        <w:tblPrEx>
          <w:tblLayout w:type="fixed"/>
          <w:tblCellMar>
            <w:top w:w="0" w:type="dxa"/>
            <w:left w:w="170" w:type="dxa"/>
            <w:bottom w:w="0" w:type="dxa"/>
            <w:right w:w="170" w:type="dxa"/>
          </w:tblCellMar>
        </w:tblPrEx>
        <w:trPr>
          <w:trHeight w:val="343" w:hRule="atLeast"/>
        </w:trPr>
        <w:tc>
          <w:tcPr>
            <w:tcW w:w="15378"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14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rPr>
                <w:rFonts w:hint="default" w:cs="宋体"/>
                <w:color w:val="000000"/>
                <w:sz w:val="20"/>
                <w:szCs w:val="20"/>
              </w:rPr>
            </w:pP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center"/>
              <w:rPr>
                <w:rFonts w:hint="default" w:cs="宋体"/>
                <w:color w:val="000000"/>
                <w:sz w:val="20"/>
                <w:szCs w:val="20"/>
              </w:rPr>
            </w:pP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rPr>
                <w:rFonts w:hint="default" w:cs="宋体"/>
                <w:color w:val="000000"/>
                <w:sz w:val="20"/>
                <w:szCs w:val="20"/>
              </w:rPr>
            </w:pPr>
          </w:p>
        </w:tc>
        <w:tc>
          <w:tcPr>
            <w:tcW w:w="463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rPr>
                <w:rFonts w:hint="default" w:cs="宋体"/>
                <w:color w:val="000000"/>
                <w:sz w:val="20"/>
                <w:szCs w:val="20"/>
              </w:rPr>
            </w:pP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363"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重庆市荣昌区清升镇退役军人服务站</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rPr>
                <w:rFonts w:hint="default" w:cs="宋体"/>
                <w:color w:val="000000"/>
                <w:sz w:val="20"/>
                <w:szCs w:val="20"/>
              </w:rPr>
            </w:pPr>
          </w:p>
        </w:tc>
        <w:tc>
          <w:tcPr>
            <w:tcW w:w="463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rPr>
                <w:rFonts w:hint="default" w:cs="宋体"/>
                <w:color w:val="000000"/>
                <w:sz w:val="20"/>
                <w:szCs w:val="20"/>
              </w:rPr>
            </w:pP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170" w:type="dxa"/>
            <w:bottom w:w="0" w:type="dxa"/>
            <w:right w:w="170" w:type="dxa"/>
          </w:tblCellMar>
        </w:tblPrEx>
        <w:trPr>
          <w:trHeight w:val="28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22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6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2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6"/>
                <w:szCs w:val="16"/>
              </w:rPr>
            </w:pP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6"/>
                <w:szCs w:val="16"/>
              </w:rPr>
            </w:pP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2B6680"/>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D00949"/>
    <w:rsid w:val="2C636760"/>
    <w:rsid w:val="2C6762A3"/>
    <w:rsid w:val="2C740519"/>
    <w:rsid w:val="2FCA4B37"/>
    <w:rsid w:val="2FE029D7"/>
    <w:rsid w:val="2FF06E00"/>
    <w:rsid w:val="30586FEC"/>
    <w:rsid w:val="315F0B22"/>
    <w:rsid w:val="31D84415"/>
    <w:rsid w:val="32285F6F"/>
    <w:rsid w:val="32770556"/>
    <w:rsid w:val="329C0913"/>
    <w:rsid w:val="32AA0460"/>
    <w:rsid w:val="3337290D"/>
    <w:rsid w:val="33E31118"/>
    <w:rsid w:val="33EF7674"/>
    <w:rsid w:val="33FA7BD6"/>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595C00"/>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6680B"/>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paragraph" w:styleId="7">
    <w:name w:val="Title"/>
    <w:basedOn w:val="1"/>
    <w:next w:val="1"/>
    <w:qFormat/>
    <w:uiPriority w:val="99"/>
    <w:pPr>
      <w:spacing w:before="240" w:beforeAutospacing="0" w:after="60" w:afterAutospacing="0"/>
      <w:ind w:left="0" w:right="0"/>
      <w:jc w:val="center"/>
      <w:outlineLvl w:val="0"/>
    </w:pPr>
    <w:rPr>
      <w:rFonts w:hint="eastAsia" w:ascii="Cambria" w:hAnsi="Cambria" w:eastAsia="宋体" w:cs="宋体"/>
      <w:b/>
      <w:kern w:val="0"/>
      <w:sz w:val="24"/>
      <w:szCs w:val="24"/>
      <w:lang w:val="en-US" w:eastAsia="zh-CN" w:bidi="ar"/>
    </w:r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4</TotalTime>
  <ScaleCrop>false</ScaleCrop>
  <LinksUpToDate>false</LinksUpToDate>
  <CharactersWithSpaces>26759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2024-09-30T08:20:17Z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BB46EABDBB2749749395447164B066B3_12</vt:lpwstr>
  </property>
</Properties>
</file>