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left"/>
        <w:spacing w:before="0" w:after="0"/>
        <w:ind w:left="0" w:right="0" w:firstLine="630"/>
        <w:rPr>
          <w:spacing w:val="0"/>
          <w:i w:val="0"/>
          <w:b w:val="1"/>
          <w:color w:val="000000"/>
          <w:sz w:val="36"/>
          <w:szCs w:val="36"/>
          <w:rFonts w:ascii="方正仿宋_GBK" w:eastAsia="方正仿宋_GBK" w:hAnsi="方正仿宋_GBK" w:cs="方正仿宋_GBK"/>
        </w:rPr>
      </w:pPr>
      <w:r>
        <w:rPr>
          <w:spacing w:val="0"/>
          <w:i w:val="0"/>
          <w:b w:val="1"/>
          <w:color w:val="000000"/>
          <w:sz w:val="36"/>
          <w:szCs w:val="36"/>
          <w:rFonts w:ascii="方正仿宋_GBK" w:eastAsia="方正仿宋_GBK" w:hAnsi="方正仿宋_GBK" w:cs="方正仿宋_GBK"/>
        </w:rPr>
        <w:t>清流镇大清流河流域河面漂浮物专项整治工作方案</w:t>
      </w:r>
    </w:p>
    <w:p>
      <w:pPr>
        <w:jc w:val="left"/>
        <w:spacing w:before="0" w:after="0"/>
        <w:ind w:left="0" w:right="0" w:firstLine="630"/>
        <w:rPr>
          <w:spacing w:val="0"/>
          <w:i w:val="0"/>
          <w:b w:val="1"/>
          <w:color w:val="000000"/>
          <w:sz w:val="36"/>
          <w:szCs w:val="36"/>
          <w:rFonts w:ascii="方正仿宋_GBK" w:eastAsia="方正仿宋_GBK" w:hAnsi="方正仿宋_GBK" w:cs="方正仿宋_GBK"/>
        </w:rPr>
      </w:pPr>
    </w:p>
    <w:p>
      <w:pPr>
        <w:jc w:val="left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为切实解决大清流河流域水污染问题，改善大清流河水体水质，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打造大清流河流域良好的生产、生活和生态环境，按照《中共重庆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市荣昌区委办公室 重庆市荣昌区人民政府办公室关于印发&lt;荣昌区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深入开展大清流河流域综合治理实施方案&gt;》(荣委办发〔2021〕21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号)的要求制定本方案。</w:t>
      </w:r>
    </w:p>
    <w:p>
      <w:pPr>
        <w:jc w:val="left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  <w:t>一、整治目标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对大清流河干支流水白菜、水葫芦、浮萍、竹木枝丫等影响水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质漂浮物及时进行打捞，加强统筹协调，形成长效清漂机制，做到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“清早、清小、清净”，杜绝二次污染。建立专业清漂队伍，创新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作业方式，不断提升清漂打捞作业效率。</w:t>
      </w:r>
    </w:p>
    <w:p>
      <w:pPr>
        <w:jc w:val="left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  <w:t>二、整治原则</w:t>
      </w:r>
    </w:p>
    <w:p>
      <w:pPr>
        <w:jc w:val="left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大清流河流域清漂工作按照专业化、定期化、绩效考核、统筹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协调及安全的原则，由镇政府以购买劳动服务的形式清漂。</w:t>
      </w:r>
    </w:p>
    <w:p>
      <w:pPr>
        <w:jc w:val="left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  <w:t>三、整治范围</w:t>
      </w:r>
    </w:p>
    <w:p>
      <w:pPr>
        <w:jc w:val="left"/>
        <w:spacing w:before="0" w:after="0"/>
        <w:ind w:left="0" w:right="0" w:firstLine="585"/>
        <w:rPr>
          <w:spacing w:val="-15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-15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境内大清流河流域干支流（关胜河、垮河堰河、黄家河及其支流、黄</w:t>
      </w:r>
      <w:r>
        <w:rPr>
          <w:spacing w:val="-15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桷堰河）及其左右岸、水冲水库。</w:t>
      </w:r>
    </w:p>
    <w:p>
      <w:pPr>
        <w:jc w:val="left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  <w:t>四、清漂工作内容及要求</w:t>
      </w:r>
    </w:p>
    <w:p>
      <w:pPr>
        <w:jc w:val="left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清漂内容为：河道范围内的竹枝、树丫、杂草、白色垃圾、浮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萍、水葫芦等影响水质的漂浮物。对于因特殊情况造成的倒塌大树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木、大量竹子、浮萍等个人无法清除需要政府安排的由清漂人、河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长或村（社区）提出，经镇政府同意后组织实施。清漂工作按照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“谁清漂，谁负责清运”的原则对清理上岸的漂浮物进行处理。</w:t>
      </w:r>
    </w:p>
    <w:p>
      <w:pPr>
        <w:jc w:val="left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  <w:t>五、职责分工</w:t>
      </w:r>
    </w:p>
    <w:p>
      <w:pPr>
        <w:jc w:val="left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1、镇河长办：负责全镇清漂工作的调度、督查、问题转办和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考核管理。</w:t>
      </w:r>
    </w:p>
    <w:p>
      <w:pPr>
        <w:jc w:val="left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2、镇村级河长、河流所流经村（社区）：负责河面漂浮物情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况的收集和反馈、来源调查、时时监控、清漂工作的监督、河道两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岸垃圾的清理。</w:t>
      </w:r>
    </w:p>
    <w:p>
      <w:pPr>
        <w:jc w:val="left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3、清漂实施单位：大清流河清流段由刘宗记、谢贵能负责清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漂，其他河流由镇河长办根据实际情况组织、协调人员清漂。</w:t>
      </w:r>
    </w:p>
    <w:p>
      <w:pPr>
        <w:jc w:val="both"/>
        <w:spacing w:before="0" w:after="0"/>
        <w:ind w:left="0" w:right="0" w:firstLine="585"/>
        <w:rPr>
          <w:spacing w:val="-15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-15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大清流河流域2021年度清漂打捞任务分解见下表</w:t>
      </w:r>
    </w:p>
    <w:p>
      <w:pPr>
        <w:jc w:val="center"/>
        <w:spacing w:before="0" w:after="0"/>
        <w:ind w:left="0" w:right="0" w:firstLine="0"/>
        <w:rPr>
          <w:spacing w:val="0"/>
          <w:i w:val="0"/>
          <w:b w:val="1"/>
          <w:color w:val="000000"/>
          <w:sz w:val="30"/>
          <w:szCs w:val="30"/>
          <w:rFonts w:ascii="方正小标宋_GBK" w:eastAsia="方正小标宋_GBK" w:hAnsi="方正小标宋_GBK" w:cs="方正小标宋_GBK"/>
        </w:rPr>
      </w:pPr>
      <w:r>
        <w:rPr>
          <w:spacing w:val="0"/>
          <w:i w:val="0"/>
          <w:b w:val="1"/>
          <w:color w:val="000000"/>
          <w:sz w:val="30"/>
          <w:szCs w:val="30"/>
          <w:rFonts w:ascii="方正小标宋_GBK" w:eastAsia="方正小标宋_GBK" w:hAnsi="方正小标宋_GBK" w:cs="方正小标宋_GBK"/>
        </w:rPr>
        <w:t>2021年大清流河流域清漂打捞任务分解表</w:t>
      </w:r>
    </w:p>
    <w:tbl>
      <w:tblID w:val="0"/>
      <w:tblPr>
        <w:tblBorders>
          <w:top w:val="single" w:sz="18" w:space="0" w:color="333333"/>
          <w:left w:val="single" w:sz="18" w:space="0" w:color="333333"/>
          <w:bottom w:val="single" w:sz="18" w:space="0" w:color="333333"/>
          <w:right w:val="single" w:sz="18" w:space="0" w:color="333333"/>
        </w:tblBorders>
        <w:tblCellMar>
          <w:left w:w="0" w:type="dxa"/>
          <w:top w:w="0" w:type="dxa"/>
          <w:right w:w="0" w:type="dxa"/>
          <w:bottom w:w="0" w:type="dxa"/>
        </w:tblCellMar>
        <w:tblW w:w="9015" w:type="dxa"/>
        <w:jc w:val="center"/>
        <w:tblLook w:val="000600" w:firstRow="0" w:lastRow="0" w:firstColumn="0" w:lastColumn="0" w:noHBand="1" w:noVBand="1"/>
        <w:tblLayout w:type="fixed"/>
      </w:tblPr>
      <w:tblGrid>
        <w:gridCol w:w="555"/>
        <w:gridCol w:w="1140"/>
        <w:gridCol w:w="1140"/>
        <w:gridCol w:w="1485"/>
        <w:gridCol w:w="1290"/>
        <w:gridCol w:w="990"/>
        <w:gridCol w:w="1035"/>
        <w:gridCol w:w="1380"/>
      </w:tblGrid>
      <w:tr>
        <w:trPr>
          <w:trHeight w:hRule="atleast" w:val="300"/>
        </w:trPr>
        <w:tc>
          <w:tcPr>
            <w:tcW w:type="dxa" w:w="55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1"/>
                <w:szCs w:val="21"/>
                <w:rFonts w:ascii="方正黑体_GBK" w:eastAsia="方正黑体_GBK" w:hAnsi="方正黑体_GBK" w:cs="方正黑体_GBK"/>
              </w:rPr>
            </w:pPr>
            <w:r>
              <w:rPr>
                <w:spacing w:val="0"/>
                <w:i w:val="0"/>
                <w:b w:val="0"/>
                <w:color w:val="000000"/>
                <w:sz w:val="21"/>
                <w:szCs w:val="21"/>
                <w:rFonts w:ascii="方正黑体_GBK" w:eastAsia="方正黑体_GBK" w:hAnsi="方正黑体_GBK" w:cs="方正黑体_GBK"/>
              </w:rPr>
              <w:t>序号</w:t>
            </w:r>
          </w:p>
        </w:tc>
        <w:tc>
          <w:tcPr>
            <w:tcW w:type="dxa" w:w="114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1"/>
                <w:szCs w:val="21"/>
                <w:rFonts w:ascii="方正黑体_GBK" w:eastAsia="方正黑体_GBK" w:hAnsi="方正黑体_GBK" w:cs="方正黑体_GBK"/>
              </w:rPr>
            </w:pPr>
            <w:r>
              <w:rPr>
                <w:spacing w:val="0"/>
                <w:i w:val="0"/>
                <w:b w:val="0"/>
                <w:color w:val="000000"/>
                <w:sz w:val="21"/>
                <w:szCs w:val="21"/>
                <w:rFonts w:ascii="方正黑体_GBK" w:eastAsia="方正黑体_GBK" w:hAnsi="方正黑体_GBK" w:cs="方正黑体_GBK"/>
              </w:rPr>
              <w:t>河流名称</w:t>
            </w:r>
          </w:p>
        </w:tc>
        <w:tc>
          <w:tcPr>
            <w:tcW w:type="dxa" w:w="114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1"/>
                <w:szCs w:val="21"/>
                <w:rFonts w:ascii="方正黑体_GBK" w:eastAsia="方正黑体_GBK" w:hAnsi="方正黑体_GBK" w:cs="方正黑体_GBK"/>
              </w:rPr>
            </w:pPr>
            <w:r>
              <w:rPr>
                <w:spacing w:val="0"/>
                <w:i w:val="0"/>
                <w:b w:val="0"/>
                <w:color w:val="000000"/>
                <w:sz w:val="21"/>
                <w:szCs w:val="21"/>
                <w:rFonts w:ascii="方正黑体_GBK" w:eastAsia="方正黑体_GBK" w:hAnsi="方正黑体_GBK" w:cs="方正黑体_GBK"/>
              </w:rPr>
              <w:t>上一级河流</w:t>
            </w:r>
          </w:p>
        </w:tc>
        <w:tc>
          <w:tcPr>
            <w:tcW w:type="dxa" w:w="148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1"/>
                <w:szCs w:val="21"/>
                <w:rFonts w:ascii="方正黑体_GBK" w:eastAsia="方正黑体_GBK" w:hAnsi="方正黑体_GBK" w:cs="方正黑体_GBK"/>
              </w:rPr>
            </w:pPr>
            <w:r>
              <w:rPr>
                <w:spacing w:val="0"/>
                <w:i w:val="0"/>
                <w:b w:val="0"/>
                <w:color w:val="000000"/>
                <w:sz w:val="21"/>
                <w:szCs w:val="21"/>
                <w:rFonts w:ascii="方正黑体_GBK" w:eastAsia="方正黑体_GBK" w:hAnsi="方正黑体_GBK" w:cs="方正黑体_GBK"/>
              </w:rPr>
              <w:t>流经村</w:t>
            </w:r>
          </w:p>
        </w:tc>
        <w:tc>
          <w:tcPr>
            <w:tcW w:type="dxa" w:w="129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1"/>
                <w:szCs w:val="21"/>
                <w:rFonts w:ascii="方正黑体_GBK" w:eastAsia="方正黑体_GBK" w:hAnsi="方正黑体_GBK" w:cs="方正黑体_GBK"/>
              </w:rPr>
            </w:pPr>
            <w:r>
              <w:rPr>
                <w:spacing w:val="0"/>
                <w:i w:val="0"/>
                <w:b w:val="0"/>
                <w:color w:val="000000"/>
                <w:sz w:val="21"/>
                <w:szCs w:val="21"/>
                <w:rFonts w:ascii="方正黑体_GBK" w:eastAsia="方正黑体_GBK" w:hAnsi="方正黑体_GBK" w:cs="方正黑体_GBK"/>
              </w:rPr>
              <w:t>完成时限</w:t>
            </w:r>
          </w:p>
        </w:tc>
        <w:tc>
          <w:tcPr>
            <w:tcW w:type="dxa" w:w="99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1"/>
                <w:szCs w:val="21"/>
                <w:rFonts w:ascii="方正黑体_GBK" w:eastAsia="方正黑体_GBK" w:hAnsi="方正黑体_GBK" w:cs="方正黑体_GBK"/>
              </w:rPr>
            </w:pPr>
            <w:r>
              <w:rPr>
                <w:spacing w:val="0"/>
                <w:i w:val="0"/>
                <w:b w:val="0"/>
                <w:color w:val="000000"/>
                <w:sz w:val="21"/>
                <w:szCs w:val="21"/>
                <w:rFonts w:ascii="方正黑体_GBK" w:eastAsia="方正黑体_GBK" w:hAnsi="方正黑体_GBK" w:cs="方正黑体_GBK"/>
              </w:rPr>
              <w:t>镇级河长</w:t>
            </w:r>
          </w:p>
        </w:tc>
        <w:tc>
          <w:tcPr>
            <w:tcW w:type="dxa" w:w="103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1"/>
                <w:szCs w:val="21"/>
                <w:rFonts w:ascii="方正黑体_GBK" w:eastAsia="方正黑体_GBK" w:hAnsi="方正黑体_GBK" w:cs="方正黑体_GBK"/>
              </w:rPr>
            </w:pPr>
            <w:r>
              <w:rPr>
                <w:spacing w:val="0"/>
                <w:i w:val="0"/>
                <w:b w:val="0"/>
                <w:color w:val="000000"/>
                <w:sz w:val="21"/>
                <w:szCs w:val="21"/>
                <w:rFonts w:ascii="方正黑体_GBK" w:eastAsia="方正黑体_GBK" w:hAnsi="方正黑体_GBK" w:cs="方正黑体_GBK"/>
              </w:rPr>
              <w:t>村级河长</w:t>
            </w:r>
          </w:p>
        </w:tc>
        <w:tc>
          <w:tcPr>
            <w:tcW w:type="dxa" w:w="138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1"/>
                <w:szCs w:val="21"/>
                <w:rFonts w:ascii="方正黑体_GBK" w:eastAsia="方正黑体_GBK" w:hAnsi="方正黑体_GBK" w:cs="方正黑体_GBK"/>
              </w:rPr>
            </w:pPr>
            <w:r>
              <w:rPr>
                <w:spacing w:val="0"/>
                <w:i w:val="0"/>
                <w:b w:val="0"/>
                <w:color w:val="000000"/>
                <w:sz w:val="21"/>
                <w:szCs w:val="21"/>
                <w:rFonts w:ascii="方正黑体_GBK" w:eastAsia="方正黑体_GBK" w:hAnsi="方正黑体_GBK" w:cs="方正黑体_GBK"/>
              </w:rPr>
              <w:t>具体实施单位</w:t>
            </w:r>
          </w:p>
        </w:tc>
      </w:tr>
      <w:tr>
        <w:trPr>
          <w:trHeight w:hRule="atleast" w:val="375"/>
        </w:trPr>
        <w:tc>
          <w:tcPr>
            <w:tcW w:type="dxa" w:w="555"/>
            <w:tcMar>
              <w:left w:w="14" w:type="dxa"/>
              <w:right w:w="14" w:type="dxa"/>
            </w:tcMar>
            <w:vAlign w:val="center"/>
            <w:vMerge w:val="restart"/>
            <w:tcBorders>
              <w:bottom w:val="single" w:color="000000" w:sz="6"/>
              <w:left w:val="single" w:color="00000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1</w:t>
            </w:r>
          </w:p>
        </w:tc>
        <w:tc>
          <w:tcPr>
            <w:tcW w:type="dxa" w:w="1140"/>
            <w:tcMar>
              <w:left w:w="14" w:type="dxa"/>
              <w:right w:w="14" w:type="dxa"/>
            </w:tcMar>
            <w:vAlign w:val="center"/>
            <w:vMerge w:val="restart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大清流河</w:t>
            </w:r>
          </w:p>
        </w:tc>
        <w:tc>
          <w:tcPr>
            <w:tcW w:type="dxa" w:w="1140"/>
            <w:tcMar>
              <w:left w:w="14" w:type="dxa"/>
              <w:right w:w="14" w:type="dxa"/>
            </w:tcMar>
            <w:vAlign w:val="center"/>
            <w:vMerge w:val="restart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沱江</w:t>
            </w:r>
          </w:p>
        </w:tc>
        <w:tc>
          <w:tcPr>
            <w:tcW w:type="dxa" w:w="148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马草村</w:t>
            </w:r>
          </w:p>
        </w:tc>
        <w:tc>
          <w:tcPr>
            <w:tcW w:type="dxa" w:w="129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长期保持</w:t>
            </w:r>
          </w:p>
        </w:tc>
        <w:tc>
          <w:tcPr>
            <w:tcW w:type="dxa" w:w="990"/>
            <w:tcMar>
              <w:left w:w="14" w:type="dxa"/>
              <w:right w:w="14" w:type="dxa"/>
            </w:tcMar>
            <w:vAlign w:val="center"/>
            <w:vMerge w:val="restart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刘辉</w:t>
            </w:r>
          </w:p>
        </w:tc>
        <w:tc>
          <w:tcPr>
            <w:tcW w:type="dxa" w:w="103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敖晓刚</w:t>
            </w:r>
          </w:p>
        </w:tc>
        <w:tc>
          <w:tcPr>
            <w:tcW w:type="dxa" w:w="1380"/>
            <w:tcMar>
              <w:left w:w="14" w:type="dxa"/>
              <w:right w:w="14" w:type="dxa"/>
            </w:tcMar>
            <w:vAlign w:val="center"/>
            <w:vMerge w:val="restart"/>
            <w:tcBorders>
              <w:bottom w:val="single" w:color="80808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刘宗记</w:t>
            </w:r>
          </w:p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谢贵能</w:t>
            </w:r>
          </w:p>
          <w:p>
            <w:pPr>
              <w:jc w:val="both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 </w:t>
            </w:r>
          </w:p>
        </w:tc>
      </w:tr>
      <w:tr>
        <w:trPr>
          <w:trHeight w:hRule="atleast" w:val="375"/>
        </w:trPr>
        <w:tc>
          <w:tcPr>
            <w:tcW w:type="dxa" w:w="555"/>
            <w:vAlign w:val="center"/>
            <w:vMerge/>
            <w:tcBorders>
              <w:bottom w:val="single" w:color="000000" w:sz="6"/>
              <w:left w:val="single" w:color="000000" w:sz="6"/>
              <w:right w:val="single" w:color="000000" w:sz="6"/>
              <w:top w:val="single" w:color="808080" w:sz="6"/>
            </w:tcBorders>
          </w:tcPr>
          <w:p/>
        </w:tc>
        <w:tc>
          <w:tcPr>
            <w:tcW w:type="dxa" w:w="1140"/>
            <w:vAlign w:val="center"/>
            <w:vMerge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/>
        </w:tc>
        <w:tc>
          <w:tcPr>
            <w:tcW w:type="dxa" w:w="1140"/>
            <w:vAlign w:val="center"/>
            <w:vMerge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/>
        </w:tc>
        <w:tc>
          <w:tcPr>
            <w:tcW w:type="dxa" w:w="148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清流社区</w:t>
            </w:r>
          </w:p>
        </w:tc>
        <w:tc>
          <w:tcPr>
            <w:tcW w:type="dxa" w:w="129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长期保持</w:t>
            </w:r>
          </w:p>
        </w:tc>
        <w:tc>
          <w:tcPr>
            <w:tcW w:type="dxa" w:w="990"/>
            <w:vAlign w:val="center"/>
            <w:vMerge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/>
        </w:tc>
        <w:tc>
          <w:tcPr>
            <w:tcW w:type="dxa" w:w="103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廖祥君</w:t>
            </w:r>
          </w:p>
        </w:tc>
        <w:tc>
          <w:tcPr>
            <w:tcW w:type="dxa" w:w="1380"/>
            <w:vAlign w:val="center"/>
            <w:vMerge/>
            <w:tcBorders>
              <w:bottom w:val="single" w:color="808080" w:sz="6"/>
              <w:left w:val="single" w:color="808080" w:sz="6"/>
              <w:right w:val="single" w:color="000000" w:sz="6"/>
              <w:top w:val="single" w:color="808080" w:sz="6"/>
            </w:tcBorders>
          </w:tcPr>
          <w:p/>
        </w:tc>
      </w:tr>
      <w:tr>
        <w:trPr>
          <w:trHeight w:hRule="atleast" w:val="375"/>
        </w:trPr>
        <w:tc>
          <w:tcPr>
            <w:tcW w:type="dxa" w:w="555"/>
            <w:vAlign w:val="center"/>
            <w:vMerge/>
            <w:tcBorders>
              <w:bottom w:val="single" w:color="000000" w:sz="6"/>
              <w:left w:val="single" w:color="000000" w:sz="6"/>
              <w:right w:val="single" w:color="000000" w:sz="6"/>
              <w:top w:val="single" w:color="808080" w:sz="6"/>
            </w:tcBorders>
          </w:tcPr>
          <w:p/>
        </w:tc>
        <w:tc>
          <w:tcPr>
            <w:tcW w:type="dxa" w:w="1140"/>
            <w:vAlign w:val="center"/>
            <w:vMerge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/>
        </w:tc>
        <w:tc>
          <w:tcPr>
            <w:tcW w:type="dxa" w:w="1140"/>
            <w:vAlign w:val="center"/>
            <w:vMerge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/>
        </w:tc>
        <w:tc>
          <w:tcPr>
            <w:tcW w:type="dxa" w:w="148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龙井庙村</w:t>
            </w:r>
          </w:p>
        </w:tc>
        <w:tc>
          <w:tcPr>
            <w:tcW w:type="dxa" w:w="129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长期保持</w:t>
            </w:r>
          </w:p>
        </w:tc>
        <w:tc>
          <w:tcPr>
            <w:tcW w:type="dxa" w:w="990"/>
            <w:vAlign w:val="center"/>
            <w:vMerge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/>
        </w:tc>
        <w:tc>
          <w:tcPr>
            <w:tcW w:type="dxa" w:w="103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况朝贵</w:t>
            </w:r>
          </w:p>
        </w:tc>
        <w:tc>
          <w:tcPr>
            <w:tcW w:type="dxa" w:w="1380"/>
            <w:vAlign w:val="center"/>
            <w:vMerge/>
            <w:tcBorders>
              <w:bottom w:val="single" w:color="808080" w:sz="6"/>
              <w:left w:val="single" w:color="808080" w:sz="6"/>
              <w:right w:val="single" w:color="000000" w:sz="6"/>
              <w:top w:val="single" w:color="808080" w:sz="6"/>
            </w:tcBorders>
          </w:tcPr>
          <w:p/>
        </w:tc>
      </w:tr>
      <w:tr>
        <w:trPr>
          <w:trHeight w:hRule="atleast" w:val="375"/>
        </w:trPr>
        <w:tc>
          <w:tcPr>
            <w:tcW w:type="dxa" w:w="55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2</w:t>
            </w:r>
          </w:p>
        </w:tc>
        <w:tc>
          <w:tcPr>
            <w:tcW w:type="dxa" w:w="114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关胜河</w:t>
            </w:r>
          </w:p>
        </w:tc>
        <w:tc>
          <w:tcPr>
            <w:tcW w:type="dxa" w:w="114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大清流河</w:t>
            </w:r>
          </w:p>
        </w:tc>
        <w:tc>
          <w:tcPr>
            <w:tcW w:type="dxa" w:w="148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永兴寺村</w:t>
            </w:r>
          </w:p>
        </w:tc>
        <w:tc>
          <w:tcPr>
            <w:tcW w:type="dxa" w:w="129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长期保持</w:t>
            </w:r>
          </w:p>
        </w:tc>
        <w:tc>
          <w:tcPr>
            <w:tcW w:type="dxa" w:w="99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兰秋爽</w:t>
            </w:r>
          </w:p>
        </w:tc>
        <w:tc>
          <w:tcPr>
            <w:tcW w:type="dxa" w:w="103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邹利</w:t>
            </w:r>
          </w:p>
        </w:tc>
        <w:tc>
          <w:tcPr>
            <w:tcW w:type="dxa" w:w="138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镇河长办</w:t>
            </w:r>
          </w:p>
        </w:tc>
      </w:tr>
      <w:tr>
        <w:trPr>
          <w:trHeight w:hRule="atleast" w:val="375"/>
        </w:trPr>
        <w:tc>
          <w:tcPr>
            <w:tcW w:type="dxa" w:w="55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3</w:t>
            </w:r>
          </w:p>
        </w:tc>
        <w:tc>
          <w:tcPr>
            <w:tcW w:type="dxa" w:w="114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黄桷堰河</w:t>
            </w:r>
          </w:p>
        </w:tc>
        <w:tc>
          <w:tcPr>
            <w:tcW w:type="dxa" w:w="114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大清流河</w:t>
            </w:r>
          </w:p>
        </w:tc>
        <w:tc>
          <w:tcPr>
            <w:tcW w:type="dxa" w:w="148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龙井庙村</w:t>
            </w:r>
          </w:p>
        </w:tc>
        <w:tc>
          <w:tcPr>
            <w:tcW w:type="dxa" w:w="129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长期保持</w:t>
            </w:r>
          </w:p>
        </w:tc>
        <w:tc>
          <w:tcPr>
            <w:tcW w:type="dxa" w:w="99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000000"/>
                <w:sz w:val="27"/>
                <w:szCs w:val="27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7"/>
                <w:szCs w:val="27"/>
                <w:rFonts w:ascii="sans-serif" w:eastAsia="sans-serif" w:hAnsi="sans-serif" w:cs="sans-serif"/>
              </w:rPr>
              <w:br/>
            </w:r>
          </w:p>
        </w:tc>
        <w:tc>
          <w:tcPr>
            <w:tcW w:type="dxa" w:w="103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况朝贵</w:t>
            </w:r>
          </w:p>
        </w:tc>
        <w:tc>
          <w:tcPr>
            <w:tcW w:type="dxa" w:w="138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镇河长办</w:t>
            </w:r>
          </w:p>
        </w:tc>
      </w:tr>
      <w:tr>
        <w:trPr>
          <w:trHeight w:hRule="atleast" w:val="375"/>
        </w:trPr>
        <w:tc>
          <w:tcPr>
            <w:tcW w:type="dxa" w:w="55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4</w:t>
            </w:r>
          </w:p>
        </w:tc>
        <w:tc>
          <w:tcPr>
            <w:tcW w:type="dxa" w:w="114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黄家河</w:t>
            </w:r>
          </w:p>
        </w:tc>
        <w:tc>
          <w:tcPr>
            <w:tcW w:type="dxa" w:w="114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大清流河</w:t>
            </w:r>
          </w:p>
        </w:tc>
        <w:tc>
          <w:tcPr>
            <w:tcW w:type="dxa" w:w="148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清流社区</w:t>
            </w:r>
          </w:p>
        </w:tc>
        <w:tc>
          <w:tcPr>
            <w:tcW w:type="dxa" w:w="129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长期保持</w:t>
            </w:r>
          </w:p>
        </w:tc>
        <w:tc>
          <w:tcPr>
            <w:tcW w:type="dxa" w:w="99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宋键</w:t>
            </w:r>
          </w:p>
        </w:tc>
        <w:tc>
          <w:tcPr>
            <w:tcW w:type="dxa" w:w="103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廖祥君</w:t>
            </w:r>
          </w:p>
        </w:tc>
        <w:tc>
          <w:tcPr>
            <w:tcW w:type="dxa" w:w="138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镇河长办</w:t>
            </w:r>
          </w:p>
        </w:tc>
      </w:tr>
      <w:tr>
        <w:trPr>
          <w:trHeight w:hRule="atleast" w:val="375"/>
        </w:trPr>
        <w:tc>
          <w:tcPr>
            <w:tcW w:type="dxa" w:w="55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5</w:t>
            </w:r>
          </w:p>
        </w:tc>
        <w:tc>
          <w:tcPr>
            <w:tcW w:type="dxa" w:w="114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黄家河支流</w:t>
            </w:r>
          </w:p>
        </w:tc>
        <w:tc>
          <w:tcPr>
            <w:tcW w:type="dxa" w:w="114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大清流河</w:t>
            </w:r>
          </w:p>
        </w:tc>
        <w:tc>
          <w:tcPr>
            <w:tcW w:type="dxa" w:w="148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清流社区</w:t>
            </w:r>
          </w:p>
        </w:tc>
        <w:tc>
          <w:tcPr>
            <w:tcW w:type="dxa" w:w="129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长期保持</w:t>
            </w:r>
          </w:p>
        </w:tc>
        <w:tc>
          <w:tcPr>
            <w:tcW w:type="dxa" w:w="99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刘渊恒</w:t>
            </w:r>
          </w:p>
        </w:tc>
        <w:tc>
          <w:tcPr>
            <w:tcW w:type="dxa" w:w="103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廖祥君</w:t>
            </w:r>
          </w:p>
        </w:tc>
        <w:tc>
          <w:tcPr>
            <w:tcW w:type="dxa" w:w="138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镇河长办</w:t>
            </w:r>
          </w:p>
        </w:tc>
      </w:tr>
      <w:tr>
        <w:trPr>
          <w:trHeight w:hRule="atleast" w:val="375"/>
        </w:trPr>
        <w:tc>
          <w:tcPr>
            <w:tcW w:type="dxa" w:w="55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6</w:t>
            </w:r>
          </w:p>
        </w:tc>
        <w:tc>
          <w:tcPr>
            <w:tcW w:type="dxa" w:w="114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垮河堰河</w:t>
            </w:r>
          </w:p>
        </w:tc>
        <w:tc>
          <w:tcPr>
            <w:tcW w:type="dxa" w:w="114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关胜河</w:t>
            </w:r>
          </w:p>
        </w:tc>
        <w:tc>
          <w:tcPr>
            <w:tcW w:type="dxa" w:w="148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马草村</w:t>
            </w:r>
          </w:p>
        </w:tc>
        <w:tc>
          <w:tcPr>
            <w:tcW w:type="dxa" w:w="129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长期保持</w:t>
            </w:r>
          </w:p>
        </w:tc>
        <w:tc>
          <w:tcPr>
            <w:tcW w:type="dxa" w:w="99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吴清海</w:t>
            </w:r>
          </w:p>
        </w:tc>
        <w:tc>
          <w:tcPr>
            <w:tcW w:type="dxa" w:w="103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敖晓刚</w:t>
            </w:r>
          </w:p>
        </w:tc>
        <w:tc>
          <w:tcPr>
            <w:tcW w:type="dxa" w:w="138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镇河长办</w:t>
            </w:r>
          </w:p>
        </w:tc>
      </w:tr>
      <w:tr>
        <w:trPr>
          <w:trHeight w:hRule="atleast" w:val="375"/>
        </w:trPr>
        <w:tc>
          <w:tcPr>
            <w:tcW w:type="dxa" w:w="55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7</w:t>
            </w:r>
          </w:p>
        </w:tc>
        <w:tc>
          <w:tcPr>
            <w:tcW w:type="dxa" w:w="114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水冲水库</w:t>
            </w:r>
          </w:p>
        </w:tc>
        <w:tc>
          <w:tcPr>
            <w:tcW w:type="dxa" w:w="114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水冲水库</w:t>
            </w:r>
          </w:p>
        </w:tc>
        <w:tc>
          <w:tcPr>
            <w:tcW w:type="dxa" w:w="148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永兴寺村、清</w:t>
            </w: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流社区</w:t>
            </w:r>
          </w:p>
        </w:tc>
        <w:tc>
          <w:tcPr>
            <w:tcW w:type="dxa" w:w="129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长期保持</w:t>
            </w:r>
          </w:p>
        </w:tc>
        <w:tc>
          <w:tcPr>
            <w:tcW w:type="dxa" w:w="99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000000"/>
                <w:sz w:val="27"/>
                <w:szCs w:val="27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7"/>
                <w:szCs w:val="27"/>
                <w:rFonts w:ascii="sans-serif" w:eastAsia="sans-serif" w:hAnsi="sans-serif" w:cs="sans-serif"/>
              </w:rPr>
              <w:br/>
            </w:r>
          </w:p>
        </w:tc>
        <w:tc>
          <w:tcPr>
            <w:tcW w:type="dxa" w:w="103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邹利、廖</w:t>
            </w: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祥君</w:t>
            </w:r>
          </w:p>
        </w:tc>
        <w:tc>
          <w:tcPr>
            <w:tcW w:type="dxa" w:w="138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镇河长办</w:t>
            </w:r>
          </w:p>
        </w:tc>
      </w:tr>
      <w:tr>
        <w:trPr>
          <w:trHeight w:hRule="atleast" w:val="375"/>
        </w:trPr>
        <w:tc>
          <w:tcPr>
            <w:tcW w:type="dxa" w:w="55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8</w:t>
            </w:r>
          </w:p>
        </w:tc>
        <w:tc>
          <w:tcPr>
            <w:tcW w:type="dxa" w:w="114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黄家河</w:t>
            </w:r>
          </w:p>
        </w:tc>
        <w:tc>
          <w:tcPr>
            <w:tcW w:type="dxa" w:w="114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大清流河</w:t>
            </w:r>
          </w:p>
        </w:tc>
        <w:tc>
          <w:tcPr>
            <w:tcW w:type="dxa" w:w="148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永兴寺村</w:t>
            </w:r>
          </w:p>
        </w:tc>
        <w:tc>
          <w:tcPr>
            <w:tcW w:type="dxa" w:w="129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长期保持</w:t>
            </w:r>
          </w:p>
        </w:tc>
        <w:tc>
          <w:tcPr>
            <w:tcW w:type="dxa" w:w="99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宋键</w:t>
            </w:r>
          </w:p>
        </w:tc>
        <w:tc>
          <w:tcPr>
            <w:tcW w:type="dxa" w:w="1035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邹利</w:t>
            </w:r>
          </w:p>
        </w:tc>
        <w:tc>
          <w:tcPr>
            <w:tcW w:type="dxa" w:w="1380"/>
            <w:tcMar>
              <w:left w:w="14" w:type="dxa"/>
              <w:right w:w="14" w:type="dxa"/>
            </w:tcMar>
            <w:vAlign w:val="center"/>
            <w:tcBorders>
              <w:bottom w:val="single" w:color="000000" w:sz="6"/>
              <w:left w:val="single" w:color="808080" w:sz="6"/>
              <w:right w:val="single" w:color="000000" w:sz="6"/>
              <w:top w:val="single" w:color="808080" w:sz="6"/>
            </w:tcBorders>
          </w:tcPr>
          <w:p>
            <w:pPr>
              <w:jc w:val="center"/>
              <w:spacing w:before="0" w:after="0"/>
              <w:ind w:left="0" w:right="0" w:firstLine="0"/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</w:pPr>
            <w:r>
              <w:rPr>
                <w:spacing w:val="0"/>
                <w:i w:val="0"/>
                <w:b w:val="0"/>
                <w:color w:val="000000"/>
                <w:sz w:val="22"/>
                <w:szCs w:val="22"/>
                <w:rFonts w:ascii="方正仿宋_GBK" w:eastAsia="方正仿宋_GBK" w:hAnsi="方正仿宋_GBK" w:cs="方正仿宋_GBK"/>
              </w:rPr>
              <w:t>镇河长办</w:t>
            </w:r>
          </w:p>
        </w:tc>
      </w:tr>
    </w:tbl>
    <w:p>
      <w:pPr>
        <w:jc w:val="left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  <w:t>六、经费保障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清漂费用按照工作范围及工作量实行全包干负责制。刘宗记主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要负责大清流河新拦网以上河道及水冲水库的清漂，清漂费用4200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元/月（包含清漂船只、驾驶冲锋舟的油费），谢贵能主要负责大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清流河新拦网（含新拦网）到大埂之间的清漂，清漂费用3500元/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月。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  <w:t>七、加强督查，严格考核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一是清漂工作纳入镇对村及村级河长的年度考核，实行百分制。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 xml:space="preserve">1. 督查出现水面2㎡以上漂浮物聚集未及时清理的，镇河长办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转办的扣清漂服务方50元/处，区级督查反馈的扣清漂服务方100元/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处，市级督查反馈的扣清漂服务方200元/处，同时扣处所负责村级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河长年度考核分5分/次。一个月连续被督查出现2次及以上的，按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照每增加1次，在处罚的基础上多扣50元/次。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 xml:space="preserve">2. 镇河长办转办事项清漂服务方要及时处理，所负责的村级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河长负责督促。超过1天不清理的处罚清漂人员100元/次、所负责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该段村级河长5分/次。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 xml:space="preserve">3. 村级河长负责对所负责河流河岸生活垃圾进行及时清理，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对钓鱼等进行驱离，发现一起扣5分/次。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 xml:space="preserve">4. 村级河长未发现或发现影响水质不报的扣村级河长2分/次。</w:t>
      </w:r>
    </w:p>
    <w:p>
      <w:pPr>
        <w:jc w:val="left"/>
        <w:spacing w:before="0" w:after="0"/>
        <w:ind w:left="0" w:right="0" w:firstLine="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    二是镇河长办要加强清漂督促、检查，指导清漂人员工作。</w:t>
      </w:r>
    </w:p>
    <w:p>
      <w:pPr>
        <w:jc w:val="left"/>
        <w:spacing w:before="0" w:after="0"/>
        <w:ind w:left="0" w:right="0" w:firstLine="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    三是镇纪委加强督查，对工作失误造成严重影响的单位和个人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实行工作提醒、批评教育，对出现重大过失的，根据情况追究责任。</w:t>
      </w:r>
    </w:p>
    <w:p>
      <w:pPr>
        <w:jc w:val="right"/>
        <w:spacing w:before="0" w:after="0"/>
        <w:ind w:left="0" w:right="0" w:firstLine="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重庆市荣昌区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清流镇人民政府</w:t>
      </w:r>
    </w:p>
    <w:p>
      <w:pPr>
        <w:jc w:val="right"/>
        <w:spacing w:before="0" w:after="0"/>
        <w:ind w:left="0" w:right="0" w:firstLine="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​2021年5月10日</w:t>
      </w:r>
    </w:p>
    <w:p>
      <w:pPr>
        <w:jc w:val="left"/>
        <w:spacing w:before="0" w:after="0"/>
        <w:ind w:left="0" w:right="0" w:firstLine="0"/>
        <w:rPr>
          <w:color w:val="auto"/>
          <w:sz w:val="21"/>
          <w:szCs w:val="21"/>
          <w:rFonts w:ascii="Calibri" w:eastAsia="宋体" w:hAnsi="宋体" w:cs="宋体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（此件公开发布）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111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