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pPr>
      <w:r>
        <w:rPr>
          <w:rStyle w:val="7"/>
        </w:rPr>
        <w:t>重庆市荣昌区盘龙镇劳动就业和社会保障服务所</w:t>
      </w:r>
    </w:p>
    <w:p>
      <w:pPr>
        <w:pStyle w:val="4"/>
        <w:shd w:val="clear" w:color="auto" w:fill="FFFFFF"/>
        <w:jc w:val="center"/>
      </w:pPr>
      <w:r>
        <w:rPr>
          <w:rStyle w:val="7"/>
        </w:rPr>
        <w:t>2022年度部门决算情况说明</w:t>
      </w:r>
    </w:p>
    <w:p>
      <w:pPr>
        <w:pStyle w:val="4"/>
        <w:shd w:val="clear" w:color="auto" w:fill="FFFFFF"/>
      </w:pPr>
      <w:r>
        <w:rPr>
          <w:rStyle w:val="7"/>
        </w:rPr>
        <w:t>一、部门基本情况</w:t>
      </w:r>
    </w:p>
    <w:p>
      <w:pPr>
        <w:pStyle w:val="4"/>
        <w:shd w:val="clear" w:color="auto" w:fill="FFFFFF"/>
      </w:pPr>
      <w:r>
        <w:rPr>
          <w:rStyle w:val="7"/>
        </w:rPr>
        <w:t>（一）职能职责</w:t>
      </w:r>
    </w:p>
    <w:p>
      <w:pPr>
        <w:pStyle w:val="4"/>
        <w:shd w:val="clear" w:color="auto" w:fill="FFFFFF"/>
        <w:rPr>
          <w:color w:val="000000" w:themeColor="text1"/>
        </w:rPr>
      </w:pPr>
      <w:r>
        <w:rPr>
          <w:rFonts w:hint="eastAsia"/>
          <w:color w:val="000000" w:themeColor="text1"/>
        </w:rPr>
        <w:t>宣传贯彻执行劳动法以及国家地方劳动保障工作的各项方针、政策及法律、法规，依法维护用人单位和劳动者的合法权益。安置大龄就业困难对象，组织实施社区就业项目，动员组织下岗工人再就业。</w:t>
      </w:r>
    </w:p>
    <w:p>
      <w:pPr>
        <w:pStyle w:val="4"/>
        <w:shd w:val="clear" w:color="auto" w:fill="FFFFFF"/>
        <w:rPr>
          <w:rStyle w:val="7"/>
        </w:rPr>
      </w:pPr>
      <w:r>
        <w:rPr>
          <w:rStyle w:val="7"/>
        </w:rPr>
        <w:t>（二）机构设置</w:t>
      </w:r>
    </w:p>
    <w:p>
      <w:pPr>
        <w:pStyle w:val="4"/>
        <w:shd w:val="clear" w:color="auto" w:fill="FFFFFF"/>
        <w:rPr>
          <w:color w:val="000000" w:themeColor="text1"/>
        </w:rPr>
      </w:pPr>
      <w:r>
        <w:rPr>
          <w:rStyle w:val="7"/>
          <w:b w:val="0"/>
        </w:rPr>
        <w:t>劳动就业和社会保障服务所</w:t>
      </w:r>
      <w:r>
        <w:rPr>
          <w:rFonts w:hint="eastAsia"/>
          <w:color w:val="000000" w:themeColor="text1"/>
        </w:rPr>
        <w:t>中心，在编人数6人。</w:t>
      </w:r>
    </w:p>
    <w:p>
      <w:pPr>
        <w:pStyle w:val="4"/>
        <w:shd w:val="clear" w:color="auto" w:fill="FFFFFF"/>
      </w:pPr>
      <w:r>
        <w:rPr>
          <w:rStyle w:val="7"/>
        </w:rPr>
        <w:t>（三）单位构成</w:t>
      </w:r>
    </w:p>
    <w:p>
      <w:pPr>
        <w:pStyle w:val="4"/>
        <w:shd w:val="clear" w:color="auto" w:fill="FFFFFF"/>
      </w:pPr>
      <w:r>
        <w:t>从预算单位构成看，纳入本部门2022年度决算编制的二级预算单位</w:t>
      </w:r>
      <w:r>
        <w:rPr>
          <w:rFonts w:hint="eastAsia"/>
        </w:rPr>
        <w:t>的是</w:t>
      </w:r>
      <w:r>
        <w:rPr>
          <w:rStyle w:val="7"/>
          <w:b w:val="0"/>
        </w:rPr>
        <w:t>劳动就业和社会保障服务所</w:t>
      </w:r>
      <w:r>
        <w:rPr>
          <w:rFonts w:hint="eastAsia"/>
          <w:color w:val="000000" w:themeColor="text1"/>
        </w:rPr>
        <w:t>中心</w:t>
      </w:r>
    </w:p>
    <w:p>
      <w:pPr>
        <w:pStyle w:val="4"/>
        <w:shd w:val="clear" w:color="auto" w:fill="FFFFFF"/>
      </w:pPr>
      <w:r>
        <w:rPr>
          <w:rStyle w:val="7"/>
        </w:rPr>
        <w:t>二、部门决算情况说明</w:t>
      </w:r>
    </w:p>
    <w:p>
      <w:pPr>
        <w:pStyle w:val="4"/>
        <w:shd w:val="clear" w:color="auto" w:fill="FFFFFF"/>
      </w:pPr>
      <w:r>
        <w:rPr>
          <w:rStyle w:val="7"/>
        </w:rPr>
        <w:t>（一）收入支出决算总体情况说明</w:t>
      </w:r>
    </w:p>
    <w:p>
      <w:pPr>
        <w:pStyle w:val="4"/>
        <w:shd w:val="clear" w:color="auto" w:fill="FFFFFF"/>
      </w:pPr>
      <w:r>
        <w:rPr>
          <w:rStyle w:val="7"/>
        </w:rPr>
        <w:t>1.总体情况。</w:t>
      </w:r>
      <w:r>
        <w:t>2022年度收入总计104.03万元，支出总计104.03万元。收支较上年决算数增加104.03万元,主要原因是</w:t>
      </w:r>
      <w:r>
        <w:rPr>
          <w:rFonts w:hint="eastAsia"/>
        </w:rPr>
        <w:t>今年开放预算一体化系统，</w:t>
      </w:r>
      <w:r>
        <w:rPr>
          <w:rStyle w:val="7"/>
          <w:b w:val="0"/>
        </w:rPr>
        <w:t>劳动就业和社会保障服务所</w:t>
      </w:r>
      <w:r>
        <w:rPr>
          <w:rFonts w:hint="eastAsia"/>
          <w:color w:val="000000" w:themeColor="text1"/>
        </w:rPr>
        <w:t>中心</w:t>
      </w:r>
      <w:r>
        <w:rPr>
          <w:rFonts w:hint="eastAsia"/>
        </w:rPr>
        <w:t>从本级剥离独立核算收支，属于新增设的单位账户，所以增幅大。</w:t>
      </w:r>
    </w:p>
    <w:p>
      <w:pPr>
        <w:pStyle w:val="4"/>
        <w:shd w:val="clear" w:color="auto" w:fill="FFFFFF"/>
      </w:pPr>
      <w:r>
        <w:rPr>
          <w:rStyle w:val="7"/>
        </w:rPr>
        <w:t>2.收入情况。</w:t>
      </w:r>
      <w:r>
        <w:t>2022年度收入合计104.03万元，较上年决算数增加104.03万元，主要原因是</w:t>
      </w:r>
      <w:r>
        <w:rPr>
          <w:rFonts w:hint="eastAsia"/>
        </w:rPr>
        <w:t>今年开放预算一体化系统，</w:t>
      </w:r>
      <w:r>
        <w:rPr>
          <w:rStyle w:val="7"/>
          <w:b w:val="0"/>
        </w:rPr>
        <w:t>劳动就业和社会保障服务所</w:t>
      </w:r>
      <w:r>
        <w:rPr>
          <w:rFonts w:hint="eastAsia"/>
          <w:color w:val="000000" w:themeColor="text1"/>
        </w:rPr>
        <w:t>中心</w:t>
      </w:r>
      <w:r>
        <w:rPr>
          <w:rFonts w:hint="eastAsia"/>
        </w:rPr>
        <w:t>从本级剥离独立核算收支，属于新增设的单位账户，所以增幅大。</w:t>
      </w:r>
      <w:r>
        <w:t>其中：财政拨款收入104.03万元，占100%</w:t>
      </w:r>
      <w:r>
        <w:rPr>
          <w:rFonts w:hint="eastAsia"/>
        </w:rPr>
        <w:t>，本单位为全额拨款事业单位。</w:t>
      </w:r>
    </w:p>
    <w:p>
      <w:pPr>
        <w:pStyle w:val="4"/>
        <w:shd w:val="clear" w:color="auto" w:fill="FFFFFF"/>
      </w:pPr>
      <w:r>
        <w:rPr>
          <w:rStyle w:val="7"/>
        </w:rPr>
        <w:t xml:space="preserve"> 3.支出情况。</w:t>
      </w:r>
      <w:r>
        <w:t>2022年度支出合计104.03万元，较上年决算增加104.03万元，增长%，主要原因是</w:t>
      </w:r>
      <w:r>
        <w:rPr>
          <w:rFonts w:hint="eastAsia"/>
        </w:rPr>
        <w:t>今年开放预算一体化系统，</w:t>
      </w:r>
      <w:r>
        <w:rPr>
          <w:rStyle w:val="7"/>
          <w:b w:val="0"/>
        </w:rPr>
        <w:t>劳动就业和社会保障服务所</w:t>
      </w:r>
      <w:r>
        <w:rPr>
          <w:rFonts w:hint="eastAsia"/>
          <w:color w:val="000000" w:themeColor="text1"/>
        </w:rPr>
        <w:t>中心</w:t>
      </w:r>
      <w:r>
        <w:rPr>
          <w:rFonts w:hint="eastAsia"/>
        </w:rPr>
        <w:t>从本级剥离独立核算收支，属于新增设的单位账户，所以增幅大。</w:t>
      </w:r>
      <w:r>
        <w:t>其中：基本支出104.03万元，占100%；</w:t>
      </w:r>
      <w:r>
        <w:rPr>
          <w:rFonts w:hint="eastAsia"/>
        </w:rPr>
        <w:t>本单位为全额拨款事业单位。</w:t>
      </w:r>
    </w:p>
    <w:p>
      <w:pPr>
        <w:pStyle w:val="4"/>
        <w:shd w:val="clear" w:color="auto" w:fill="FFFFFF"/>
        <w:rPr>
          <w:color w:val="000000" w:themeColor="text1"/>
        </w:rPr>
      </w:pPr>
      <w:r>
        <w:rPr>
          <w:rStyle w:val="7"/>
        </w:rPr>
        <w:t xml:space="preserve"> 4.结转结余情况。</w:t>
      </w:r>
      <w:r>
        <w:t>2022年度年末结转和结余0.00万元，较上年决算数增加0.00万元，增长%，主要原因是</w:t>
      </w:r>
      <w:r>
        <w:rPr>
          <w:rFonts w:hint="eastAsia"/>
          <w:color w:val="000000" w:themeColor="text1"/>
        </w:rPr>
        <w:t>本部门无项目支出且预算一体化改革后年末收回结转结余。</w:t>
      </w:r>
    </w:p>
    <w:p>
      <w:pPr>
        <w:pStyle w:val="4"/>
        <w:shd w:val="clear" w:color="auto" w:fill="FFFFFF"/>
      </w:pPr>
    </w:p>
    <w:p>
      <w:pPr>
        <w:pStyle w:val="4"/>
        <w:shd w:val="clear" w:color="auto" w:fill="FFFFFF"/>
      </w:pPr>
      <w:r>
        <w:rPr>
          <w:rStyle w:val="7"/>
        </w:rPr>
        <w:t>（二）财政拨款收入支出决算总体情况说明</w:t>
      </w:r>
    </w:p>
    <w:p>
      <w:pPr>
        <w:pStyle w:val="4"/>
        <w:shd w:val="clear" w:color="auto" w:fill="FFFFFF"/>
      </w:pPr>
      <w:r>
        <w:t>2022年度财政拨款收、支总计104.03万元。与2021年相比，财政拨款收、支总计各增加104.03万元。主要原因是</w:t>
      </w:r>
      <w:r>
        <w:rPr>
          <w:rFonts w:hint="eastAsia"/>
        </w:rPr>
        <w:t>今年开放预算一体化系统，</w:t>
      </w:r>
      <w:r>
        <w:rPr>
          <w:rStyle w:val="7"/>
          <w:b w:val="0"/>
        </w:rPr>
        <w:t>劳动就业和社会保障服务所</w:t>
      </w:r>
      <w:r>
        <w:rPr>
          <w:rFonts w:hint="eastAsia"/>
        </w:rPr>
        <w:t>从本级剥离独立核算收支，属于新增设的单位账户，所以增幅大。</w:t>
      </w:r>
    </w:p>
    <w:p>
      <w:pPr>
        <w:pStyle w:val="4"/>
        <w:shd w:val="clear" w:color="auto" w:fill="FFFFFF"/>
      </w:pPr>
    </w:p>
    <w:p>
      <w:pPr>
        <w:pStyle w:val="4"/>
        <w:shd w:val="clear" w:color="auto" w:fill="FFFFFF"/>
      </w:pPr>
      <w:r>
        <w:rPr>
          <w:rStyle w:val="7"/>
        </w:rPr>
        <w:t>（三）一般公共预算财政拨款收入支出决算情况说明</w:t>
      </w:r>
    </w:p>
    <w:p>
      <w:pPr>
        <w:pStyle w:val="4"/>
        <w:shd w:val="clear" w:color="auto" w:fill="FFFFFF"/>
      </w:pPr>
      <w:r>
        <w:rPr>
          <w:rStyle w:val="7"/>
        </w:rPr>
        <w:t>1.收入情况。</w:t>
      </w:r>
      <w:r>
        <w:t>2022年度一般公共预算财政拨款收入104.03万元，较上年决算数增加104.03万元，增长%。主要原因是</w:t>
      </w:r>
      <w:r>
        <w:rPr>
          <w:rFonts w:hint="eastAsia"/>
        </w:rPr>
        <w:t>今年开放预算一体化系统，</w:t>
      </w:r>
      <w:r>
        <w:rPr>
          <w:rStyle w:val="7"/>
          <w:b w:val="0"/>
        </w:rPr>
        <w:t>劳动就业和社会保障服务所</w:t>
      </w:r>
      <w:r>
        <w:rPr>
          <w:rFonts w:hint="eastAsia"/>
        </w:rPr>
        <w:t>从本级剥离独立核算收支，属于新增设的单位账户，所以增幅大。</w:t>
      </w:r>
      <w:r>
        <w:t>较年初预算数减少5.18万元，下降4.7%。</w:t>
      </w:r>
      <w:r>
        <w:rPr>
          <w:rFonts w:hint="eastAsia"/>
        </w:rPr>
        <w:t>预算安排较盈余，有剩</w:t>
      </w:r>
      <w:r>
        <w:t>此外，年初财政拨款结转和结余0.00万元。</w:t>
      </w:r>
    </w:p>
    <w:p>
      <w:pPr>
        <w:pStyle w:val="4"/>
        <w:shd w:val="clear" w:color="auto" w:fill="FFFFFF"/>
      </w:pPr>
      <w:r>
        <w:rPr>
          <w:rStyle w:val="7"/>
        </w:rPr>
        <w:t>2.支出情况。</w:t>
      </w:r>
      <w:r>
        <w:t>2022年度一般公共预算财政拨款支出104.03万元，较上年决算数增加104.03万元，增长</w:t>
      </w:r>
      <w:r>
        <w:rPr>
          <w:rFonts w:hint="eastAsia"/>
        </w:rPr>
        <w:t>100</w:t>
      </w:r>
      <w:r>
        <w:t>%。主要原因是</w:t>
      </w:r>
      <w:r>
        <w:rPr>
          <w:rFonts w:hint="eastAsia"/>
        </w:rPr>
        <w:t>今年开放预算一体化系统，</w:t>
      </w:r>
      <w:r>
        <w:rPr>
          <w:rStyle w:val="7"/>
          <w:b w:val="0"/>
        </w:rPr>
        <w:t>劳动就业和社会保障服务所</w:t>
      </w:r>
      <w:r>
        <w:rPr>
          <w:rFonts w:hint="eastAsia"/>
        </w:rPr>
        <w:t>从本级剥离独立核算收支，属于新增设的单位账户，所以增幅大。</w:t>
      </w:r>
      <w:r>
        <w:t>较年初预算数减少5.18万元，下降4.7%。主要原因是</w:t>
      </w:r>
      <w:r>
        <w:rPr>
          <w:rFonts w:hint="eastAsia"/>
        </w:rPr>
        <w:t>安排较盈余，有剩</w:t>
      </w:r>
    </w:p>
    <w:p>
      <w:pPr>
        <w:pStyle w:val="4"/>
        <w:shd w:val="clear" w:color="auto" w:fill="FFFFFF"/>
        <w:rPr>
          <w:color w:val="000000" w:themeColor="text1"/>
        </w:rPr>
      </w:pPr>
      <w:r>
        <w:rPr>
          <w:rStyle w:val="7"/>
        </w:rPr>
        <w:t>3.结转结余情况。</w:t>
      </w:r>
      <w:r>
        <w:rPr>
          <w:rFonts w:hint="eastAsia"/>
        </w:rPr>
        <w:t>2022年度年末一般公共预算财政拨款结转和结余0.00万元，较上年决算数增加0.00万元，增长%，主要原因是主要原因是</w:t>
      </w:r>
      <w:r>
        <w:rPr>
          <w:rFonts w:hint="eastAsia"/>
          <w:color w:val="000000" w:themeColor="text1"/>
        </w:rPr>
        <w:t>本部门无项目支出且预算一体化改革后年末收回结转结余。</w:t>
      </w:r>
    </w:p>
    <w:p>
      <w:pPr>
        <w:pStyle w:val="4"/>
        <w:shd w:val="clear" w:color="auto" w:fill="FFFFFF"/>
      </w:pPr>
      <w:r>
        <w:rPr>
          <w:rStyle w:val="7"/>
        </w:rPr>
        <w:t>4.比较情况。</w:t>
      </w:r>
      <w:r>
        <w:t>本部门2022年度一般公共预算财政拨款支出主要用于以下几个方面：</w:t>
      </w:r>
    </w:p>
    <w:p>
      <w:pPr>
        <w:pStyle w:val="4"/>
        <w:shd w:val="clear" w:color="auto" w:fill="FFFFFF"/>
      </w:pPr>
      <w:r>
        <w:t>（1）一般公共服务支出0.00万元，占0%，较年初预算数减少109.21万元，下降100%，</w:t>
      </w:r>
      <w:r>
        <w:rPr>
          <w:rFonts w:hint="eastAsia"/>
        </w:rPr>
        <w:t>主要原因是</w:t>
      </w:r>
      <w:r>
        <w:rPr>
          <w:rStyle w:val="7"/>
          <w:b w:val="0"/>
        </w:rPr>
        <w:t>劳动就业和社会保障服务所</w:t>
      </w:r>
      <w:r>
        <w:rPr>
          <w:rFonts w:hint="eastAsia"/>
        </w:rPr>
        <w:t>的科目不在一般服务支出的科目范围，年初没做此预算。</w:t>
      </w:r>
    </w:p>
    <w:p>
      <w:pPr>
        <w:pStyle w:val="4"/>
        <w:shd w:val="clear" w:color="auto" w:fill="FFFFFF"/>
      </w:pPr>
      <w:r>
        <w:t>（</w:t>
      </w:r>
      <w:r>
        <w:rPr>
          <w:rFonts w:hint="eastAsia"/>
        </w:rPr>
        <w:t>2</w:t>
      </w:r>
      <w:r>
        <w:t>）社会保障与就业支出92.49万元，占88.9%，较年初预算数增加92.49万元，增长</w:t>
      </w:r>
      <w:r>
        <w:rPr>
          <w:rFonts w:hint="eastAsia"/>
        </w:rPr>
        <w:t>100</w:t>
      </w:r>
      <w:r>
        <w:t>%，主要原因是</w:t>
      </w:r>
      <w:r>
        <w:rPr>
          <w:rFonts w:hint="eastAsia"/>
        </w:rPr>
        <w:t>社保和职业年金等支出，年初没做此预算</w:t>
      </w:r>
    </w:p>
    <w:p>
      <w:pPr>
        <w:pStyle w:val="4"/>
        <w:shd w:val="clear" w:color="auto" w:fill="FFFFFF"/>
      </w:pPr>
      <w:r>
        <w:t>（</w:t>
      </w:r>
      <w:r>
        <w:rPr>
          <w:rFonts w:hint="eastAsia"/>
        </w:rPr>
        <w:t>3</w:t>
      </w:r>
      <w:r>
        <w:t>）卫生健康支出3.65万元，占3.5%，较年初预算数增加3.65万元，增长</w:t>
      </w:r>
      <w:r>
        <w:rPr>
          <w:rFonts w:hint="eastAsia"/>
        </w:rPr>
        <w:t>100</w:t>
      </w:r>
      <w:r>
        <w:t>%，主要原因是</w:t>
      </w:r>
      <w:r>
        <w:rPr>
          <w:rFonts w:hint="eastAsia"/>
          <w:color w:val="000000" w:themeColor="text1"/>
        </w:rPr>
        <w:t>缴纳职工医疗保险和医疗费补助，</w:t>
      </w:r>
      <w:r>
        <w:rPr>
          <w:rFonts w:hint="eastAsia"/>
        </w:rPr>
        <w:t>年初没做此预算。</w:t>
      </w:r>
    </w:p>
    <w:p>
      <w:pPr>
        <w:pStyle w:val="4"/>
        <w:shd w:val="clear" w:color="auto" w:fill="FFFFFF"/>
      </w:pPr>
      <w:r>
        <w:t>（</w:t>
      </w:r>
      <w:r>
        <w:rPr>
          <w:rFonts w:hint="eastAsia"/>
        </w:rPr>
        <w:t>4</w:t>
      </w:r>
      <w:r>
        <w:t>）住房保障支出7.89万元，占7.6%，较年初预算数增加7.89万元，增长</w:t>
      </w:r>
      <w:r>
        <w:rPr>
          <w:rFonts w:hint="eastAsia"/>
        </w:rPr>
        <w:t>100</w:t>
      </w:r>
      <w:r>
        <w:t>%，主要原因是</w:t>
      </w:r>
      <w:r>
        <w:rPr>
          <w:rFonts w:hint="eastAsia"/>
        </w:rPr>
        <w:t>支付职工住房公积金，年初没做此预算。</w:t>
      </w:r>
    </w:p>
    <w:p>
      <w:pPr>
        <w:pStyle w:val="4"/>
        <w:shd w:val="clear" w:color="auto" w:fill="FFFFFF"/>
      </w:pPr>
      <w:r>
        <w:rPr>
          <w:rStyle w:val="7"/>
        </w:rPr>
        <w:t>（四）一般公共预算财政拨款基本支出决算情况说明</w:t>
      </w:r>
    </w:p>
    <w:p>
      <w:pPr>
        <w:pStyle w:val="4"/>
        <w:shd w:val="clear" w:color="auto" w:fill="FFFFFF"/>
      </w:pPr>
      <w:r>
        <w:t>2022年度一般公共预算财政拨款基本支出104.03万元。其中：人员经费87.49万元，较上年决算数增加87.49万元，增长</w:t>
      </w:r>
      <w:r>
        <w:rPr>
          <w:rFonts w:hint="eastAsia"/>
        </w:rPr>
        <w:t>100</w:t>
      </w:r>
      <w:r>
        <w:t>%，</w:t>
      </w:r>
      <w:r>
        <w:rPr>
          <w:rFonts w:hint="eastAsia"/>
        </w:rPr>
        <w:t>主要原因是今年开放预算一体化系统，</w:t>
      </w:r>
      <w:r>
        <w:rPr>
          <w:rStyle w:val="7"/>
          <w:b w:val="0"/>
        </w:rPr>
        <w:t>劳动就业和社会保障服务所</w:t>
      </w:r>
      <w:r>
        <w:rPr>
          <w:rFonts w:hint="eastAsia"/>
        </w:rPr>
        <w:t>从本级剥离独立核算收支，属于新增设的单位账户，所以增幅大。</w:t>
      </w:r>
      <w:r>
        <w:t>包括</w:t>
      </w:r>
      <w:r>
        <w:rPr>
          <w:rFonts w:hint="eastAsia"/>
        </w:rPr>
        <w:t>人员经费用途主要包括</w:t>
      </w:r>
      <w:r>
        <w:rPr>
          <w:rFonts w:hint="eastAsia"/>
          <w:color w:val="000000" w:themeColor="text1"/>
        </w:rPr>
        <w:t>基本工资、绩效、奖金、住房公积金、五险一金等。</w:t>
      </w:r>
      <w:r>
        <w:t>公用经费16.54万元，较上年决算数增加16.54万元，增长</w:t>
      </w:r>
      <w:r>
        <w:rPr>
          <w:rFonts w:hint="eastAsia"/>
        </w:rPr>
        <w:t>100</w:t>
      </w:r>
      <w:r>
        <w:t>%，</w:t>
      </w:r>
      <w:r>
        <w:rPr>
          <w:rFonts w:hint="eastAsia"/>
        </w:rPr>
        <w:t>主要原因是今年开放预算一体化系统，</w:t>
      </w:r>
      <w:r>
        <w:rPr>
          <w:rStyle w:val="7"/>
          <w:b w:val="0"/>
        </w:rPr>
        <w:t>劳动就业和社会保障服务所</w:t>
      </w:r>
      <w:r>
        <w:rPr>
          <w:rFonts w:hint="eastAsia"/>
        </w:rPr>
        <w:t>从本级剥离独立核算收支，属于新增设的单位账户，所以增幅大。公用经费用途主要包</w:t>
      </w:r>
      <w:r>
        <w:rPr>
          <w:rFonts w:hint="eastAsia"/>
          <w:color w:val="000000" w:themeColor="text1"/>
        </w:rPr>
        <w:t>括办公费、水费、电费、等费用。</w:t>
      </w:r>
    </w:p>
    <w:p>
      <w:pPr>
        <w:pStyle w:val="4"/>
        <w:shd w:val="clear" w:color="auto" w:fill="FFFFFF"/>
      </w:pPr>
      <w:r>
        <w:rPr>
          <w:rStyle w:val="7"/>
        </w:rPr>
        <w:t>（五）政府性基金预算收支决算情况说明。</w:t>
      </w:r>
    </w:p>
    <w:p>
      <w:r>
        <w:rPr>
          <w:rFonts w:hint="eastAsia"/>
        </w:rPr>
        <w:t>本部门2022年度无政府性基金预算财政拨款收支。</w:t>
      </w:r>
    </w:p>
    <w:p>
      <w:pPr>
        <w:pStyle w:val="4"/>
        <w:shd w:val="clear" w:color="auto" w:fill="FFFFFF"/>
      </w:pPr>
      <w:r>
        <w:rPr>
          <w:rStyle w:val="7"/>
        </w:rPr>
        <w:t>（六）国有资本经营预算财政拨款支出决算情况说明。</w:t>
      </w:r>
    </w:p>
    <w:p>
      <w:r>
        <w:rPr>
          <w:rFonts w:hint="eastAsia"/>
        </w:rPr>
        <w:t>本部门2022年度无国有资本经营预算财政拨款支出。</w:t>
      </w:r>
    </w:p>
    <w:p>
      <w:pPr>
        <w:pStyle w:val="4"/>
        <w:shd w:val="clear" w:color="auto" w:fill="FFFFFF"/>
      </w:pPr>
      <w:r>
        <w:rPr>
          <w:rStyle w:val="7"/>
        </w:rPr>
        <w:t>三、“三公”经费情况说明</w:t>
      </w:r>
    </w:p>
    <w:p>
      <w:pPr>
        <w:pStyle w:val="4"/>
        <w:shd w:val="clear" w:color="auto" w:fill="FFFFFF"/>
      </w:pPr>
      <w:r>
        <w:rPr>
          <w:rStyle w:val="7"/>
        </w:rPr>
        <w:t>（一）“三公”经费支出总体情况说明</w:t>
      </w:r>
    </w:p>
    <w:p>
      <w:pPr>
        <w:pStyle w:val="4"/>
        <w:shd w:val="clear" w:color="auto" w:fill="FFFFFF"/>
        <w:rPr>
          <w:color w:val="FF0000"/>
        </w:rPr>
      </w:pPr>
      <w:r>
        <w:t>2022年度“三公”经费支出共计0.00万元，较年初预算数增加0.00万元，增长%，较上年支出数增加0.00万元，增长</w:t>
      </w:r>
      <w:r>
        <w:rPr>
          <w:rFonts w:hint="eastAsia"/>
        </w:rPr>
        <w:t>0</w:t>
      </w:r>
      <w:r>
        <w:t>%，主要原因是本单位2022年度未发生</w:t>
      </w:r>
      <w:r>
        <w:rPr>
          <w:rFonts w:hint="eastAsia"/>
        </w:rPr>
        <w:t>三公经费</w:t>
      </w:r>
      <w:r>
        <w:t>支出</w:t>
      </w:r>
      <w:r>
        <w:rPr>
          <w:rFonts w:hint="eastAsia"/>
        </w:rPr>
        <w:t>。</w:t>
      </w:r>
    </w:p>
    <w:p>
      <w:pPr>
        <w:pStyle w:val="4"/>
        <w:shd w:val="clear" w:color="auto" w:fill="FFFFFF"/>
      </w:pPr>
      <w:r>
        <w:rPr>
          <w:rStyle w:val="7"/>
        </w:rPr>
        <w:t>（二）“三公”经费分项支出情况</w:t>
      </w:r>
    </w:p>
    <w:p>
      <w:pPr>
        <w:pStyle w:val="4"/>
        <w:shd w:val="clear" w:color="auto" w:fill="FFFFFF"/>
        <w:rPr>
          <w:color w:val="FF0000"/>
        </w:rPr>
      </w:pPr>
      <w:r>
        <w:t>2022年度本部门因公出国（境）费用0.00万元，主费用支出较年初预算数增加0.00万元，增长</w:t>
      </w:r>
      <w:r>
        <w:rPr>
          <w:rFonts w:hint="eastAsia"/>
        </w:rPr>
        <w:t>0</w:t>
      </w:r>
      <w:r>
        <w:t>%，较上年支出数增加0.00万元，增长</w:t>
      </w:r>
      <w:r>
        <w:rPr>
          <w:rFonts w:hint="eastAsia"/>
        </w:rPr>
        <w:t>0</w:t>
      </w:r>
      <w:r>
        <w:t>%，主要原因是本单位2022年度未</w:t>
      </w:r>
      <w:r>
        <w:rPr>
          <w:rFonts w:hint="eastAsia"/>
        </w:rPr>
        <w:t>发生</w:t>
      </w:r>
      <w:r>
        <w:t>公出国（境）费用</w:t>
      </w:r>
      <w:r>
        <w:rPr>
          <w:rFonts w:hint="eastAsia"/>
        </w:rPr>
        <w:t>。</w:t>
      </w:r>
    </w:p>
    <w:p>
      <w:pPr>
        <w:pStyle w:val="4"/>
        <w:shd w:val="clear" w:color="auto" w:fill="FFFFFF"/>
      </w:pPr>
      <w:r>
        <w:t>公务车购置费0.00万元，费用支出较年初预算数增加0.00万元，增长</w:t>
      </w:r>
      <w:r>
        <w:rPr>
          <w:rFonts w:hint="eastAsia"/>
        </w:rPr>
        <w:t>0</w:t>
      </w:r>
      <w:r>
        <w:t>%，较上年支出数增加0.00万元，增长</w:t>
      </w:r>
      <w:r>
        <w:rPr>
          <w:rFonts w:hint="eastAsia"/>
        </w:rPr>
        <w:t>0</w:t>
      </w:r>
      <w:r>
        <w:t>%，本单位2022年度</w:t>
      </w:r>
      <w:r>
        <w:rPr>
          <w:rFonts w:hint="eastAsia"/>
        </w:rPr>
        <w:t>未发生</w:t>
      </w:r>
      <w:r>
        <w:t>公务车购置费</w:t>
      </w:r>
      <w:r>
        <w:rPr>
          <w:rFonts w:hint="eastAsia"/>
        </w:rPr>
        <w:t>。</w:t>
      </w:r>
    </w:p>
    <w:p>
      <w:pPr>
        <w:pStyle w:val="4"/>
        <w:shd w:val="clear" w:color="auto" w:fill="FFFFFF"/>
      </w:pPr>
      <w:r>
        <w:t>公务车运行维护费0.00万元，费用支出较年初预算数增加0.00万元，增长</w:t>
      </w:r>
      <w:r>
        <w:rPr>
          <w:rFonts w:hint="eastAsia"/>
        </w:rPr>
        <w:t>0</w:t>
      </w:r>
      <w:r>
        <w:t>%，较上年支出数增加0.00万元，增长</w:t>
      </w:r>
      <w:r>
        <w:rPr>
          <w:rFonts w:hint="eastAsia"/>
        </w:rPr>
        <w:t>0</w:t>
      </w:r>
      <w:r>
        <w:t>%，主要原因是</w:t>
      </w:r>
      <w:r>
        <w:rPr>
          <w:rFonts w:hint="eastAsia"/>
        </w:rPr>
        <w:t>未发生</w:t>
      </w:r>
      <w:r>
        <w:t>公务车运行维护费</w:t>
      </w:r>
      <w:r>
        <w:rPr>
          <w:rFonts w:hint="eastAsia"/>
        </w:rPr>
        <w:t>。</w:t>
      </w:r>
    </w:p>
    <w:p>
      <w:pPr>
        <w:pStyle w:val="4"/>
        <w:shd w:val="clear" w:color="auto" w:fill="FFFFFF"/>
      </w:pPr>
      <w:r>
        <w:t>公务接待费0.00万元，费用支出较年初预算数增加0.00万元，增长</w:t>
      </w:r>
      <w:r>
        <w:rPr>
          <w:rFonts w:hint="eastAsia"/>
        </w:rPr>
        <w:t>0</w:t>
      </w:r>
      <w:r>
        <w:t>%，较上年支出数增加0.00万元，增长</w:t>
      </w:r>
      <w:r>
        <w:rPr>
          <w:rFonts w:hint="eastAsia"/>
        </w:rPr>
        <w:t>0</w:t>
      </w:r>
      <w:r>
        <w:t>%，主要原因是</w:t>
      </w:r>
      <w:r>
        <w:rPr>
          <w:rFonts w:hint="eastAsia"/>
        </w:rPr>
        <w:t>未发生</w:t>
      </w:r>
      <w:r>
        <w:t>公务接待费</w:t>
      </w:r>
      <w:r>
        <w:rPr>
          <w:rFonts w:hint="eastAsia"/>
        </w:rPr>
        <w:t>。</w:t>
      </w:r>
    </w:p>
    <w:p>
      <w:pPr>
        <w:pStyle w:val="4"/>
        <w:shd w:val="clear" w:color="auto" w:fill="FFFFFF"/>
      </w:pPr>
      <w:r>
        <w:rPr>
          <w:rStyle w:val="7"/>
        </w:rPr>
        <w:t>（三）“三公”经费实物量情况</w:t>
      </w:r>
    </w:p>
    <w:p>
      <w:pPr>
        <w:pStyle w:val="4"/>
        <w:shd w:val="clear" w:color="auto" w:fill="FFFFFF"/>
      </w:pPr>
      <w: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r>
        <w:rPr>
          <w:rFonts w:hint="eastAsia"/>
        </w:rPr>
        <w:t>本单位未发生此项支出。</w:t>
      </w:r>
    </w:p>
    <w:p>
      <w:pPr>
        <w:pStyle w:val="4"/>
        <w:shd w:val="clear" w:color="auto" w:fill="FFFFFF"/>
      </w:pPr>
      <w:r>
        <w:rPr>
          <w:rStyle w:val="7"/>
        </w:rPr>
        <w:t>四、其他需要说明的事项</w:t>
      </w:r>
    </w:p>
    <w:p>
      <w:pPr>
        <w:pStyle w:val="4"/>
        <w:shd w:val="clear" w:color="auto" w:fill="FFFFFF"/>
      </w:pPr>
      <w:r>
        <w:rPr>
          <w:rStyle w:val="7"/>
        </w:rPr>
        <w:t>（一）财政拨款会议费和培训费情况说明</w:t>
      </w:r>
    </w:p>
    <w:p>
      <w:pPr>
        <w:pStyle w:val="4"/>
        <w:shd w:val="clear" w:color="auto" w:fill="FFFFFF"/>
      </w:pPr>
      <w:r>
        <w:t>本年度会议费支出0.00万元，较上年决算数增加0.00万元，增长</w:t>
      </w:r>
      <w:r>
        <w:rPr>
          <w:rFonts w:hint="eastAsia"/>
        </w:rPr>
        <w:t>0</w:t>
      </w:r>
      <w:r>
        <w:t>%，主要原因是</w:t>
      </w:r>
      <w:r>
        <w:rPr>
          <w:rFonts w:hint="eastAsia"/>
        </w:rPr>
        <w:t>没安排会议费用，</w:t>
      </w:r>
      <w:r>
        <w:t>本年度培训费支出0.43万元，较上年决算数增加0.43万元，增长</w:t>
      </w:r>
      <w:r>
        <w:rPr>
          <w:rFonts w:hint="eastAsia"/>
        </w:rPr>
        <w:t>100</w:t>
      </w:r>
      <w:r>
        <w:t>%，</w:t>
      </w:r>
      <w:r>
        <w:rPr>
          <w:rFonts w:hint="eastAsia"/>
        </w:rPr>
        <w:t>主要原因是今年开放预算一体化系统，从本级剥离独立核算收支，属于新增设的单位账户，所以增幅大。用于本单位事业人员继续教育支出。</w:t>
      </w:r>
    </w:p>
    <w:p>
      <w:pPr>
        <w:pStyle w:val="4"/>
        <w:shd w:val="clear" w:color="auto" w:fill="FFFFFF"/>
      </w:pPr>
      <w:r>
        <w:rPr>
          <w:rStyle w:val="7"/>
        </w:rPr>
        <w:t>（二）机关运行经费支出情况说明</w:t>
      </w:r>
    </w:p>
    <w:p>
      <w:r>
        <w:t>2022年度本部门机关运行经费支出0.00万元，主要用于开支机关运行经费较上年决算数增加0.00万元，增长</w:t>
      </w:r>
      <w:r>
        <w:rPr>
          <w:rFonts w:hint="eastAsia"/>
        </w:rPr>
        <w:t>0</w:t>
      </w:r>
      <w:r>
        <w:t>%，</w:t>
      </w:r>
      <w:r>
        <w:rPr>
          <w:rFonts w:hint="eastAsia"/>
        </w:rPr>
        <w:t>按照部门决算列报口径，我单位不在机关运行经费统计范围之内。</w:t>
      </w:r>
    </w:p>
    <w:p>
      <w:pPr>
        <w:pStyle w:val="4"/>
        <w:shd w:val="clear" w:color="auto" w:fill="FFFFFF"/>
      </w:pPr>
      <w:r>
        <w:rPr>
          <w:rStyle w:val="7"/>
        </w:rPr>
        <w:t>（三）国有资产占用情况说明</w:t>
      </w:r>
    </w:p>
    <w:p>
      <w:pPr>
        <w:pStyle w:val="4"/>
        <w:shd w:val="clear" w:color="auto" w:fill="FFFFFF"/>
      </w:pPr>
      <w: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4"/>
        <w:shd w:val="clear" w:color="auto" w:fill="FFFFFF"/>
      </w:pPr>
      <w:r>
        <w:rPr>
          <w:rStyle w:val="7"/>
        </w:rPr>
        <w:t>（四）政府采购支出说明</w:t>
      </w:r>
    </w:p>
    <w:p>
      <w:pPr>
        <w:pStyle w:val="4"/>
        <w:shd w:val="clear" w:color="auto" w:fill="FFFFFF"/>
        <w:rPr>
          <w:shd w:val="clear" w:color="auto" w:fill="FFFF00"/>
        </w:rPr>
      </w:pPr>
      <w:r>
        <w:t>2022年度本部门政府采购支出总额0.00万元，其中：政府采购货物支出0.00万元、政府采购工程支出0.00万元、政府采购服务支出0.00万元。授予中小企业合同金额0.00万元，占政府采购支出总额的</w:t>
      </w:r>
      <w:r>
        <w:rPr>
          <w:rFonts w:hint="eastAsia"/>
        </w:rPr>
        <w:t>0</w:t>
      </w:r>
      <w:r>
        <w:t>%，其中：授予小微企业合同金额0.00万元，占政府采购支出总额的</w:t>
      </w:r>
      <w:r>
        <w:rPr>
          <w:rFonts w:hint="eastAsia"/>
        </w:rPr>
        <w:t>0</w:t>
      </w:r>
      <w:r>
        <w:t>%。</w:t>
      </w:r>
      <w:r>
        <w:rPr>
          <w:rFonts w:hint="eastAsia"/>
        </w:rPr>
        <w:t>本年度无采购。</w:t>
      </w:r>
    </w:p>
    <w:p>
      <w:pPr>
        <w:pStyle w:val="4"/>
        <w:shd w:val="clear" w:color="auto" w:fill="FFFFFF"/>
        <w:rPr>
          <w:rStyle w:val="7"/>
        </w:rPr>
      </w:pPr>
      <w:r>
        <w:rPr>
          <w:rStyle w:val="7"/>
        </w:rPr>
        <w:t>五、预算绩效管理情况说明</w:t>
      </w:r>
    </w:p>
    <w:p>
      <w:pPr>
        <w:pStyle w:val="4"/>
        <w:shd w:val="clear" w:color="auto" w:fill="FFFFFF"/>
      </w:pPr>
      <w:r>
        <w:rPr>
          <w:rStyle w:val="7"/>
          <w:rFonts w:hint="eastAsia"/>
          <w:b w:val="0"/>
        </w:rPr>
        <w:t>本单位无预算绩效填报内容。</w:t>
      </w:r>
    </w:p>
    <w:p>
      <w:pPr>
        <w:pStyle w:val="4"/>
        <w:shd w:val="clear" w:color="auto" w:fill="FFFFFF"/>
      </w:pPr>
      <w:r>
        <w:rPr>
          <w:rStyle w:val="7"/>
        </w:rPr>
        <w:t>六、专业名词解释</w:t>
      </w:r>
    </w:p>
    <w:p>
      <w:pPr>
        <w:pStyle w:val="4"/>
        <w:shd w:val="clear" w:color="auto" w:fill="FFFFFF"/>
      </w:pPr>
      <w:r>
        <w:rPr>
          <w:rStyle w:val="7"/>
        </w:rPr>
        <w:t>（一）财政拨款收入</w:t>
      </w:r>
      <w:r>
        <w:t>：指本年度从本级财政部门取得的财政拨款，包括一般公共预算财政拨款和政府性基金预算财政拨款。</w:t>
      </w:r>
    </w:p>
    <w:p>
      <w:pPr>
        <w:pStyle w:val="4"/>
        <w:shd w:val="clear" w:color="auto" w:fill="FFFFFF"/>
      </w:pPr>
      <w:r>
        <w:rPr>
          <w:rStyle w:val="7"/>
        </w:rPr>
        <w:t>（二）事业收入</w:t>
      </w:r>
      <w:r>
        <w:t>：指事业单位开展专业业务活动及其辅助活动取得的现金流入；事业单位收到的财政专户实际核拨的教育收费等资金在此反映。</w:t>
      </w:r>
    </w:p>
    <w:p>
      <w:pPr>
        <w:pStyle w:val="4"/>
        <w:shd w:val="clear" w:color="auto" w:fill="FFFFFF"/>
      </w:pPr>
      <w:r>
        <w:rPr>
          <w:rStyle w:val="7"/>
        </w:rPr>
        <w:t>（三）其他收入</w:t>
      </w:r>
      <w: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pPr>
      <w:r>
        <w:rPr>
          <w:rStyle w:val="7"/>
        </w:rPr>
        <w:t>（四）使用非财政拨款结余</w:t>
      </w:r>
      <w:r>
        <w:t>：指单位在当年的“财政拨款收入”、“事业收入”、“经营收入”、“其他收入”等不足以安排当年支出的情况下，使用以前年度积累的非财政拨款结余弥补本年度收支缺口的资金。</w:t>
      </w:r>
    </w:p>
    <w:p>
      <w:pPr>
        <w:pStyle w:val="4"/>
        <w:shd w:val="clear" w:color="auto" w:fill="FFFFFF"/>
      </w:pPr>
      <w:r>
        <w:rPr>
          <w:rStyle w:val="7"/>
        </w:rPr>
        <w:t>（五）年初结转和结余</w:t>
      </w:r>
      <w:r>
        <w:t>：指单位上年结转本年使用的基本支出结转、项目支出结转和结余、经营结余。</w:t>
      </w:r>
    </w:p>
    <w:p>
      <w:pPr>
        <w:pStyle w:val="4"/>
        <w:shd w:val="clear" w:color="auto" w:fill="FFFFFF"/>
      </w:pPr>
      <w:r>
        <w:rPr>
          <w:rStyle w:val="7"/>
        </w:rPr>
        <w:t>（六）结余分配</w:t>
      </w:r>
      <w:r>
        <w:t>：指单位按照国家有关规定，缴纳所得税、提取专用基金、转入非财政拨款结余等当年结余的分配情况。</w:t>
      </w:r>
    </w:p>
    <w:p>
      <w:pPr>
        <w:pStyle w:val="4"/>
        <w:shd w:val="clear" w:color="auto" w:fill="FFFFFF"/>
      </w:pPr>
      <w:r>
        <w:rPr>
          <w:rStyle w:val="7"/>
        </w:rPr>
        <w:t>（七）年末结转和结余</w:t>
      </w:r>
      <w:r>
        <w:t>：指单位结转下年的基本支出结转、项目支出结转和结余、经营结余。</w:t>
      </w:r>
    </w:p>
    <w:p>
      <w:pPr>
        <w:pStyle w:val="4"/>
        <w:shd w:val="clear" w:color="auto" w:fill="FFFFFF"/>
      </w:pPr>
      <w:r>
        <w:rPr>
          <w:rStyle w:val="7"/>
        </w:rPr>
        <w:t>（八）基本支出</w:t>
      </w:r>
      <w: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pPr>
      <w:r>
        <w:rPr>
          <w:rStyle w:val="7"/>
        </w:rPr>
        <w:t>（九）项目支出</w:t>
      </w:r>
      <w:r>
        <w:t>：指在基本支出之外为完成特定行政任务和事业发展目标所发生的支出。</w:t>
      </w:r>
    </w:p>
    <w:p>
      <w:pPr>
        <w:pStyle w:val="4"/>
        <w:shd w:val="clear" w:color="auto" w:fill="FFFFFF"/>
      </w:pPr>
      <w:r>
        <w:rPr>
          <w:rStyle w:val="7"/>
        </w:rPr>
        <w:t>（十）“三公”经费</w:t>
      </w:r>
      <w: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pPr>
      <w:r>
        <w:rPr>
          <w:rStyle w:val="7"/>
        </w:rPr>
        <w:t>（十一）机关运行经费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pPr>
      <w:r>
        <w:rPr>
          <w:rStyle w:val="7"/>
        </w:rPr>
        <w:t>（十二）工资福利支出（支出经济分类科目类级）</w:t>
      </w:r>
      <w:r>
        <w:t>：反映单位开支的在职职工和编制外长期聘用人员的各类劳动报酬，以及为上述人员缴纳的各项社会保险费等。</w:t>
      </w:r>
    </w:p>
    <w:p>
      <w:pPr>
        <w:pStyle w:val="4"/>
        <w:shd w:val="clear" w:color="auto" w:fill="FFFFFF"/>
      </w:pPr>
      <w:r>
        <w:rPr>
          <w:rStyle w:val="7"/>
        </w:rPr>
        <w:t>（十三）商品和服务支出（支出经济分类科目类级）</w:t>
      </w:r>
      <w:r>
        <w:t>：反映单位购买商品和服务的支出（不包括用于购置固定资产的支出、战略性和应急储备支出）。</w:t>
      </w:r>
    </w:p>
    <w:p>
      <w:pPr>
        <w:pStyle w:val="4"/>
        <w:shd w:val="clear" w:color="auto" w:fill="FFFFFF"/>
      </w:pPr>
      <w:r>
        <w:rPr>
          <w:rStyle w:val="7"/>
        </w:rPr>
        <w:t>（十四）对个人和家庭的补助（支出经济分类科目类级）</w:t>
      </w:r>
      <w:r>
        <w:t>：反映用于对个人和家庭的补助支出。</w:t>
      </w:r>
    </w:p>
    <w:p>
      <w:pPr>
        <w:pStyle w:val="4"/>
        <w:shd w:val="clear" w:color="auto" w:fill="FFFFFF"/>
      </w:pPr>
      <w:r>
        <w:rPr>
          <w:rStyle w:val="7"/>
        </w:rPr>
        <w:t>（十五）其他资本性支出（支出经济分类科目类级）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pPr>
      <w:r>
        <w:rPr>
          <w:rStyle w:val="7"/>
        </w:rPr>
        <w:t>七、决算公开联系方式及信息反馈渠道</w:t>
      </w:r>
    </w:p>
    <w:p>
      <w:pPr>
        <w:pStyle w:val="4"/>
        <w:shd w:val="clear" w:color="auto" w:fill="FFFFFF"/>
      </w:pPr>
      <w:r>
        <w:t>本单位决算公开信息反馈和联系方式：</w:t>
      </w:r>
    </w:p>
    <w:p>
      <w:pPr>
        <w:pStyle w:val="4"/>
        <w:shd w:val="clear" w:color="auto" w:fill="FFFFFF"/>
      </w:pPr>
      <w:r>
        <w:rPr>
          <w:rFonts w:hint="eastAsia"/>
        </w:rPr>
        <w:t>韩昌利  18883352166</w:t>
      </w:r>
    </w:p>
    <w:p>
      <w:pPr>
        <w:pStyle w:val="4"/>
        <w:shd w:val="clear" w:color="auto" w:fill="FFFFFF"/>
        <w:rPr>
          <w:color w:val="000000" w:themeColor="text1"/>
        </w:rPr>
      </w:pPr>
      <w:r>
        <w:rPr>
          <w:rFonts w:hint="eastAsia"/>
          <w:color w:val="000000" w:themeColor="text1"/>
        </w:rPr>
        <w:t>苟丹  13167935983</w:t>
      </w:r>
    </w:p>
    <w:p>
      <w:pPr>
        <w:pStyle w:val="4"/>
        <w:shd w:val="clear" w:color="auto" w:fill="FFFFFF"/>
      </w:pPr>
      <w:r>
        <w:rPr>
          <w:rFonts w:hint="eastAsia"/>
        </w:rPr>
        <w:t>附件：批复公开表</w:t>
      </w:r>
    </w:p>
    <w:tbl>
      <w:tblPr>
        <w:tblStyle w:val="5"/>
        <w:tblW w:w="9287" w:type="dxa"/>
        <w:tblInd w:w="93" w:type="dxa"/>
        <w:tblLayout w:type="autofit"/>
        <w:tblCellMar>
          <w:top w:w="0" w:type="dxa"/>
          <w:left w:w="108" w:type="dxa"/>
          <w:bottom w:w="0" w:type="dxa"/>
          <w:right w:w="108" w:type="dxa"/>
        </w:tblCellMar>
      </w:tblPr>
      <w:tblGrid>
        <w:gridCol w:w="3336"/>
        <w:gridCol w:w="889"/>
        <w:gridCol w:w="3101"/>
        <w:gridCol w:w="1961"/>
      </w:tblGrid>
      <w:tr>
        <w:tblPrEx>
          <w:tblCellMar>
            <w:top w:w="0" w:type="dxa"/>
            <w:left w:w="108" w:type="dxa"/>
            <w:bottom w:w="0" w:type="dxa"/>
            <w:right w:w="108" w:type="dxa"/>
          </w:tblCellMar>
        </w:tblPrEx>
        <w:trPr>
          <w:trHeight w:val="555" w:hRule="atLeast"/>
        </w:trPr>
        <w:tc>
          <w:tcPr>
            <w:tcW w:w="3336" w:type="dxa"/>
            <w:tcBorders>
              <w:top w:val="nil"/>
              <w:left w:val="nil"/>
              <w:bottom w:val="nil"/>
              <w:right w:val="nil"/>
            </w:tcBorders>
            <w:shd w:val="clear" w:color="auto" w:fill="FFFFFF"/>
            <w:noWrap/>
            <w:vAlign w:val="center"/>
          </w:tcPr>
          <w:p>
            <w:pPr>
              <w:rPr>
                <w:color w:val="000000"/>
                <w:sz w:val="12"/>
                <w:szCs w:val="12"/>
              </w:rPr>
            </w:pPr>
          </w:p>
        </w:tc>
        <w:tc>
          <w:tcPr>
            <w:tcW w:w="3990" w:type="dxa"/>
            <w:gridSpan w:val="2"/>
            <w:tcBorders>
              <w:top w:val="nil"/>
              <w:left w:val="nil"/>
              <w:bottom w:val="nil"/>
              <w:right w:val="nil"/>
            </w:tcBorders>
            <w:shd w:val="clear" w:color="auto" w:fill="FFFFFF"/>
            <w:noWrap/>
            <w:vAlign w:val="center"/>
          </w:tcPr>
          <w:p>
            <w:pPr>
              <w:rPr>
                <w:color w:val="000000"/>
                <w:sz w:val="21"/>
                <w:szCs w:val="21"/>
              </w:rPr>
            </w:pPr>
            <w:r>
              <w:rPr>
                <w:rFonts w:hint="eastAsia" w:ascii="黑体" w:eastAsia="黑体" w:cs="黑体"/>
                <w:color w:val="000000"/>
                <w:sz w:val="21"/>
                <w:szCs w:val="21"/>
              </w:rPr>
              <w:t>收入支出决算总表</w:t>
            </w:r>
          </w:p>
        </w:tc>
        <w:tc>
          <w:tcPr>
            <w:tcW w:w="1961" w:type="dxa"/>
            <w:tcBorders>
              <w:top w:val="nil"/>
              <w:left w:val="nil"/>
              <w:bottom w:val="nil"/>
              <w:right w:val="single" w:color="808080" w:sz="4" w:space="0"/>
            </w:tcBorders>
            <w:shd w:val="clear" w:color="auto" w:fill="FFFFFF"/>
            <w:noWrap/>
            <w:vAlign w:val="center"/>
          </w:tcPr>
          <w:p>
            <w:pPr>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color w:val="000000"/>
                <w:sz w:val="12"/>
                <w:szCs w:val="12"/>
              </w:rPr>
            </w:pPr>
          </w:p>
        </w:tc>
        <w:tc>
          <w:tcPr>
            <w:tcW w:w="0" w:type="auto"/>
            <w:tcBorders>
              <w:top w:val="nil"/>
              <w:left w:val="nil"/>
              <w:bottom w:val="nil"/>
              <w:right w:val="nil"/>
            </w:tcBorders>
            <w:shd w:val="clear" w:color="auto" w:fill="FFFFFF"/>
            <w:noWrap/>
            <w:vAlign w:val="center"/>
          </w:tcPr>
          <w:p>
            <w:pPr>
              <w:rPr>
                <w:color w:val="000000"/>
                <w:sz w:val="12"/>
                <w:szCs w:val="12"/>
              </w:rPr>
            </w:pPr>
          </w:p>
        </w:tc>
        <w:tc>
          <w:tcPr>
            <w:tcW w:w="0" w:type="auto"/>
            <w:tcBorders>
              <w:top w:val="nil"/>
              <w:left w:val="nil"/>
              <w:bottom w:val="nil"/>
              <w:right w:val="nil"/>
            </w:tcBorders>
            <w:shd w:val="clear" w:color="auto" w:fill="FFFFFF"/>
            <w:noWrap/>
            <w:vAlign w:val="center"/>
          </w:tcPr>
          <w:p>
            <w:pPr>
              <w:rPr>
                <w:color w:val="000000"/>
                <w:sz w:val="12"/>
                <w:szCs w:val="12"/>
              </w:rPr>
            </w:pPr>
          </w:p>
        </w:tc>
        <w:tc>
          <w:tcPr>
            <w:tcW w:w="0" w:type="auto"/>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rFonts w:ascii="Tahoma" w:hAnsi="Tahoma" w:eastAsia="Tahoma" w:cs="Tahoma"/>
                <w:color w:val="000000"/>
                <w:sz w:val="12"/>
                <w:szCs w:val="12"/>
              </w:rPr>
            </w:pPr>
          </w:p>
        </w:tc>
        <w:tc>
          <w:tcPr>
            <w:tcW w:w="0" w:type="auto"/>
            <w:tcBorders>
              <w:top w:val="nil"/>
              <w:left w:val="nil"/>
              <w:bottom w:val="nil"/>
              <w:right w:val="nil"/>
            </w:tcBorders>
            <w:shd w:val="clear" w:color="auto" w:fill="FFFFFF"/>
            <w:noWrap/>
            <w:vAlign w:val="center"/>
          </w:tcPr>
          <w:p>
            <w:pPr>
              <w:rPr>
                <w:color w:val="000000"/>
                <w:sz w:val="12"/>
                <w:szCs w:val="12"/>
              </w:rPr>
            </w:pPr>
          </w:p>
        </w:tc>
        <w:tc>
          <w:tcPr>
            <w:tcW w:w="0" w:type="auto"/>
            <w:tcBorders>
              <w:top w:val="nil"/>
              <w:left w:val="nil"/>
              <w:bottom w:val="nil"/>
              <w:right w:val="nil"/>
            </w:tcBorders>
            <w:shd w:val="clear" w:color="auto" w:fill="FFFFFF"/>
            <w:noWrap/>
            <w:vAlign w:val="center"/>
          </w:tcPr>
          <w:p>
            <w:pPr>
              <w:rPr>
                <w:color w:val="000000"/>
                <w:sz w:val="12"/>
                <w:szCs w:val="12"/>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公开01表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12"/>
                <w:szCs w:val="12"/>
              </w:rPr>
            </w:pPr>
            <w:r>
              <w:rPr>
                <w:rFonts w:hint="eastAsia"/>
                <w:color w:val="000000"/>
                <w:sz w:val="12"/>
                <w:szCs w:val="12"/>
              </w:rPr>
              <w:t>公开部门：重庆市荣昌区盘龙镇劳动就业和社会保障服务所</w:t>
            </w:r>
          </w:p>
        </w:tc>
        <w:tc>
          <w:tcPr>
            <w:tcW w:w="0" w:type="auto"/>
            <w:tcBorders>
              <w:top w:val="nil"/>
              <w:left w:val="nil"/>
              <w:bottom w:val="single" w:color="808080" w:sz="4" w:space="0"/>
              <w:right w:val="nil"/>
            </w:tcBorders>
            <w:shd w:val="clear" w:color="auto" w:fill="FFFFFF"/>
            <w:noWrap/>
            <w:vAlign w:val="center"/>
          </w:tcPr>
          <w:p>
            <w:pPr>
              <w:jc w:val="center"/>
              <w:rPr>
                <w:color w:val="000000"/>
                <w:sz w:val="12"/>
                <w:szCs w:val="12"/>
              </w:rPr>
            </w:pPr>
          </w:p>
        </w:tc>
        <w:tc>
          <w:tcPr>
            <w:tcW w:w="0" w:type="auto"/>
            <w:tcBorders>
              <w:top w:val="nil"/>
              <w:left w:val="nil"/>
              <w:bottom w:val="single" w:color="808080" w:sz="4" w:space="0"/>
              <w:right w:val="nil"/>
            </w:tcBorders>
            <w:shd w:val="clear" w:color="auto" w:fill="FFFFFF"/>
            <w:noWrap/>
            <w:vAlign w:val="center"/>
          </w:tcPr>
          <w:p>
            <w:pPr>
              <w:rPr>
                <w:color w:val="000000"/>
                <w:sz w:val="12"/>
                <w:szCs w:val="12"/>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单位：万元</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收入</w:t>
            </w:r>
          </w:p>
        </w:tc>
        <w:tc>
          <w:tcPr>
            <w:tcW w:w="0" w:type="auto"/>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支出</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项目</w:t>
            </w:r>
          </w:p>
        </w:tc>
        <w:tc>
          <w:tcPr>
            <w:tcW w:w="0" w:type="auto"/>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决算数</w:t>
            </w:r>
          </w:p>
        </w:tc>
        <w:tc>
          <w:tcPr>
            <w:tcW w:w="0" w:type="auto"/>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功能分类科目</w:t>
            </w:r>
          </w:p>
        </w:tc>
        <w:tc>
          <w:tcPr>
            <w:tcW w:w="0" w:type="auto"/>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决算数</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一、一般公共预算财政拨款收入</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一、一般公共服务支出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二、政府性基金预算财政拨款收入</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二、外交支出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三、国有资本经营预算财政拨款收入</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三、国防支出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四、上级补助收入</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四、公共安全支出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五、事业收入</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五、教育支出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六、经营收入</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六、科学技术支出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七、附属单位上缴收入</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七、文化旅游体育与传媒支出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八、其他收入</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八、社会保障和就业支出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92.49</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九、卫生健康支出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3.65</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十、节能环保支出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十一、城乡社区支出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十二、农林水支出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十三、交通运输支出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十四、资源勘探工业信息等支出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十五、商业服务业等支出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十六、金融支出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十七、援助其他地区支出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十八、自然资源海洋气象等支出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十九、住房保障支出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二十、粮油物资储备支出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二十一、国有资本经营预算支出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二十二、灾害防治及应急管理支出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二十三、其他支出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二十四、债务还本支出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二十五、债务付息支出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二十六、抗疫特别国债安排的支出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本年收入合计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0" w:type="auto"/>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本年支出合计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使用非财政拨款结余</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结余分配</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年初结转和结余</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年末结转和结余</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总计</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0" w:type="auto"/>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总计</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auto" w:fill="FFFFFF"/>
            <w:noWrap/>
            <w:vAlign w:val="center"/>
          </w:tcPr>
          <w:p>
            <w:pPr>
              <w:textAlignment w:val="center"/>
              <w:rPr>
                <w:color w:val="000000"/>
                <w:sz w:val="12"/>
                <w:szCs w:val="12"/>
              </w:rPr>
            </w:pPr>
            <w:r>
              <w:rPr>
                <w:rFonts w:hint="eastAsia"/>
                <w:color w:val="000000"/>
                <w:sz w:val="12"/>
                <w:szCs w:val="12"/>
              </w:rPr>
              <w:t>备注：1.本表反映部门本年度的总收支和年末结转结余等情况。</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808080" w:sz="4" w:space="0"/>
              <w:bottom w:val="single" w:color="808080" w:sz="4" w:space="0"/>
              <w:right w:val="nil"/>
            </w:tcBorders>
            <w:shd w:val="clear" w:color="auto" w:fill="FFFFFF"/>
            <w:noWrap/>
            <w:vAlign w:val="center"/>
          </w:tcPr>
          <w:p>
            <w:pPr>
              <w:textAlignment w:val="center"/>
              <w:rPr>
                <w:color w:val="000000"/>
                <w:sz w:val="12"/>
                <w:szCs w:val="12"/>
              </w:rPr>
            </w:pPr>
            <w:r>
              <w:rPr>
                <w:rFonts w:hint="eastAsia"/>
                <w:color w:val="000000"/>
                <w:sz w:val="12"/>
                <w:szCs w:val="12"/>
              </w:rPr>
              <w:t xml:space="preserve">      2.本套报表金额单位转换时可能存在尾数误差。</w:t>
            </w:r>
          </w:p>
        </w:tc>
      </w:tr>
    </w:tbl>
    <w:p>
      <w:pPr>
        <w:pStyle w:val="4"/>
        <w:shd w:val="clear" w:color="auto" w:fill="FFFFFF"/>
      </w:pPr>
    </w:p>
    <w:p>
      <w:pPr>
        <w:pStyle w:val="4"/>
        <w:shd w:val="clear" w:color="auto" w:fill="FFFFFF"/>
      </w:pPr>
    </w:p>
    <w:tbl>
      <w:tblPr>
        <w:tblStyle w:val="5"/>
        <w:tblW w:w="5000" w:type="pct"/>
        <w:tblInd w:w="0" w:type="dxa"/>
        <w:tblLayout w:type="autofit"/>
        <w:tblCellMar>
          <w:top w:w="0" w:type="dxa"/>
          <w:left w:w="108" w:type="dxa"/>
          <w:bottom w:w="0" w:type="dxa"/>
          <w:right w:w="108" w:type="dxa"/>
        </w:tblCellMar>
      </w:tblPr>
      <w:tblGrid>
        <w:gridCol w:w="2780"/>
        <w:gridCol w:w="221"/>
        <w:gridCol w:w="221"/>
        <w:gridCol w:w="1942"/>
        <w:gridCol w:w="487"/>
        <w:gridCol w:w="487"/>
        <w:gridCol w:w="315"/>
        <w:gridCol w:w="315"/>
        <w:gridCol w:w="414"/>
        <w:gridCol w:w="315"/>
        <w:gridCol w:w="316"/>
        <w:gridCol w:w="710"/>
      </w:tblGrid>
      <w:tr>
        <w:tblPrEx>
          <w:tblCellMar>
            <w:top w:w="0" w:type="dxa"/>
            <w:left w:w="108" w:type="dxa"/>
            <w:bottom w:w="0" w:type="dxa"/>
            <w:right w:w="108" w:type="dxa"/>
          </w:tblCellMar>
        </w:tblPrEx>
        <w:trPr>
          <w:trHeight w:val="555" w:hRule="atLeast"/>
        </w:trPr>
        <w:tc>
          <w:tcPr>
            <w:tcW w:w="1576"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971" w:type="pct"/>
            <w:gridSpan w:val="4"/>
            <w:tcBorders>
              <w:top w:val="nil"/>
              <w:left w:val="nil"/>
              <w:bottom w:val="nil"/>
              <w:right w:val="nil"/>
            </w:tcBorders>
            <w:shd w:val="clear" w:color="auto" w:fill="FFFFFF"/>
            <w:noWrap/>
            <w:vAlign w:val="center"/>
          </w:tcPr>
          <w:p>
            <w:pPr>
              <w:rPr>
                <w:color w:val="000000"/>
                <w:sz w:val="21"/>
                <w:szCs w:val="21"/>
              </w:rPr>
            </w:pPr>
            <w:r>
              <w:rPr>
                <w:rFonts w:hint="eastAsia" w:ascii="黑体" w:eastAsia="黑体" w:cs="黑体"/>
                <w:color w:val="000000"/>
                <w:sz w:val="21"/>
                <w:szCs w:val="21"/>
              </w:rPr>
              <w:t>收入决算表</w:t>
            </w:r>
          </w:p>
        </w:tc>
        <w:tc>
          <w:tcPr>
            <w:tcW w:w="183" w:type="pct"/>
            <w:tcBorders>
              <w:top w:val="nil"/>
              <w:left w:val="nil"/>
              <w:bottom w:val="nil"/>
              <w:right w:val="nil"/>
            </w:tcBorders>
            <w:shd w:val="clear" w:color="auto" w:fill="FFFFFF"/>
            <w:noWrap/>
            <w:vAlign w:val="center"/>
          </w:tcPr>
          <w:p>
            <w:pPr>
              <w:rPr>
                <w:color w:val="000000"/>
                <w:sz w:val="12"/>
                <w:szCs w:val="12"/>
              </w:rPr>
            </w:pPr>
          </w:p>
        </w:tc>
        <w:tc>
          <w:tcPr>
            <w:tcW w:w="238"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405" w:type="pct"/>
            <w:tcBorders>
              <w:top w:val="nil"/>
              <w:left w:val="nil"/>
              <w:bottom w:val="nil"/>
              <w:right w:val="single" w:color="808080" w:sz="4" w:space="0"/>
            </w:tcBorders>
            <w:shd w:val="clear" w:color="auto" w:fill="FFFFFF"/>
            <w:noWrap/>
            <w:vAlign w:val="center"/>
          </w:tcPr>
          <w:p>
            <w:pPr>
              <w:rPr>
                <w:color w:val="000000"/>
                <w:sz w:val="12"/>
                <w:szCs w:val="12"/>
              </w:rPr>
            </w:pPr>
          </w:p>
        </w:tc>
      </w:tr>
      <w:tr>
        <w:tblPrEx>
          <w:tblCellMar>
            <w:top w:w="0" w:type="dxa"/>
            <w:left w:w="108" w:type="dxa"/>
            <w:bottom w:w="0" w:type="dxa"/>
            <w:right w:w="108" w:type="dxa"/>
          </w:tblCellMar>
        </w:tblPrEx>
        <w:trPr>
          <w:trHeight w:val="300" w:hRule="atLeast"/>
        </w:trPr>
        <w:tc>
          <w:tcPr>
            <w:tcW w:w="1576"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102" w:type="pct"/>
            <w:tcBorders>
              <w:top w:val="nil"/>
              <w:left w:val="nil"/>
              <w:bottom w:val="nil"/>
              <w:right w:val="nil"/>
            </w:tcBorders>
            <w:shd w:val="clear" w:color="auto" w:fill="FFFFFF"/>
            <w:noWrap/>
            <w:vAlign w:val="center"/>
          </w:tcPr>
          <w:p>
            <w:pPr>
              <w:rPr>
                <w:color w:val="000000"/>
                <w:sz w:val="12"/>
                <w:szCs w:val="12"/>
              </w:rPr>
            </w:pPr>
          </w:p>
        </w:tc>
        <w:tc>
          <w:tcPr>
            <w:tcW w:w="279" w:type="pct"/>
            <w:tcBorders>
              <w:top w:val="nil"/>
              <w:left w:val="nil"/>
              <w:bottom w:val="nil"/>
              <w:right w:val="nil"/>
            </w:tcBorders>
            <w:shd w:val="clear" w:color="auto" w:fill="FFFFFF"/>
            <w:noWrap/>
            <w:vAlign w:val="center"/>
          </w:tcPr>
          <w:p>
            <w:pPr>
              <w:rPr>
                <w:color w:val="000000"/>
                <w:sz w:val="12"/>
                <w:szCs w:val="12"/>
              </w:rPr>
            </w:pPr>
          </w:p>
        </w:tc>
        <w:tc>
          <w:tcPr>
            <w:tcW w:w="405"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238"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405" w:type="pct"/>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tc>
      </w:tr>
      <w:tr>
        <w:tblPrEx>
          <w:tblCellMar>
            <w:top w:w="0" w:type="dxa"/>
            <w:left w:w="108" w:type="dxa"/>
            <w:bottom w:w="0" w:type="dxa"/>
            <w:right w:w="108" w:type="dxa"/>
          </w:tblCellMar>
        </w:tblPrEx>
        <w:trPr>
          <w:trHeight w:val="300" w:hRule="atLeast"/>
        </w:trPr>
        <w:tc>
          <w:tcPr>
            <w:tcW w:w="1576"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102" w:type="pct"/>
            <w:tcBorders>
              <w:top w:val="nil"/>
              <w:left w:val="nil"/>
              <w:bottom w:val="nil"/>
              <w:right w:val="nil"/>
            </w:tcBorders>
            <w:shd w:val="clear" w:color="auto" w:fill="FFFFFF"/>
            <w:noWrap/>
            <w:vAlign w:val="center"/>
          </w:tcPr>
          <w:p>
            <w:pPr>
              <w:rPr>
                <w:color w:val="000000"/>
                <w:sz w:val="12"/>
                <w:szCs w:val="12"/>
              </w:rPr>
            </w:pPr>
          </w:p>
        </w:tc>
        <w:tc>
          <w:tcPr>
            <w:tcW w:w="279" w:type="pct"/>
            <w:tcBorders>
              <w:top w:val="nil"/>
              <w:left w:val="nil"/>
              <w:bottom w:val="nil"/>
              <w:right w:val="nil"/>
            </w:tcBorders>
            <w:shd w:val="clear" w:color="auto" w:fill="FFFFFF"/>
            <w:noWrap/>
            <w:vAlign w:val="center"/>
          </w:tcPr>
          <w:p>
            <w:pPr>
              <w:rPr>
                <w:color w:val="000000"/>
                <w:sz w:val="12"/>
                <w:szCs w:val="12"/>
              </w:rPr>
            </w:pPr>
          </w:p>
        </w:tc>
        <w:tc>
          <w:tcPr>
            <w:tcW w:w="405"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238"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405" w:type="pct"/>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tc>
      </w:tr>
      <w:tr>
        <w:tblPrEx>
          <w:tblCellMar>
            <w:top w:w="0" w:type="dxa"/>
            <w:left w:w="108" w:type="dxa"/>
            <w:bottom w:w="0" w:type="dxa"/>
            <w:right w:w="108" w:type="dxa"/>
          </w:tblCellMar>
        </w:tblPrEx>
        <w:trPr>
          <w:trHeight w:val="300" w:hRule="atLeast"/>
        </w:trPr>
        <w:tc>
          <w:tcPr>
            <w:tcW w:w="1576"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102" w:type="pct"/>
            <w:tcBorders>
              <w:top w:val="nil"/>
              <w:left w:val="nil"/>
              <w:bottom w:val="nil"/>
              <w:right w:val="nil"/>
            </w:tcBorders>
            <w:shd w:val="clear" w:color="auto" w:fill="FFFFFF"/>
            <w:noWrap/>
            <w:vAlign w:val="center"/>
          </w:tcPr>
          <w:p>
            <w:pPr>
              <w:rPr>
                <w:color w:val="000000"/>
                <w:sz w:val="12"/>
                <w:szCs w:val="12"/>
              </w:rPr>
            </w:pPr>
          </w:p>
        </w:tc>
        <w:tc>
          <w:tcPr>
            <w:tcW w:w="279" w:type="pct"/>
            <w:tcBorders>
              <w:top w:val="nil"/>
              <w:left w:val="nil"/>
              <w:bottom w:val="nil"/>
              <w:right w:val="nil"/>
            </w:tcBorders>
            <w:shd w:val="clear" w:color="auto" w:fill="FFFFFF"/>
            <w:noWrap/>
            <w:vAlign w:val="center"/>
          </w:tcPr>
          <w:p>
            <w:pPr>
              <w:rPr>
                <w:color w:val="000000"/>
                <w:sz w:val="12"/>
                <w:szCs w:val="12"/>
              </w:rPr>
            </w:pPr>
          </w:p>
        </w:tc>
        <w:tc>
          <w:tcPr>
            <w:tcW w:w="405"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238"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405" w:type="pct"/>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tc>
      </w:tr>
      <w:tr>
        <w:tblPrEx>
          <w:tblCellMar>
            <w:top w:w="0" w:type="dxa"/>
            <w:left w:w="108" w:type="dxa"/>
            <w:bottom w:w="0" w:type="dxa"/>
            <w:right w:w="108" w:type="dxa"/>
          </w:tblCellMar>
        </w:tblPrEx>
        <w:trPr>
          <w:trHeight w:val="300" w:hRule="atLeast"/>
        </w:trPr>
        <w:tc>
          <w:tcPr>
            <w:tcW w:w="1576" w:type="pct"/>
            <w:tcBorders>
              <w:top w:val="nil"/>
              <w:left w:val="nil"/>
              <w:bottom w:val="nil"/>
              <w:right w:val="nil"/>
            </w:tcBorders>
            <w:shd w:val="clear" w:color="auto" w:fill="FFFFFF"/>
            <w:noWrap/>
            <w:vAlign w:val="center"/>
          </w:tcPr>
          <w:p>
            <w:pPr>
              <w:rPr>
                <w:rFonts w:ascii="Tahoma" w:hAnsi="Tahoma" w:eastAsia="Tahoma" w:cs="Tahoma"/>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102" w:type="pct"/>
            <w:tcBorders>
              <w:top w:val="nil"/>
              <w:left w:val="nil"/>
              <w:bottom w:val="nil"/>
              <w:right w:val="nil"/>
            </w:tcBorders>
            <w:shd w:val="clear" w:color="auto" w:fill="FFFFFF"/>
            <w:noWrap/>
            <w:vAlign w:val="center"/>
          </w:tcPr>
          <w:p>
            <w:pPr>
              <w:rPr>
                <w:color w:val="000000"/>
                <w:sz w:val="12"/>
                <w:szCs w:val="12"/>
              </w:rPr>
            </w:pPr>
          </w:p>
        </w:tc>
        <w:tc>
          <w:tcPr>
            <w:tcW w:w="279" w:type="pct"/>
            <w:tcBorders>
              <w:top w:val="nil"/>
              <w:left w:val="nil"/>
              <w:bottom w:val="nil"/>
              <w:right w:val="nil"/>
            </w:tcBorders>
            <w:shd w:val="clear" w:color="auto" w:fill="FFFFFF"/>
            <w:noWrap/>
            <w:vAlign w:val="center"/>
          </w:tcPr>
          <w:p>
            <w:pPr>
              <w:rPr>
                <w:color w:val="000000"/>
                <w:sz w:val="12"/>
                <w:szCs w:val="12"/>
              </w:rPr>
            </w:pPr>
          </w:p>
        </w:tc>
        <w:tc>
          <w:tcPr>
            <w:tcW w:w="405"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238"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183" w:type="pct"/>
            <w:tcBorders>
              <w:top w:val="nil"/>
              <w:left w:val="nil"/>
              <w:bottom w:val="nil"/>
              <w:right w:val="nil"/>
            </w:tcBorders>
            <w:shd w:val="clear" w:color="auto" w:fill="FFFFFF"/>
            <w:noWrap/>
            <w:vAlign w:val="center"/>
          </w:tcPr>
          <w:p>
            <w:pPr>
              <w:rPr>
                <w:color w:val="000000"/>
                <w:sz w:val="12"/>
                <w:szCs w:val="12"/>
              </w:rPr>
            </w:pPr>
          </w:p>
        </w:tc>
        <w:tc>
          <w:tcPr>
            <w:tcW w:w="405" w:type="pct"/>
            <w:tcBorders>
              <w:top w:val="nil"/>
              <w:left w:val="nil"/>
              <w:bottom w:val="nil"/>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公开02表</w:t>
            </w:r>
          </w:p>
        </w:tc>
      </w:tr>
      <w:tr>
        <w:tblPrEx>
          <w:tblCellMar>
            <w:top w:w="0" w:type="dxa"/>
            <w:left w:w="108" w:type="dxa"/>
            <w:bottom w:w="0" w:type="dxa"/>
            <w:right w:w="108" w:type="dxa"/>
          </w:tblCellMar>
        </w:tblPrEx>
        <w:trPr>
          <w:trHeight w:val="300" w:hRule="atLeast"/>
        </w:trPr>
        <w:tc>
          <w:tcPr>
            <w:tcW w:w="1576" w:type="pct"/>
            <w:tcBorders>
              <w:top w:val="nil"/>
              <w:left w:val="nil"/>
              <w:bottom w:val="single" w:color="808080" w:sz="4" w:space="0"/>
              <w:right w:val="nil"/>
            </w:tcBorders>
            <w:shd w:val="clear" w:color="auto" w:fill="FFFFFF"/>
            <w:noWrap/>
            <w:vAlign w:val="center"/>
          </w:tcPr>
          <w:p>
            <w:pPr>
              <w:textAlignment w:val="center"/>
              <w:rPr>
                <w:color w:val="000000"/>
                <w:sz w:val="12"/>
                <w:szCs w:val="12"/>
              </w:rPr>
            </w:pPr>
            <w:r>
              <w:rPr>
                <w:rFonts w:hint="eastAsia"/>
                <w:color w:val="000000"/>
                <w:sz w:val="12"/>
                <w:szCs w:val="12"/>
              </w:rPr>
              <w:t>公开部门：重庆市荣昌区盘龙镇劳动就业和社会保障服务所</w:t>
            </w:r>
          </w:p>
        </w:tc>
        <w:tc>
          <w:tcPr>
            <w:tcW w:w="129"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29"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102" w:type="pct"/>
            <w:tcBorders>
              <w:top w:val="nil"/>
              <w:left w:val="nil"/>
              <w:bottom w:val="single" w:color="808080" w:sz="4" w:space="0"/>
              <w:right w:val="nil"/>
            </w:tcBorders>
            <w:shd w:val="clear" w:color="auto" w:fill="FFFFFF"/>
            <w:noWrap/>
            <w:vAlign w:val="center"/>
          </w:tcPr>
          <w:p>
            <w:pPr>
              <w:rPr>
                <w:color w:val="000000"/>
                <w:sz w:val="12"/>
                <w:szCs w:val="12"/>
              </w:rPr>
            </w:pPr>
          </w:p>
        </w:tc>
        <w:tc>
          <w:tcPr>
            <w:tcW w:w="279" w:type="pct"/>
            <w:tcBorders>
              <w:top w:val="nil"/>
              <w:left w:val="nil"/>
              <w:bottom w:val="single" w:color="808080" w:sz="4" w:space="0"/>
              <w:right w:val="nil"/>
            </w:tcBorders>
            <w:shd w:val="clear" w:color="auto" w:fill="FFFFFF"/>
            <w:noWrap/>
            <w:vAlign w:val="center"/>
          </w:tcPr>
          <w:p>
            <w:pPr>
              <w:rPr>
                <w:color w:val="000000"/>
                <w:sz w:val="12"/>
                <w:szCs w:val="12"/>
              </w:rPr>
            </w:pPr>
          </w:p>
        </w:tc>
        <w:tc>
          <w:tcPr>
            <w:tcW w:w="405" w:type="pct"/>
            <w:tcBorders>
              <w:top w:val="nil"/>
              <w:left w:val="nil"/>
              <w:bottom w:val="single" w:color="808080" w:sz="4" w:space="0"/>
              <w:right w:val="nil"/>
            </w:tcBorders>
            <w:shd w:val="clear" w:color="auto" w:fill="FFFFFF"/>
            <w:noWrap/>
            <w:vAlign w:val="center"/>
          </w:tcPr>
          <w:p>
            <w:pPr>
              <w:jc w:val="center"/>
              <w:rPr>
                <w:color w:val="000000"/>
                <w:sz w:val="12"/>
                <w:szCs w:val="12"/>
              </w:rPr>
            </w:pPr>
          </w:p>
        </w:tc>
        <w:tc>
          <w:tcPr>
            <w:tcW w:w="183"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83" w:type="pct"/>
            <w:tcBorders>
              <w:top w:val="nil"/>
              <w:left w:val="nil"/>
              <w:bottom w:val="single" w:color="808080" w:sz="4" w:space="0"/>
              <w:right w:val="nil"/>
            </w:tcBorders>
            <w:shd w:val="clear" w:color="auto" w:fill="FFFFFF"/>
            <w:noWrap/>
            <w:vAlign w:val="center"/>
          </w:tcPr>
          <w:p>
            <w:pPr>
              <w:rPr>
                <w:color w:val="000000"/>
                <w:sz w:val="12"/>
                <w:szCs w:val="12"/>
              </w:rPr>
            </w:pPr>
          </w:p>
        </w:tc>
        <w:tc>
          <w:tcPr>
            <w:tcW w:w="238"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83"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83" w:type="pct"/>
            <w:tcBorders>
              <w:top w:val="nil"/>
              <w:left w:val="nil"/>
              <w:bottom w:val="single" w:color="808080" w:sz="4" w:space="0"/>
              <w:right w:val="nil"/>
            </w:tcBorders>
            <w:shd w:val="clear" w:color="auto" w:fill="FFFFFF"/>
            <w:noWrap/>
            <w:vAlign w:val="center"/>
          </w:tcPr>
          <w:p>
            <w:pPr>
              <w:rPr>
                <w:color w:val="000000"/>
                <w:sz w:val="12"/>
                <w:szCs w:val="12"/>
              </w:rPr>
            </w:pPr>
          </w:p>
        </w:tc>
        <w:tc>
          <w:tcPr>
            <w:tcW w:w="405" w:type="pct"/>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单位：万元</w:t>
            </w:r>
          </w:p>
        </w:tc>
      </w:tr>
      <w:tr>
        <w:tblPrEx>
          <w:tblCellMar>
            <w:top w:w="0" w:type="dxa"/>
            <w:left w:w="108" w:type="dxa"/>
            <w:bottom w:w="0" w:type="dxa"/>
            <w:right w:w="108" w:type="dxa"/>
          </w:tblCellMar>
        </w:tblPrEx>
        <w:trPr>
          <w:trHeight w:val="300" w:hRule="atLeast"/>
        </w:trPr>
        <w:tc>
          <w:tcPr>
            <w:tcW w:w="2938" w:type="pct"/>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b/>
                <w:bCs/>
                <w:color w:val="000000"/>
                <w:sz w:val="12"/>
                <w:szCs w:val="12"/>
              </w:rPr>
            </w:pPr>
            <w:r>
              <w:rPr>
                <w:rFonts w:hint="eastAsia"/>
                <w:b/>
                <w:bCs/>
                <w:color w:val="000000"/>
                <w:sz w:val="12"/>
                <w:szCs w:val="12"/>
              </w:rPr>
              <w:t>项目</w:t>
            </w:r>
          </w:p>
        </w:tc>
        <w:tc>
          <w:tcPr>
            <w:tcW w:w="279"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本年收入合计</w:t>
            </w:r>
          </w:p>
        </w:tc>
        <w:tc>
          <w:tcPr>
            <w:tcW w:w="405"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财政拨款收入</w:t>
            </w:r>
          </w:p>
        </w:tc>
        <w:tc>
          <w:tcPr>
            <w:tcW w:w="183"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上级补助收入</w:t>
            </w:r>
          </w:p>
        </w:tc>
        <w:tc>
          <w:tcPr>
            <w:tcW w:w="421" w:type="pct"/>
            <w:gridSpan w:val="2"/>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事业收入</w:t>
            </w:r>
          </w:p>
        </w:tc>
        <w:tc>
          <w:tcPr>
            <w:tcW w:w="183"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经营收入</w:t>
            </w:r>
          </w:p>
        </w:tc>
        <w:tc>
          <w:tcPr>
            <w:tcW w:w="183"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附属单位上缴收入</w:t>
            </w:r>
          </w:p>
        </w:tc>
        <w:tc>
          <w:tcPr>
            <w:tcW w:w="405"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其他收入</w:t>
            </w:r>
          </w:p>
        </w:tc>
      </w:tr>
      <w:tr>
        <w:tblPrEx>
          <w:tblCellMar>
            <w:top w:w="0" w:type="dxa"/>
            <w:left w:w="108" w:type="dxa"/>
            <w:bottom w:w="0" w:type="dxa"/>
            <w:right w:w="108" w:type="dxa"/>
          </w:tblCellMar>
        </w:tblPrEx>
        <w:trPr>
          <w:trHeight w:val="300" w:hRule="atLeast"/>
        </w:trPr>
        <w:tc>
          <w:tcPr>
            <w:tcW w:w="1835"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功能分类科目编码</w:t>
            </w:r>
          </w:p>
        </w:tc>
        <w:tc>
          <w:tcPr>
            <w:tcW w:w="1102" w:type="pct"/>
            <w:vMerge w:val="restar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项目（按“项”级功能分类科目）</w:t>
            </w:r>
          </w:p>
        </w:tc>
        <w:tc>
          <w:tcPr>
            <w:tcW w:w="279"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405"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小计</w:t>
            </w:r>
          </w:p>
        </w:tc>
        <w:tc>
          <w:tcPr>
            <w:tcW w:w="238"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其中：教育收费</w:t>
            </w: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405"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b/>
                <w:bCs/>
                <w:color w:val="000000"/>
                <w:sz w:val="12"/>
                <w:szCs w:val="12"/>
              </w:rPr>
            </w:pPr>
          </w:p>
        </w:tc>
        <w:tc>
          <w:tcPr>
            <w:tcW w:w="1102" w:type="pct"/>
            <w:vMerge w:val="continue"/>
            <w:tcBorders>
              <w:top w:val="nil"/>
              <w:left w:val="nil"/>
              <w:bottom w:val="single" w:color="000000" w:sz="4" w:space="0"/>
              <w:right w:val="single" w:color="000000" w:sz="4" w:space="0"/>
            </w:tcBorders>
            <w:shd w:val="clear" w:color="auto" w:fill="FFFFFF"/>
            <w:noWrap/>
            <w:vAlign w:val="center"/>
          </w:tcPr>
          <w:p>
            <w:pPr>
              <w:jc w:val="center"/>
              <w:rPr>
                <w:b/>
                <w:bCs/>
                <w:color w:val="000000"/>
                <w:sz w:val="12"/>
                <w:szCs w:val="12"/>
              </w:rPr>
            </w:pPr>
          </w:p>
        </w:tc>
        <w:tc>
          <w:tcPr>
            <w:tcW w:w="279"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405"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238"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405"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b/>
                <w:bCs/>
                <w:color w:val="000000"/>
                <w:sz w:val="12"/>
                <w:szCs w:val="12"/>
              </w:rPr>
            </w:pPr>
          </w:p>
        </w:tc>
        <w:tc>
          <w:tcPr>
            <w:tcW w:w="1102" w:type="pct"/>
            <w:vMerge w:val="continue"/>
            <w:tcBorders>
              <w:top w:val="nil"/>
              <w:left w:val="nil"/>
              <w:bottom w:val="single" w:color="000000" w:sz="4" w:space="0"/>
              <w:right w:val="single" w:color="000000" w:sz="4" w:space="0"/>
            </w:tcBorders>
            <w:shd w:val="clear" w:color="auto" w:fill="FFFFFF"/>
            <w:noWrap/>
            <w:vAlign w:val="center"/>
          </w:tcPr>
          <w:p>
            <w:pPr>
              <w:jc w:val="center"/>
              <w:rPr>
                <w:b/>
                <w:bCs/>
                <w:color w:val="000000"/>
                <w:sz w:val="12"/>
                <w:szCs w:val="12"/>
              </w:rPr>
            </w:pPr>
          </w:p>
        </w:tc>
        <w:tc>
          <w:tcPr>
            <w:tcW w:w="279"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405"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238"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405"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r>
      <w:tr>
        <w:tblPrEx>
          <w:tblCellMar>
            <w:top w:w="0" w:type="dxa"/>
            <w:left w:w="108" w:type="dxa"/>
            <w:bottom w:w="0" w:type="dxa"/>
            <w:right w:w="108" w:type="dxa"/>
          </w:tblCellMar>
        </w:tblPrEx>
        <w:trPr>
          <w:trHeight w:val="300" w:hRule="atLeast"/>
        </w:trPr>
        <w:tc>
          <w:tcPr>
            <w:tcW w:w="2938" w:type="pct"/>
            <w:gridSpan w:val="4"/>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合计</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208</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社会保障和就业支出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92.49</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92.49</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20801</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人力资源和社会保障管理事务</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80.96</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80.96</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2080199</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其他人力资源和社会保障管理事务支出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80.96</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80.96</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20805</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行政事业单位养老支出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11.53</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11.53</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2080505</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机关事业单位基本养老保险缴费支出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5.66</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5.66</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2080506</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机关事业单位职业年金缴费支出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2.83</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2.83</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2080599</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其他行政事业单位养老支出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3.04</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3.04</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210</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卫生健康支出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21011</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行政事业单位医疗</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2101102</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事业单位医疗</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2.55</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2.55</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2101199</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其他行政事业单位医疗支出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1.09</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1.09</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221</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住房保障支出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22102</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住房改革支出</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1835"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2210201</w:t>
            </w:r>
          </w:p>
        </w:tc>
        <w:tc>
          <w:tcPr>
            <w:tcW w:w="110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住房公积金</w:t>
            </w:r>
          </w:p>
        </w:tc>
        <w:tc>
          <w:tcPr>
            <w:tcW w:w="27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c>
          <w:tcPr>
            <w:tcW w:w="405"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3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pPr>
              <w:textAlignment w:val="center"/>
              <w:rPr>
                <w:color w:val="000000"/>
                <w:sz w:val="12"/>
                <w:szCs w:val="12"/>
              </w:rPr>
            </w:pPr>
            <w:r>
              <w:rPr>
                <w:rFonts w:hint="eastAsia"/>
                <w:color w:val="000000"/>
                <w:sz w:val="12"/>
                <w:szCs w:val="12"/>
              </w:rPr>
              <w:t>备注：本表反映部门本年度取得的各项收入情况。</w:t>
            </w:r>
          </w:p>
        </w:tc>
      </w:tr>
    </w:tbl>
    <w:p>
      <w:pPr>
        <w:pStyle w:val="4"/>
        <w:shd w:val="clear" w:color="auto" w:fill="FFFFFF"/>
      </w:pPr>
    </w:p>
    <w:p>
      <w:pPr>
        <w:pStyle w:val="4"/>
        <w:shd w:val="clear" w:color="auto" w:fill="FFFFFF"/>
      </w:pPr>
    </w:p>
    <w:tbl>
      <w:tblPr>
        <w:tblStyle w:val="5"/>
        <w:tblW w:w="5000" w:type="pct"/>
        <w:tblInd w:w="0" w:type="dxa"/>
        <w:tblLayout w:type="autofit"/>
        <w:tblCellMar>
          <w:top w:w="0" w:type="dxa"/>
          <w:left w:w="108" w:type="dxa"/>
          <w:bottom w:w="0" w:type="dxa"/>
          <w:right w:w="108" w:type="dxa"/>
        </w:tblCellMar>
      </w:tblPr>
      <w:tblGrid>
        <w:gridCol w:w="3112"/>
        <w:gridCol w:w="222"/>
        <w:gridCol w:w="222"/>
        <w:gridCol w:w="2165"/>
        <w:gridCol w:w="522"/>
        <w:gridCol w:w="522"/>
        <w:gridCol w:w="328"/>
        <w:gridCol w:w="328"/>
        <w:gridCol w:w="328"/>
        <w:gridCol w:w="774"/>
      </w:tblGrid>
      <w:tr>
        <w:tblPrEx>
          <w:tblCellMar>
            <w:top w:w="0" w:type="dxa"/>
            <w:left w:w="108" w:type="dxa"/>
            <w:bottom w:w="0" w:type="dxa"/>
            <w:right w:w="108" w:type="dxa"/>
          </w:tblCellMar>
        </w:tblPrEx>
        <w:trPr>
          <w:trHeight w:val="555" w:hRule="atLeast"/>
        </w:trPr>
        <w:tc>
          <w:tcPr>
            <w:tcW w:w="1761" w:type="pct"/>
            <w:tcBorders>
              <w:top w:val="nil"/>
              <w:left w:val="nil"/>
              <w:bottom w:val="nil"/>
              <w:right w:val="nil"/>
            </w:tcBorders>
            <w:shd w:val="clear" w:color="auto" w:fill="FFFFFF"/>
            <w:noWrap/>
            <w:vAlign w:val="center"/>
          </w:tcPr>
          <w:p>
            <w:pPr>
              <w:rPr>
                <w:color w:val="000000"/>
                <w:sz w:val="12"/>
                <w:szCs w:val="12"/>
              </w:rPr>
            </w:pPr>
          </w:p>
        </w:tc>
        <w:tc>
          <w:tcPr>
            <w:tcW w:w="1927" w:type="pct"/>
            <w:gridSpan w:val="4"/>
            <w:tcBorders>
              <w:top w:val="nil"/>
              <w:left w:val="nil"/>
              <w:bottom w:val="nil"/>
              <w:right w:val="nil"/>
            </w:tcBorders>
            <w:shd w:val="clear" w:color="auto" w:fill="FFFFFF"/>
            <w:noWrap/>
            <w:vAlign w:val="center"/>
          </w:tcPr>
          <w:p>
            <w:pPr>
              <w:jc w:val="center"/>
              <w:textAlignment w:val="center"/>
              <w:rPr>
                <w:rFonts w:ascii="黑体" w:eastAsia="黑体" w:cs="黑体"/>
                <w:color w:val="000000"/>
                <w:sz w:val="21"/>
                <w:szCs w:val="21"/>
              </w:rPr>
            </w:pPr>
            <w:r>
              <w:rPr>
                <w:rFonts w:hint="eastAsia" w:ascii="黑体" w:eastAsia="黑体" w:cs="黑体"/>
                <w:color w:val="000000"/>
                <w:sz w:val="21"/>
                <w:szCs w:val="21"/>
              </w:rPr>
              <w:t>支出决算表</w:t>
            </w:r>
          </w:p>
        </w:tc>
        <w:tc>
          <w:tcPr>
            <w:tcW w:w="299" w:type="pct"/>
            <w:tcBorders>
              <w:top w:val="nil"/>
              <w:left w:val="nil"/>
              <w:bottom w:val="nil"/>
              <w:right w:val="nil"/>
            </w:tcBorders>
            <w:shd w:val="clear" w:color="auto" w:fill="FFFFFF"/>
            <w:noWrap/>
            <w:vAlign w:val="center"/>
          </w:tcPr>
          <w:p>
            <w:pPr>
              <w:rPr>
                <w:color w:val="000000"/>
                <w:sz w:val="12"/>
                <w:szCs w:val="12"/>
              </w:rPr>
            </w:pPr>
          </w:p>
        </w:tc>
        <w:tc>
          <w:tcPr>
            <w:tcW w:w="190" w:type="pct"/>
            <w:tcBorders>
              <w:top w:val="nil"/>
              <w:left w:val="nil"/>
              <w:bottom w:val="nil"/>
              <w:right w:val="nil"/>
            </w:tcBorders>
            <w:shd w:val="clear" w:color="auto" w:fill="FFFFFF"/>
            <w:noWrap/>
            <w:vAlign w:val="center"/>
          </w:tcPr>
          <w:p>
            <w:pPr>
              <w:rPr>
                <w:color w:val="000000"/>
                <w:sz w:val="12"/>
                <w:szCs w:val="12"/>
              </w:rPr>
            </w:pPr>
          </w:p>
        </w:tc>
        <w:tc>
          <w:tcPr>
            <w:tcW w:w="190" w:type="pct"/>
            <w:tcBorders>
              <w:top w:val="nil"/>
              <w:left w:val="nil"/>
              <w:bottom w:val="nil"/>
              <w:right w:val="nil"/>
            </w:tcBorders>
            <w:shd w:val="clear" w:color="auto" w:fill="FFFFFF"/>
            <w:noWrap/>
            <w:vAlign w:val="center"/>
          </w:tcPr>
          <w:p>
            <w:pPr>
              <w:rPr>
                <w:color w:val="000000"/>
                <w:sz w:val="12"/>
                <w:szCs w:val="12"/>
              </w:rPr>
            </w:pPr>
          </w:p>
        </w:tc>
        <w:tc>
          <w:tcPr>
            <w:tcW w:w="190" w:type="pct"/>
            <w:tcBorders>
              <w:top w:val="nil"/>
              <w:left w:val="nil"/>
              <w:bottom w:val="nil"/>
              <w:right w:val="nil"/>
            </w:tcBorders>
            <w:shd w:val="clear" w:color="auto" w:fill="FFFFFF"/>
            <w:noWrap/>
            <w:vAlign w:val="center"/>
          </w:tcPr>
          <w:p>
            <w:pPr>
              <w:rPr>
                <w:color w:val="000000"/>
                <w:sz w:val="12"/>
                <w:szCs w:val="12"/>
              </w:rPr>
            </w:pPr>
          </w:p>
        </w:tc>
        <w:tc>
          <w:tcPr>
            <w:tcW w:w="441" w:type="pct"/>
            <w:tcBorders>
              <w:top w:val="nil"/>
              <w:left w:val="nil"/>
              <w:bottom w:val="nil"/>
              <w:right w:val="single" w:color="808080" w:sz="4" w:space="0"/>
            </w:tcBorders>
            <w:shd w:val="clear" w:color="auto" w:fill="FFFFFF"/>
            <w:noWrap/>
            <w:vAlign w:val="center"/>
          </w:tcPr>
          <w:p>
            <w:pPr>
              <w:rPr>
                <w:color w:val="000000"/>
                <w:sz w:val="12"/>
                <w:szCs w:val="12"/>
              </w:rPr>
            </w:pPr>
          </w:p>
        </w:tc>
      </w:tr>
      <w:tr>
        <w:tblPrEx>
          <w:tblCellMar>
            <w:top w:w="0" w:type="dxa"/>
            <w:left w:w="108" w:type="dxa"/>
            <w:bottom w:w="0" w:type="dxa"/>
            <w:right w:w="108" w:type="dxa"/>
          </w:tblCellMar>
        </w:tblPrEx>
        <w:trPr>
          <w:trHeight w:val="300" w:hRule="atLeast"/>
        </w:trPr>
        <w:tc>
          <w:tcPr>
            <w:tcW w:w="1761"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226" w:type="pct"/>
            <w:tcBorders>
              <w:top w:val="nil"/>
              <w:left w:val="nil"/>
              <w:bottom w:val="nil"/>
              <w:right w:val="nil"/>
            </w:tcBorders>
            <w:shd w:val="clear" w:color="auto" w:fill="FFFFFF"/>
            <w:noWrap/>
            <w:vAlign w:val="center"/>
          </w:tcPr>
          <w:p>
            <w:pPr>
              <w:rPr>
                <w:color w:val="000000"/>
                <w:sz w:val="12"/>
                <w:szCs w:val="12"/>
              </w:rPr>
            </w:pPr>
          </w:p>
        </w:tc>
        <w:tc>
          <w:tcPr>
            <w:tcW w:w="441" w:type="pct"/>
            <w:tcBorders>
              <w:top w:val="nil"/>
              <w:left w:val="nil"/>
              <w:bottom w:val="nil"/>
              <w:right w:val="nil"/>
            </w:tcBorders>
            <w:shd w:val="clear" w:color="auto" w:fill="FFFFFF"/>
            <w:noWrap/>
            <w:vAlign w:val="center"/>
          </w:tcPr>
          <w:p>
            <w:pPr>
              <w:rPr>
                <w:color w:val="000000"/>
                <w:sz w:val="12"/>
                <w:szCs w:val="12"/>
              </w:rPr>
            </w:pPr>
          </w:p>
        </w:tc>
        <w:tc>
          <w:tcPr>
            <w:tcW w:w="299" w:type="pct"/>
            <w:tcBorders>
              <w:top w:val="nil"/>
              <w:left w:val="nil"/>
              <w:bottom w:val="nil"/>
              <w:right w:val="nil"/>
            </w:tcBorders>
            <w:shd w:val="clear" w:color="auto" w:fill="FFFFFF"/>
            <w:noWrap/>
            <w:vAlign w:val="center"/>
          </w:tcPr>
          <w:p>
            <w:pPr>
              <w:rPr>
                <w:color w:val="000000"/>
                <w:sz w:val="12"/>
                <w:szCs w:val="12"/>
              </w:rPr>
            </w:pPr>
          </w:p>
        </w:tc>
        <w:tc>
          <w:tcPr>
            <w:tcW w:w="190" w:type="pct"/>
            <w:tcBorders>
              <w:top w:val="nil"/>
              <w:left w:val="nil"/>
              <w:bottom w:val="nil"/>
              <w:right w:val="nil"/>
            </w:tcBorders>
            <w:shd w:val="clear" w:color="auto" w:fill="FFFFFF"/>
            <w:noWrap/>
            <w:vAlign w:val="center"/>
          </w:tcPr>
          <w:p>
            <w:pPr>
              <w:rPr>
                <w:color w:val="000000"/>
                <w:sz w:val="12"/>
                <w:szCs w:val="12"/>
              </w:rPr>
            </w:pPr>
          </w:p>
        </w:tc>
        <w:tc>
          <w:tcPr>
            <w:tcW w:w="190" w:type="pct"/>
            <w:tcBorders>
              <w:top w:val="nil"/>
              <w:left w:val="nil"/>
              <w:bottom w:val="nil"/>
              <w:right w:val="nil"/>
            </w:tcBorders>
            <w:shd w:val="clear" w:color="auto" w:fill="FFFFFF"/>
            <w:noWrap/>
            <w:vAlign w:val="center"/>
          </w:tcPr>
          <w:p>
            <w:pPr>
              <w:rPr>
                <w:color w:val="000000"/>
                <w:sz w:val="12"/>
                <w:szCs w:val="12"/>
              </w:rPr>
            </w:pPr>
          </w:p>
        </w:tc>
        <w:tc>
          <w:tcPr>
            <w:tcW w:w="190" w:type="pct"/>
            <w:tcBorders>
              <w:top w:val="nil"/>
              <w:left w:val="nil"/>
              <w:bottom w:val="nil"/>
              <w:right w:val="nil"/>
            </w:tcBorders>
            <w:shd w:val="clear" w:color="auto" w:fill="FFFFFF"/>
            <w:noWrap/>
            <w:vAlign w:val="center"/>
          </w:tcPr>
          <w:p>
            <w:pPr>
              <w:rPr>
                <w:color w:val="000000"/>
                <w:sz w:val="12"/>
                <w:szCs w:val="12"/>
              </w:rPr>
            </w:pPr>
          </w:p>
        </w:tc>
        <w:tc>
          <w:tcPr>
            <w:tcW w:w="441" w:type="pct"/>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tc>
      </w:tr>
      <w:tr>
        <w:tblPrEx>
          <w:tblCellMar>
            <w:top w:w="0" w:type="dxa"/>
            <w:left w:w="108" w:type="dxa"/>
            <w:bottom w:w="0" w:type="dxa"/>
            <w:right w:w="108" w:type="dxa"/>
          </w:tblCellMar>
        </w:tblPrEx>
        <w:trPr>
          <w:trHeight w:val="300" w:hRule="atLeast"/>
        </w:trPr>
        <w:tc>
          <w:tcPr>
            <w:tcW w:w="1761" w:type="pct"/>
            <w:tcBorders>
              <w:top w:val="nil"/>
              <w:left w:val="nil"/>
              <w:bottom w:val="nil"/>
              <w:right w:val="nil"/>
            </w:tcBorders>
            <w:shd w:val="clear" w:color="auto" w:fill="FFFFFF"/>
            <w:noWrap/>
            <w:vAlign w:val="center"/>
          </w:tcPr>
          <w:p>
            <w:pPr>
              <w:rPr>
                <w:rFonts w:ascii="Tahoma" w:hAnsi="Tahoma" w:eastAsia="Tahoma" w:cs="Tahoma"/>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29" w:type="pct"/>
            <w:tcBorders>
              <w:top w:val="nil"/>
              <w:left w:val="nil"/>
              <w:bottom w:val="nil"/>
              <w:right w:val="nil"/>
            </w:tcBorders>
            <w:shd w:val="clear" w:color="auto" w:fill="FFFFFF"/>
            <w:noWrap/>
            <w:vAlign w:val="center"/>
          </w:tcPr>
          <w:p>
            <w:pPr>
              <w:rPr>
                <w:color w:val="000000"/>
                <w:sz w:val="12"/>
                <w:szCs w:val="12"/>
              </w:rPr>
            </w:pPr>
          </w:p>
        </w:tc>
        <w:tc>
          <w:tcPr>
            <w:tcW w:w="1226" w:type="pct"/>
            <w:tcBorders>
              <w:top w:val="nil"/>
              <w:left w:val="nil"/>
              <w:bottom w:val="nil"/>
              <w:right w:val="nil"/>
            </w:tcBorders>
            <w:shd w:val="clear" w:color="auto" w:fill="FFFFFF"/>
            <w:noWrap/>
            <w:vAlign w:val="center"/>
          </w:tcPr>
          <w:p>
            <w:pPr>
              <w:rPr>
                <w:color w:val="000000"/>
                <w:sz w:val="12"/>
                <w:szCs w:val="12"/>
              </w:rPr>
            </w:pPr>
          </w:p>
        </w:tc>
        <w:tc>
          <w:tcPr>
            <w:tcW w:w="441" w:type="pct"/>
            <w:tcBorders>
              <w:top w:val="nil"/>
              <w:left w:val="nil"/>
              <w:bottom w:val="nil"/>
              <w:right w:val="nil"/>
            </w:tcBorders>
            <w:shd w:val="clear" w:color="auto" w:fill="FFFFFF"/>
            <w:noWrap/>
            <w:vAlign w:val="center"/>
          </w:tcPr>
          <w:p>
            <w:pPr>
              <w:rPr>
                <w:color w:val="000000"/>
                <w:sz w:val="12"/>
                <w:szCs w:val="12"/>
              </w:rPr>
            </w:pPr>
          </w:p>
        </w:tc>
        <w:tc>
          <w:tcPr>
            <w:tcW w:w="299" w:type="pct"/>
            <w:tcBorders>
              <w:top w:val="nil"/>
              <w:left w:val="nil"/>
              <w:bottom w:val="nil"/>
              <w:right w:val="nil"/>
            </w:tcBorders>
            <w:shd w:val="clear" w:color="auto" w:fill="FFFFFF"/>
            <w:noWrap/>
            <w:vAlign w:val="center"/>
          </w:tcPr>
          <w:p>
            <w:pPr>
              <w:rPr>
                <w:color w:val="000000"/>
                <w:sz w:val="12"/>
                <w:szCs w:val="12"/>
              </w:rPr>
            </w:pPr>
          </w:p>
        </w:tc>
        <w:tc>
          <w:tcPr>
            <w:tcW w:w="190" w:type="pct"/>
            <w:tcBorders>
              <w:top w:val="nil"/>
              <w:left w:val="nil"/>
              <w:bottom w:val="nil"/>
              <w:right w:val="nil"/>
            </w:tcBorders>
            <w:shd w:val="clear" w:color="auto" w:fill="FFFFFF"/>
            <w:noWrap/>
            <w:vAlign w:val="center"/>
          </w:tcPr>
          <w:p>
            <w:pPr>
              <w:rPr>
                <w:color w:val="000000"/>
                <w:sz w:val="12"/>
                <w:szCs w:val="12"/>
              </w:rPr>
            </w:pPr>
          </w:p>
        </w:tc>
        <w:tc>
          <w:tcPr>
            <w:tcW w:w="190" w:type="pct"/>
            <w:tcBorders>
              <w:top w:val="nil"/>
              <w:left w:val="nil"/>
              <w:bottom w:val="nil"/>
              <w:right w:val="nil"/>
            </w:tcBorders>
            <w:shd w:val="clear" w:color="auto" w:fill="FFFFFF"/>
            <w:noWrap/>
            <w:vAlign w:val="center"/>
          </w:tcPr>
          <w:p>
            <w:pPr>
              <w:rPr>
                <w:color w:val="000000"/>
                <w:sz w:val="12"/>
                <w:szCs w:val="12"/>
              </w:rPr>
            </w:pPr>
          </w:p>
        </w:tc>
        <w:tc>
          <w:tcPr>
            <w:tcW w:w="190" w:type="pct"/>
            <w:tcBorders>
              <w:top w:val="nil"/>
              <w:left w:val="nil"/>
              <w:bottom w:val="nil"/>
              <w:right w:val="nil"/>
            </w:tcBorders>
            <w:shd w:val="clear" w:color="auto" w:fill="FFFFFF"/>
            <w:noWrap/>
            <w:vAlign w:val="center"/>
          </w:tcPr>
          <w:p>
            <w:pPr>
              <w:rPr>
                <w:color w:val="000000"/>
                <w:sz w:val="12"/>
                <w:szCs w:val="12"/>
              </w:rPr>
            </w:pPr>
          </w:p>
        </w:tc>
        <w:tc>
          <w:tcPr>
            <w:tcW w:w="441" w:type="pct"/>
            <w:tcBorders>
              <w:top w:val="nil"/>
              <w:left w:val="nil"/>
              <w:bottom w:val="nil"/>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公开03表</w:t>
            </w:r>
          </w:p>
        </w:tc>
      </w:tr>
      <w:tr>
        <w:tblPrEx>
          <w:tblCellMar>
            <w:top w:w="0" w:type="dxa"/>
            <w:left w:w="108" w:type="dxa"/>
            <w:bottom w:w="0" w:type="dxa"/>
            <w:right w:w="108" w:type="dxa"/>
          </w:tblCellMar>
        </w:tblPrEx>
        <w:trPr>
          <w:trHeight w:val="300" w:hRule="atLeast"/>
        </w:trPr>
        <w:tc>
          <w:tcPr>
            <w:tcW w:w="1761" w:type="pct"/>
            <w:tcBorders>
              <w:top w:val="nil"/>
              <w:left w:val="nil"/>
              <w:bottom w:val="single" w:color="808080" w:sz="4" w:space="0"/>
              <w:right w:val="nil"/>
            </w:tcBorders>
            <w:shd w:val="clear" w:color="auto" w:fill="FFFFFF"/>
            <w:noWrap/>
            <w:vAlign w:val="center"/>
          </w:tcPr>
          <w:p>
            <w:pPr>
              <w:textAlignment w:val="center"/>
              <w:rPr>
                <w:color w:val="000000"/>
                <w:sz w:val="12"/>
                <w:szCs w:val="12"/>
              </w:rPr>
            </w:pPr>
            <w:r>
              <w:rPr>
                <w:rFonts w:hint="eastAsia"/>
                <w:color w:val="000000"/>
                <w:sz w:val="12"/>
                <w:szCs w:val="12"/>
              </w:rPr>
              <w:t>公开部门：重庆市荣昌区盘龙镇劳动就业和社会保障服务所</w:t>
            </w:r>
          </w:p>
        </w:tc>
        <w:tc>
          <w:tcPr>
            <w:tcW w:w="129"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29"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226" w:type="pct"/>
            <w:tcBorders>
              <w:top w:val="nil"/>
              <w:left w:val="nil"/>
              <w:bottom w:val="single" w:color="808080" w:sz="4" w:space="0"/>
              <w:right w:val="nil"/>
            </w:tcBorders>
            <w:shd w:val="clear" w:color="auto" w:fill="FFFFFF"/>
            <w:noWrap/>
            <w:vAlign w:val="center"/>
          </w:tcPr>
          <w:p>
            <w:pPr>
              <w:rPr>
                <w:color w:val="000000"/>
                <w:sz w:val="12"/>
                <w:szCs w:val="12"/>
              </w:rPr>
            </w:pPr>
          </w:p>
        </w:tc>
        <w:tc>
          <w:tcPr>
            <w:tcW w:w="441" w:type="pct"/>
            <w:tcBorders>
              <w:top w:val="nil"/>
              <w:left w:val="nil"/>
              <w:bottom w:val="single" w:color="808080" w:sz="4" w:space="0"/>
              <w:right w:val="nil"/>
            </w:tcBorders>
            <w:shd w:val="clear" w:color="auto" w:fill="FFFFFF"/>
            <w:noWrap/>
            <w:vAlign w:val="center"/>
          </w:tcPr>
          <w:p>
            <w:pPr>
              <w:jc w:val="center"/>
              <w:rPr>
                <w:color w:val="000000"/>
                <w:sz w:val="12"/>
                <w:szCs w:val="12"/>
              </w:rPr>
            </w:pPr>
          </w:p>
        </w:tc>
        <w:tc>
          <w:tcPr>
            <w:tcW w:w="299"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90"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90"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90" w:type="pct"/>
            <w:tcBorders>
              <w:top w:val="nil"/>
              <w:left w:val="nil"/>
              <w:bottom w:val="single" w:color="808080" w:sz="4" w:space="0"/>
              <w:right w:val="nil"/>
            </w:tcBorders>
            <w:shd w:val="clear" w:color="auto" w:fill="FFFFFF"/>
            <w:noWrap/>
            <w:vAlign w:val="center"/>
          </w:tcPr>
          <w:p>
            <w:pPr>
              <w:rPr>
                <w:color w:val="000000"/>
                <w:sz w:val="12"/>
                <w:szCs w:val="12"/>
              </w:rPr>
            </w:pPr>
          </w:p>
        </w:tc>
        <w:tc>
          <w:tcPr>
            <w:tcW w:w="441" w:type="pct"/>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单位：万元</w:t>
            </w:r>
          </w:p>
        </w:tc>
      </w:tr>
      <w:tr>
        <w:tblPrEx>
          <w:tblCellMar>
            <w:top w:w="0" w:type="dxa"/>
            <w:left w:w="108" w:type="dxa"/>
            <w:bottom w:w="0" w:type="dxa"/>
            <w:right w:w="108" w:type="dxa"/>
          </w:tblCellMar>
        </w:tblPrEx>
        <w:trPr>
          <w:trHeight w:val="300" w:hRule="atLeast"/>
        </w:trPr>
        <w:tc>
          <w:tcPr>
            <w:tcW w:w="3247" w:type="pct"/>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b/>
                <w:bCs/>
                <w:color w:val="000000"/>
                <w:sz w:val="12"/>
                <w:szCs w:val="12"/>
              </w:rPr>
            </w:pPr>
            <w:r>
              <w:rPr>
                <w:rFonts w:hint="eastAsia"/>
                <w:b/>
                <w:bCs/>
                <w:color w:val="000000"/>
                <w:sz w:val="12"/>
                <w:szCs w:val="12"/>
              </w:rPr>
              <w:t>项目</w:t>
            </w:r>
          </w:p>
        </w:tc>
        <w:tc>
          <w:tcPr>
            <w:tcW w:w="441"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本年支出合计</w:t>
            </w:r>
          </w:p>
        </w:tc>
        <w:tc>
          <w:tcPr>
            <w:tcW w:w="299"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基本支出</w:t>
            </w:r>
          </w:p>
        </w:tc>
        <w:tc>
          <w:tcPr>
            <w:tcW w:w="190"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项目支出</w:t>
            </w:r>
          </w:p>
        </w:tc>
        <w:tc>
          <w:tcPr>
            <w:tcW w:w="190"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上缴上级支出</w:t>
            </w:r>
          </w:p>
        </w:tc>
        <w:tc>
          <w:tcPr>
            <w:tcW w:w="190"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经营支出</w:t>
            </w:r>
          </w:p>
        </w:tc>
        <w:tc>
          <w:tcPr>
            <w:tcW w:w="441"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对附属单位补助支出</w:t>
            </w:r>
          </w:p>
        </w:tc>
      </w:tr>
      <w:tr>
        <w:tblPrEx>
          <w:tblCellMar>
            <w:top w:w="0" w:type="dxa"/>
            <w:left w:w="108" w:type="dxa"/>
            <w:bottom w:w="0" w:type="dxa"/>
            <w:right w:w="108" w:type="dxa"/>
          </w:tblCellMar>
        </w:tblPrEx>
        <w:trPr>
          <w:trHeight w:val="300" w:hRule="atLeast"/>
        </w:trPr>
        <w:tc>
          <w:tcPr>
            <w:tcW w:w="2020"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功能分类科目编码</w:t>
            </w:r>
          </w:p>
        </w:tc>
        <w:tc>
          <w:tcPr>
            <w:tcW w:w="1226" w:type="pct"/>
            <w:vMerge w:val="restar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项目（按“项”级功能分类科目）</w:t>
            </w:r>
          </w:p>
        </w:tc>
        <w:tc>
          <w:tcPr>
            <w:tcW w:w="441"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299"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9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9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9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441"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b/>
                <w:bCs/>
                <w:color w:val="000000"/>
                <w:sz w:val="12"/>
                <w:szCs w:val="12"/>
              </w:rPr>
            </w:pPr>
          </w:p>
        </w:tc>
        <w:tc>
          <w:tcPr>
            <w:tcW w:w="1226" w:type="pct"/>
            <w:vMerge w:val="continue"/>
            <w:tcBorders>
              <w:top w:val="nil"/>
              <w:left w:val="nil"/>
              <w:bottom w:val="single" w:color="000000" w:sz="4" w:space="0"/>
              <w:right w:val="single" w:color="000000" w:sz="4" w:space="0"/>
            </w:tcBorders>
            <w:shd w:val="clear" w:color="auto" w:fill="FFFFFF"/>
            <w:noWrap/>
            <w:vAlign w:val="center"/>
          </w:tcPr>
          <w:p>
            <w:pPr>
              <w:jc w:val="center"/>
              <w:rPr>
                <w:b/>
                <w:bCs/>
                <w:color w:val="000000"/>
                <w:sz w:val="12"/>
                <w:szCs w:val="12"/>
              </w:rPr>
            </w:pPr>
          </w:p>
        </w:tc>
        <w:tc>
          <w:tcPr>
            <w:tcW w:w="441"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299"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9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9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9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441"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b/>
                <w:bCs/>
                <w:color w:val="000000"/>
                <w:sz w:val="12"/>
                <w:szCs w:val="12"/>
              </w:rPr>
            </w:pPr>
          </w:p>
        </w:tc>
        <w:tc>
          <w:tcPr>
            <w:tcW w:w="1226" w:type="pct"/>
            <w:vMerge w:val="continue"/>
            <w:tcBorders>
              <w:top w:val="nil"/>
              <w:left w:val="nil"/>
              <w:bottom w:val="single" w:color="000000" w:sz="4" w:space="0"/>
              <w:right w:val="single" w:color="000000" w:sz="4" w:space="0"/>
            </w:tcBorders>
            <w:shd w:val="clear" w:color="auto" w:fill="FFFFFF"/>
            <w:noWrap/>
            <w:vAlign w:val="center"/>
          </w:tcPr>
          <w:p>
            <w:pPr>
              <w:jc w:val="center"/>
              <w:rPr>
                <w:b/>
                <w:bCs/>
                <w:color w:val="000000"/>
                <w:sz w:val="12"/>
                <w:szCs w:val="12"/>
              </w:rPr>
            </w:pPr>
          </w:p>
        </w:tc>
        <w:tc>
          <w:tcPr>
            <w:tcW w:w="441"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299"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9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9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9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441"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r>
      <w:tr>
        <w:tblPrEx>
          <w:tblCellMar>
            <w:top w:w="0" w:type="dxa"/>
            <w:left w:w="108" w:type="dxa"/>
            <w:bottom w:w="0" w:type="dxa"/>
            <w:right w:w="108" w:type="dxa"/>
          </w:tblCellMar>
        </w:tblPrEx>
        <w:trPr>
          <w:trHeight w:val="300" w:hRule="atLeast"/>
        </w:trPr>
        <w:tc>
          <w:tcPr>
            <w:tcW w:w="3247" w:type="pct"/>
            <w:gridSpan w:val="4"/>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合计</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208</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社会保障和就业支出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92.49</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92.49</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20801</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人力资源和社会保障管理事务</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80.96</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80.96</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2080199</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其他人力资源和社会保障管理事务支出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80.96</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80.96</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20805</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行政事业单位养老支出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11.53</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11.53</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2080505</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机关事业单位基本养老保险缴费支出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5.66</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5.66</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2080506</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机关事业单位职业年金缴费支出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2.83</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2.83</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2080599</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其他行政事业单位养老支出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3.04</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3.04</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210</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卫生健康支出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21011</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行政事业单位医疗</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2101102</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事业单位医疗</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2.55</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2.55</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2101199</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其他行政事业单位医疗支出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1.09</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1.09</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221</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住房保障支出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22102</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住房改革支出</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020"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2210201</w:t>
            </w:r>
          </w:p>
        </w:tc>
        <w:tc>
          <w:tcPr>
            <w:tcW w:w="1226"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住房公积金</w:t>
            </w:r>
          </w:p>
        </w:tc>
        <w:tc>
          <w:tcPr>
            <w:tcW w:w="441"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c>
          <w:tcPr>
            <w:tcW w:w="299"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41"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textAlignment w:val="center"/>
              <w:rPr>
                <w:color w:val="000000"/>
                <w:sz w:val="12"/>
                <w:szCs w:val="12"/>
              </w:rPr>
            </w:pPr>
            <w:r>
              <w:rPr>
                <w:rFonts w:hint="eastAsia"/>
                <w:color w:val="000000"/>
                <w:sz w:val="12"/>
                <w:szCs w:val="12"/>
              </w:rPr>
              <w:t>备注：本表反映部门本年度各项支出情况。</w:t>
            </w:r>
          </w:p>
        </w:tc>
      </w:tr>
    </w:tbl>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tbl>
      <w:tblPr>
        <w:tblStyle w:val="5"/>
        <w:tblW w:w="5000" w:type="pct"/>
        <w:tblInd w:w="0" w:type="dxa"/>
        <w:tblLayout w:type="autofit"/>
        <w:tblCellMar>
          <w:top w:w="0" w:type="dxa"/>
          <w:left w:w="108" w:type="dxa"/>
          <w:bottom w:w="0" w:type="dxa"/>
          <w:right w:w="108" w:type="dxa"/>
        </w:tblCellMar>
      </w:tblPr>
      <w:tblGrid>
        <w:gridCol w:w="3336"/>
        <w:gridCol w:w="546"/>
        <w:gridCol w:w="2016"/>
        <w:gridCol w:w="925"/>
        <w:gridCol w:w="546"/>
        <w:gridCol w:w="337"/>
        <w:gridCol w:w="817"/>
      </w:tblGrid>
      <w:tr>
        <w:tblPrEx>
          <w:tblCellMar>
            <w:top w:w="0" w:type="dxa"/>
            <w:left w:w="108" w:type="dxa"/>
            <w:bottom w:w="0" w:type="dxa"/>
            <w:right w:w="108" w:type="dxa"/>
          </w:tblCellMar>
        </w:tblPrEx>
        <w:trPr>
          <w:trHeight w:val="555" w:hRule="atLeast"/>
        </w:trPr>
        <w:tc>
          <w:tcPr>
            <w:tcW w:w="1957" w:type="pct"/>
            <w:tcBorders>
              <w:top w:val="nil"/>
              <w:left w:val="nil"/>
              <w:bottom w:val="nil"/>
              <w:right w:val="nil"/>
            </w:tcBorders>
            <w:shd w:val="clear" w:color="auto" w:fill="FFFFFF"/>
            <w:noWrap/>
            <w:vAlign w:val="center"/>
          </w:tcPr>
          <w:p>
            <w:pPr>
              <w:rPr>
                <w:color w:val="000000"/>
                <w:sz w:val="12"/>
                <w:szCs w:val="12"/>
              </w:rPr>
            </w:pPr>
          </w:p>
        </w:tc>
        <w:tc>
          <w:tcPr>
            <w:tcW w:w="2046" w:type="pct"/>
            <w:gridSpan w:val="3"/>
            <w:tcBorders>
              <w:top w:val="nil"/>
              <w:left w:val="nil"/>
              <w:bottom w:val="nil"/>
              <w:right w:val="nil"/>
            </w:tcBorders>
            <w:shd w:val="clear" w:color="auto" w:fill="FFFFFF"/>
            <w:noWrap/>
            <w:vAlign w:val="center"/>
          </w:tcPr>
          <w:p>
            <w:pPr>
              <w:jc w:val="center"/>
              <w:textAlignment w:val="center"/>
              <w:rPr>
                <w:rFonts w:ascii="黑体" w:eastAsia="黑体" w:cs="黑体"/>
                <w:color w:val="000000"/>
                <w:sz w:val="21"/>
                <w:szCs w:val="21"/>
              </w:rPr>
            </w:pPr>
            <w:r>
              <w:rPr>
                <w:rFonts w:hint="eastAsia" w:ascii="黑体" w:eastAsia="黑体" w:cs="黑体"/>
                <w:color w:val="000000"/>
                <w:sz w:val="21"/>
                <w:szCs w:val="21"/>
              </w:rPr>
              <w:t>财政拨款收入支出决算总表</w:t>
            </w:r>
          </w:p>
        </w:tc>
        <w:tc>
          <w:tcPr>
            <w:tcW w:w="320" w:type="pct"/>
            <w:tcBorders>
              <w:top w:val="nil"/>
              <w:left w:val="nil"/>
              <w:bottom w:val="nil"/>
              <w:right w:val="nil"/>
            </w:tcBorders>
            <w:shd w:val="clear" w:color="auto" w:fill="FFFFFF"/>
            <w:noWrap/>
            <w:vAlign w:val="center"/>
          </w:tcPr>
          <w:p>
            <w:pPr>
              <w:rPr>
                <w:color w:val="000000"/>
                <w:sz w:val="12"/>
                <w:szCs w:val="12"/>
              </w:rPr>
            </w:pPr>
          </w:p>
        </w:tc>
        <w:tc>
          <w:tcPr>
            <w:tcW w:w="197" w:type="pct"/>
            <w:tcBorders>
              <w:top w:val="nil"/>
              <w:left w:val="nil"/>
              <w:bottom w:val="nil"/>
              <w:right w:val="nil"/>
            </w:tcBorders>
            <w:shd w:val="clear" w:color="auto" w:fill="FFFFFF"/>
            <w:noWrap/>
            <w:vAlign w:val="center"/>
          </w:tcPr>
          <w:p>
            <w:pPr>
              <w:rPr>
                <w:color w:val="000000"/>
                <w:sz w:val="12"/>
                <w:szCs w:val="12"/>
              </w:rPr>
            </w:pPr>
          </w:p>
        </w:tc>
        <w:tc>
          <w:tcPr>
            <w:tcW w:w="478" w:type="pct"/>
            <w:tcBorders>
              <w:top w:val="nil"/>
              <w:left w:val="nil"/>
              <w:bottom w:val="nil"/>
              <w:right w:val="single" w:color="808080" w:sz="4" w:space="0"/>
            </w:tcBorders>
            <w:shd w:val="clear" w:color="auto" w:fill="FFFFFF"/>
            <w:noWrap/>
            <w:vAlign w:val="center"/>
          </w:tcPr>
          <w:p>
            <w:pPr>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nil"/>
              <w:bottom w:val="nil"/>
              <w:right w:val="nil"/>
            </w:tcBorders>
            <w:shd w:val="clear" w:color="auto" w:fill="FFFFFF"/>
            <w:noWrap/>
            <w:vAlign w:val="center"/>
          </w:tcPr>
          <w:p>
            <w:pPr>
              <w:rPr>
                <w:rFonts w:ascii="Tahoma" w:hAnsi="Tahoma" w:eastAsia="Tahoma" w:cs="Tahoma"/>
                <w:color w:val="000000"/>
                <w:sz w:val="12"/>
                <w:szCs w:val="12"/>
              </w:rPr>
            </w:pPr>
          </w:p>
        </w:tc>
        <w:tc>
          <w:tcPr>
            <w:tcW w:w="320" w:type="pct"/>
            <w:tcBorders>
              <w:top w:val="nil"/>
              <w:left w:val="nil"/>
              <w:bottom w:val="nil"/>
              <w:right w:val="nil"/>
            </w:tcBorders>
            <w:shd w:val="clear" w:color="auto" w:fill="FFFFFF"/>
            <w:noWrap/>
            <w:vAlign w:val="center"/>
          </w:tcPr>
          <w:p>
            <w:pPr>
              <w:rPr>
                <w:color w:val="000000"/>
                <w:sz w:val="12"/>
                <w:szCs w:val="12"/>
              </w:rPr>
            </w:pPr>
          </w:p>
        </w:tc>
        <w:tc>
          <w:tcPr>
            <w:tcW w:w="1182" w:type="pct"/>
            <w:tcBorders>
              <w:top w:val="nil"/>
              <w:left w:val="nil"/>
              <w:bottom w:val="nil"/>
              <w:right w:val="nil"/>
            </w:tcBorders>
            <w:shd w:val="clear" w:color="auto" w:fill="FFFFFF"/>
            <w:noWrap/>
            <w:vAlign w:val="center"/>
          </w:tcPr>
          <w:p>
            <w:pPr>
              <w:rPr>
                <w:color w:val="000000"/>
                <w:sz w:val="12"/>
                <w:szCs w:val="12"/>
              </w:rPr>
            </w:pPr>
          </w:p>
        </w:tc>
        <w:tc>
          <w:tcPr>
            <w:tcW w:w="543" w:type="pct"/>
            <w:tcBorders>
              <w:top w:val="nil"/>
              <w:left w:val="nil"/>
              <w:bottom w:val="nil"/>
              <w:right w:val="nil"/>
            </w:tcBorders>
            <w:shd w:val="clear" w:color="auto" w:fill="FFFFFF"/>
            <w:noWrap/>
            <w:vAlign w:val="center"/>
          </w:tcPr>
          <w:p>
            <w:pPr>
              <w:rPr>
                <w:color w:val="000000"/>
                <w:sz w:val="12"/>
                <w:szCs w:val="12"/>
              </w:rPr>
            </w:pPr>
          </w:p>
        </w:tc>
        <w:tc>
          <w:tcPr>
            <w:tcW w:w="320" w:type="pct"/>
            <w:tcBorders>
              <w:top w:val="nil"/>
              <w:left w:val="nil"/>
              <w:bottom w:val="nil"/>
              <w:right w:val="nil"/>
            </w:tcBorders>
            <w:shd w:val="clear" w:color="auto" w:fill="FFFFFF"/>
            <w:noWrap/>
            <w:vAlign w:val="center"/>
          </w:tcPr>
          <w:p>
            <w:pPr>
              <w:rPr>
                <w:color w:val="000000"/>
                <w:sz w:val="12"/>
                <w:szCs w:val="12"/>
              </w:rPr>
            </w:pPr>
          </w:p>
        </w:tc>
        <w:tc>
          <w:tcPr>
            <w:tcW w:w="197" w:type="pct"/>
            <w:tcBorders>
              <w:top w:val="nil"/>
              <w:left w:val="nil"/>
              <w:bottom w:val="nil"/>
              <w:right w:val="nil"/>
            </w:tcBorders>
            <w:shd w:val="clear" w:color="auto" w:fill="FFFFFF"/>
            <w:noWrap/>
            <w:vAlign w:val="center"/>
          </w:tcPr>
          <w:p>
            <w:pPr>
              <w:rPr>
                <w:color w:val="000000"/>
                <w:sz w:val="12"/>
                <w:szCs w:val="12"/>
              </w:rPr>
            </w:pPr>
          </w:p>
        </w:tc>
        <w:tc>
          <w:tcPr>
            <w:tcW w:w="478" w:type="pct"/>
            <w:tcBorders>
              <w:top w:val="nil"/>
              <w:left w:val="nil"/>
              <w:bottom w:val="nil"/>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公开04表</w:t>
            </w:r>
          </w:p>
        </w:tc>
      </w:tr>
      <w:tr>
        <w:tblPrEx>
          <w:tblCellMar>
            <w:top w:w="0" w:type="dxa"/>
            <w:left w:w="108" w:type="dxa"/>
            <w:bottom w:w="0" w:type="dxa"/>
            <w:right w:w="108" w:type="dxa"/>
          </w:tblCellMar>
        </w:tblPrEx>
        <w:trPr>
          <w:trHeight w:val="300" w:hRule="atLeast"/>
        </w:trPr>
        <w:tc>
          <w:tcPr>
            <w:tcW w:w="1957" w:type="pct"/>
            <w:tcBorders>
              <w:top w:val="nil"/>
              <w:left w:val="nil"/>
              <w:bottom w:val="single" w:color="808080" w:sz="4" w:space="0"/>
              <w:right w:val="nil"/>
            </w:tcBorders>
            <w:shd w:val="clear" w:color="auto" w:fill="FFFFFF"/>
            <w:noWrap/>
            <w:vAlign w:val="center"/>
          </w:tcPr>
          <w:p>
            <w:pPr>
              <w:textAlignment w:val="center"/>
              <w:rPr>
                <w:color w:val="000000"/>
                <w:sz w:val="12"/>
                <w:szCs w:val="12"/>
              </w:rPr>
            </w:pPr>
            <w:r>
              <w:rPr>
                <w:rFonts w:hint="eastAsia"/>
                <w:color w:val="000000"/>
                <w:sz w:val="12"/>
                <w:szCs w:val="12"/>
              </w:rPr>
              <w:t>公开部门：重庆市荣昌区盘龙镇劳动就业和社会保障服务所</w:t>
            </w:r>
          </w:p>
        </w:tc>
        <w:tc>
          <w:tcPr>
            <w:tcW w:w="320"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182" w:type="pct"/>
            <w:tcBorders>
              <w:top w:val="nil"/>
              <w:left w:val="nil"/>
              <w:bottom w:val="single" w:color="808080" w:sz="4" w:space="0"/>
              <w:right w:val="nil"/>
            </w:tcBorders>
            <w:shd w:val="clear" w:color="auto" w:fill="FFFFFF"/>
            <w:noWrap/>
            <w:vAlign w:val="center"/>
          </w:tcPr>
          <w:p>
            <w:pPr>
              <w:rPr>
                <w:color w:val="000000"/>
                <w:sz w:val="12"/>
                <w:szCs w:val="12"/>
              </w:rPr>
            </w:pPr>
          </w:p>
        </w:tc>
        <w:tc>
          <w:tcPr>
            <w:tcW w:w="543" w:type="pct"/>
            <w:tcBorders>
              <w:top w:val="nil"/>
              <w:left w:val="nil"/>
              <w:bottom w:val="single" w:color="808080" w:sz="4" w:space="0"/>
              <w:right w:val="nil"/>
            </w:tcBorders>
            <w:shd w:val="clear" w:color="auto" w:fill="FFFFFF"/>
            <w:noWrap/>
            <w:vAlign w:val="center"/>
          </w:tcPr>
          <w:p>
            <w:pPr>
              <w:jc w:val="center"/>
              <w:rPr>
                <w:color w:val="000000"/>
                <w:sz w:val="12"/>
                <w:szCs w:val="12"/>
              </w:rPr>
            </w:pPr>
          </w:p>
        </w:tc>
        <w:tc>
          <w:tcPr>
            <w:tcW w:w="320"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97" w:type="pct"/>
            <w:tcBorders>
              <w:top w:val="nil"/>
              <w:left w:val="nil"/>
              <w:bottom w:val="single" w:color="808080" w:sz="4" w:space="0"/>
              <w:right w:val="nil"/>
            </w:tcBorders>
            <w:shd w:val="clear" w:color="auto" w:fill="FFFFFF"/>
            <w:noWrap/>
            <w:vAlign w:val="center"/>
          </w:tcPr>
          <w:p>
            <w:pPr>
              <w:rPr>
                <w:color w:val="000000"/>
                <w:sz w:val="12"/>
                <w:szCs w:val="12"/>
              </w:rPr>
            </w:pPr>
          </w:p>
        </w:tc>
        <w:tc>
          <w:tcPr>
            <w:tcW w:w="478" w:type="pct"/>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单位：万元</w:t>
            </w:r>
          </w:p>
        </w:tc>
      </w:tr>
      <w:tr>
        <w:tblPrEx>
          <w:tblCellMar>
            <w:top w:w="0" w:type="dxa"/>
            <w:left w:w="108" w:type="dxa"/>
            <w:bottom w:w="0" w:type="dxa"/>
            <w:right w:w="108" w:type="dxa"/>
          </w:tblCellMar>
        </w:tblPrEx>
        <w:trPr>
          <w:trHeight w:val="300" w:hRule="atLeast"/>
        </w:trPr>
        <w:tc>
          <w:tcPr>
            <w:tcW w:w="2277" w:type="pct"/>
            <w:gridSpan w:val="2"/>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收     入</w:t>
            </w:r>
          </w:p>
        </w:tc>
        <w:tc>
          <w:tcPr>
            <w:tcW w:w="2722" w:type="pct"/>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支     出</w:t>
            </w:r>
          </w:p>
        </w:tc>
      </w:tr>
      <w:tr>
        <w:tblPrEx>
          <w:tblCellMar>
            <w:top w:w="0" w:type="dxa"/>
            <w:left w:w="108" w:type="dxa"/>
            <w:bottom w:w="0" w:type="dxa"/>
            <w:right w:w="108" w:type="dxa"/>
          </w:tblCellMar>
        </w:tblPrEx>
        <w:trPr>
          <w:trHeight w:val="285" w:hRule="atLeast"/>
        </w:trPr>
        <w:tc>
          <w:tcPr>
            <w:tcW w:w="1957" w:type="pct"/>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项    目</w:t>
            </w:r>
          </w:p>
        </w:tc>
        <w:tc>
          <w:tcPr>
            <w:tcW w:w="320"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决算数</w:t>
            </w:r>
          </w:p>
        </w:tc>
        <w:tc>
          <w:tcPr>
            <w:tcW w:w="1182"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功能分类科目</w:t>
            </w:r>
          </w:p>
        </w:tc>
        <w:tc>
          <w:tcPr>
            <w:tcW w:w="1539" w:type="pct"/>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决算数</w:t>
            </w:r>
          </w:p>
        </w:tc>
      </w:tr>
      <w:tr>
        <w:tblPrEx>
          <w:tblCellMar>
            <w:top w:w="0" w:type="dxa"/>
            <w:left w:w="108" w:type="dxa"/>
            <w:bottom w:w="0" w:type="dxa"/>
            <w:right w:w="108" w:type="dxa"/>
          </w:tblCellMar>
        </w:tblPrEx>
        <w:trPr>
          <w:trHeight w:val="600" w:hRule="atLeast"/>
        </w:trPr>
        <w:tc>
          <w:tcPr>
            <w:tcW w:w="1957"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b/>
                <w:bCs/>
                <w:color w:val="000000"/>
                <w:sz w:val="12"/>
                <w:szCs w:val="12"/>
              </w:rPr>
            </w:pPr>
          </w:p>
        </w:tc>
        <w:tc>
          <w:tcPr>
            <w:tcW w:w="32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1182"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543" w:type="pc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小计</w:t>
            </w:r>
          </w:p>
        </w:tc>
        <w:tc>
          <w:tcPr>
            <w:tcW w:w="320" w:type="pc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一般公共预算财政拨款</w:t>
            </w:r>
          </w:p>
        </w:tc>
        <w:tc>
          <w:tcPr>
            <w:tcW w:w="197" w:type="pc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政府性基金预算财政拨款</w:t>
            </w:r>
          </w:p>
        </w:tc>
        <w:tc>
          <w:tcPr>
            <w:tcW w:w="478" w:type="pc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国有资本经营预算财政拨款</w:t>
            </w: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一、一般公共预算财政拨款</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一、一般公共服务支出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二、政府性基金预算财政拨款</w:t>
            </w: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二、外交支出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三、国有资本经营预算财政拨款</w:t>
            </w: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三、国防支出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四、公共安全支出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五、教育支出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六、科学技术支出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七、文化旅游体育与传媒支出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八、社会保障和就业支出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92.49</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92.49</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九、卫生健康支出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3.65</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3.65</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十、节能环保支出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十一、城乡社区支出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十二、农林水支出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十三、交通运输支出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十四、资源勘探工业信息等支出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十五、商业服务业等支出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十六、金融支出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十七、援助其他地区支出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十八、自然资源海洋气象等支出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十九、住房保障支出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二十、粮油物资储备支出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二十一、国有资本经营预算支出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二十二、灾害防治及应急管理支出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二十三、其他支出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本年收入合计</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二十四、债务还本支出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年初财政拨款结转和结余</w:t>
            </w: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二十五、债务付息支出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一、一般公共预算财政拨款</w:t>
            </w: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二十六、抗疫特别国债安排的支出</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二、政府性基金预算财政拨款</w:t>
            </w: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本年支出合计</w:t>
            </w:r>
          </w:p>
        </w:tc>
        <w:tc>
          <w:tcPr>
            <w:tcW w:w="543"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三、国有资本经营预算财政拨款</w:t>
            </w: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18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年末财政拨款结转和结余</w:t>
            </w:r>
          </w:p>
        </w:tc>
        <w:tc>
          <w:tcPr>
            <w:tcW w:w="54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20"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总计</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1182" w:type="pc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总计</w:t>
            </w:r>
          </w:p>
        </w:tc>
        <w:tc>
          <w:tcPr>
            <w:tcW w:w="543"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19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47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FFFFFF"/>
            <w:noWrap/>
            <w:vAlign w:val="center"/>
          </w:tcPr>
          <w:p>
            <w:pPr>
              <w:textAlignment w:val="center"/>
              <w:rPr>
                <w:color w:val="000000"/>
                <w:sz w:val="12"/>
                <w:szCs w:val="12"/>
              </w:rPr>
            </w:pPr>
            <w:r>
              <w:rPr>
                <w:rFonts w:hint="eastAsia"/>
                <w:color w:val="000000"/>
                <w:sz w:val="12"/>
                <w:szCs w:val="12"/>
              </w:rPr>
              <w:t>备注：本表反映部门本年度一般公共预算财政拨款、政府性基金预算财政拨款及国有资本经营预算财政拨款的总收支和年末结转结余情况。</w:t>
            </w:r>
          </w:p>
        </w:tc>
      </w:tr>
      <w:tr>
        <w:tblPrEx>
          <w:tblCellMar>
            <w:top w:w="0" w:type="dxa"/>
            <w:left w:w="108" w:type="dxa"/>
            <w:bottom w:w="0" w:type="dxa"/>
            <w:right w:w="108" w:type="dxa"/>
          </w:tblCellMar>
        </w:tblPrEx>
        <w:trPr>
          <w:trHeight w:val="360" w:hRule="atLeast"/>
        </w:trPr>
        <w:tc>
          <w:tcPr>
            <w:tcW w:w="5000" w:type="pct"/>
            <w:gridSpan w:val="7"/>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tc>
      </w:tr>
    </w:tbl>
    <w:p>
      <w:pPr>
        <w:pStyle w:val="4"/>
        <w:shd w:val="clear" w:color="auto" w:fill="FFFFFF"/>
      </w:pPr>
    </w:p>
    <w:tbl>
      <w:tblPr>
        <w:tblStyle w:val="5"/>
        <w:tblW w:w="4998" w:type="pct"/>
        <w:tblInd w:w="0" w:type="dxa"/>
        <w:tblLayout w:type="autofit"/>
        <w:tblCellMar>
          <w:top w:w="0" w:type="dxa"/>
          <w:left w:w="108" w:type="dxa"/>
          <w:bottom w:w="0" w:type="dxa"/>
          <w:right w:w="108" w:type="dxa"/>
        </w:tblCellMar>
      </w:tblPr>
      <w:tblGrid>
        <w:gridCol w:w="3336"/>
        <w:gridCol w:w="226"/>
        <w:gridCol w:w="227"/>
        <w:gridCol w:w="2358"/>
        <w:gridCol w:w="555"/>
        <w:gridCol w:w="896"/>
        <w:gridCol w:w="922"/>
      </w:tblGrid>
      <w:tr>
        <w:tblPrEx>
          <w:tblCellMar>
            <w:top w:w="0" w:type="dxa"/>
            <w:left w:w="108" w:type="dxa"/>
            <w:bottom w:w="0" w:type="dxa"/>
            <w:right w:w="108" w:type="dxa"/>
          </w:tblCellMar>
        </w:tblPrEx>
        <w:trPr>
          <w:trHeight w:val="555" w:hRule="atLeast"/>
        </w:trPr>
        <w:tc>
          <w:tcPr>
            <w:tcW w:w="1957" w:type="pct"/>
            <w:tcBorders>
              <w:top w:val="nil"/>
              <w:left w:val="nil"/>
              <w:bottom w:val="nil"/>
              <w:right w:val="nil"/>
            </w:tcBorders>
            <w:shd w:val="clear" w:color="auto" w:fill="FFFFFF"/>
            <w:noWrap/>
            <w:vAlign w:val="center"/>
          </w:tcPr>
          <w:p>
            <w:pPr>
              <w:rPr>
                <w:color w:val="000000"/>
                <w:sz w:val="12"/>
                <w:szCs w:val="12"/>
              </w:rPr>
            </w:pPr>
          </w:p>
        </w:tc>
        <w:tc>
          <w:tcPr>
            <w:tcW w:w="1940" w:type="pct"/>
            <w:gridSpan w:val="4"/>
            <w:tcBorders>
              <w:top w:val="nil"/>
              <w:left w:val="nil"/>
              <w:bottom w:val="nil"/>
              <w:right w:val="nil"/>
            </w:tcBorders>
            <w:shd w:val="clear" w:color="auto" w:fill="FFFFFF"/>
            <w:noWrap/>
            <w:vAlign w:val="center"/>
          </w:tcPr>
          <w:p>
            <w:pPr>
              <w:rPr>
                <w:color w:val="000000"/>
                <w:sz w:val="21"/>
                <w:szCs w:val="21"/>
              </w:rPr>
            </w:pPr>
            <w:r>
              <w:rPr>
                <w:rFonts w:hint="eastAsia" w:ascii="黑体" w:eastAsia="黑体" w:cs="黑体"/>
                <w:color w:val="000000"/>
                <w:sz w:val="21"/>
                <w:szCs w:val="21"/>
              </w:rPr>
              <w:t>一般公共预算财政拨款支出决算表</w:t>
            </w:r>
          </w:p>
        </w:tc>
        <w:tc>
          <w:tcPr>
            <w:tcW w:w="544" w:type="pct"/>
            <w:tcBorders>
              <w:top w:val="nil"/>
              <w:left w:val="nil"/>
              <w:bottom w:val="nil"/>
              <w:right w:val="nil"/>
            </w:tcBorders>
            <w:shd w:val="clear" w:color="auto" w:fill="FFFFFF"/>
            <w:noWrap/>
            <w:vAlign w:val="center"/>
          </w:tcPr>
          <w:p>
            <w:pPr>
              <w:rPr>
                <w:color w:val="000000"/>
                <w:sz w:val="12"/>
                <w:szCs w:val="12"/>
              </w:rPr>
            </w:pPr>
          </w:p>
        </w:tc>
        <w:tc>
          <w:tcPr>
            <w:tcW w:w="558" w:type="pct"/>
            <w:tcBorders>
              <w:top w:val="nil"/>
              <w:left w:val="nil"/>
              <w:bottom w:val="nil"/>
              <w:right w:val="single" w:color="808080" w:sz="4" w:space="0"/>
            </w:tcBorders>
            <w:shd w:val="clear" w:color="auto" w:fill="FFFFFF"/>
            <w:noWrap/>
            <w:vAlign w:val="center"/>
          </w:tcPr>
          <w:p>
            <w:pPr>
              <w:rPr>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nil"/>
              <w:bottom w:val="nil"/>
              <w:right w:val="nil"/>
            </w:tcBorders>
            <w:shd w:val="clear" w:color="auto" w:fill="FFFFFF"/>
            <w:noWrap/>
            <w:vAlign w:val="center"/>
          </w:tcPr>
          <w:p>
            <w:pPr>
              <w:rPr>
                <w:color w:val="000000"/>
                <w:sz w:val="12"/>
                <w:szCs w:val="12"/>
              </w:rPr>
            </w:pPr>
          </w:p>
        </w:tc>
        <w:tc>
          <w:tcPr>
            <w:tcW w:w="130" w:type="pct"/>
            <w:tcBorders>
              <w:top w:val="nil"/>
              <w:left w:val="nil"/>
              <w:bottom w:val="nil"/>
              <w:right w:val="nil"/>
            </w:tcBorders>
            <w:shd w:val="clear" w:color="auto" w:fill="FFFFFF"/>
            <w:noWrap/>
            <w:vAlign w:val="center"/>
          </w:tcPr>
          <w:p>
            <w:pPr>
              <w:rPr>
                <w:color w:val="000000"/>
                <w:sz w:val="12"/>
                <w:szCs w:val="12"/>
              </w:rPr>
            </w:pPr>
          </w:p>
        </w:tc>
        <w:tc>
          <w:tcPr>
            <w:tcW w:w="130" w:type="pct"/>
            <w:tcBorders>
              <w:top w:val="nil"/>
              <w:left w:val="nil"/>
              <w:bottom w:val="nil"/>
              <w:right w:val="nil"/>
            </w:tcBorders>
            <w:shd w:val="clear" w:color="auto" w:fill="FFFFFF"/>
            <w:noWrap/>
            <w:vAlign w:val="center"/>
          </w:tcPr>
          <w:p>
            <w:pPr>
              <w:rPr>
                <w:color w:val="000000"/>
                <w:sz w:val="12"/>
                <w:szCs w:val="12"/>
              </w:rPr>
            </w:pPr>
          </w:p>
        </w:tc>
        <w:tc>
          <w:tcPr>
            <w:tcW w:w="1359" w:type="pct"/>
            <w:tcBorders>
              <w:top w:val="nil"/>
              <w:left w:val="nil"/>
              <w:bottom w:val="nil"/>
              <w:right w:val="nil"/>
            </w:tcBorders>
            <w:shd w:val="clear" w:color="auto" w:fill="FFFFFF"/>
            <w:noWrap/>
            <w:vAlign w:val="center"/>
          </w:tcPr>
          <w:p>
            <w:pPr>
              <w:rPr>
                <w:color w:val="000000"/>
                <w:sz w:val="12"/>
                <w:szCs w:val="12"/>
              </w:rPr>
            </w:pPr>
          </w:p>
        </w:tc>
        <w:tc>
          <w:tcPr>
            <w:tcW w:w="320" w:type="pct"/>
            <w:tcBorders>
              <w:top w:val="nil"/>
              <w:left w:val="nil"/>
              <w:bottom w:val="nil"/>
              <w:right w:val="nil"/>
            </w:tcBorders>
            <w:shd w:val="clear" w:color="auto" w:fill="FFFFFF"/>
            <w:noWrap/>
            <w:vAlign w:val="center"/>
          </w:tcPr>
          <w:p>
            <w:pPr>
              <w:rPr>
                <w:color w:val="000000"/>
                <w:sz w:val="12"/>
                <w:szCs w:val="12"/>
              </w:rPr>
            </w:pPr>
          </w:p>
        </w:tc>
        <w:tc>
          <w:tcPr>
            <w:tcW w:w="544" w:type="pct"/>
            <w:tcBorders>
              <w:top w:val="nil"/>
              <w:left w:val="nil"/>
              <w:bottom w:val="nil"/>
              <w:right w:val="nil"/>
            </w:tcBorders>
            <w:shd w:val="clear" w:color="auto" w:fill="FFFFFF"/>
            <w:noWrap/>
            <w:vAlign w:val="center"/>
          </w:tcPr>
          <w:p>
            <w:pPr>
              <w:rPr>
                <w:color w:val="000000"/>
                <w:sz w:val="12"/>
                <w:szCs w:val="12"/>
              </w:rPr>
            </w:pPr>
          </w:p>
        </w:tc>
        <w:tc>
          <w:tcPr>
            <w:tcW w:w="558" w:type="pct"/>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tc>
      </w:tr>
      <w:tr>
        <w:tblPrEx>
          <w:tblCellMar>
            <w:top w:w="0" w:type="dxa"/>
            <w:left w:w="108" w:type="dxa"/>
            <w:bottom w:w="0" w:type="dxa"/>
            <w:right w:w="108" w:type="dxa"/>
          </w:tblCellMar>
        </w:tblPrEx>
        <w:trPr>
          <w:trHeight w:val="300" w:hRule="atLeast"/>
        </w:trPr>
        <w:tc>
          <w:tcPr>
            <w:tcW w:w="1957" w:type="pct"/>
            <w:tcBorders>
              <w:top w:val="nil"/>
              <w:left w:val="nil"/>
              <w:bottom w:val="nil"/>
              <w:right w:val="nil"/>
            </w:tcBorders>
            <w:shd w:val="clear" w:color="auto" w:fill="FFFFFF"/>
            <w:noWrap/>
            <w:vAlign w:val="center"/>
          </w:tcPr>
          <w:p>
            <w:pPr>
              <w:rPr>
                <w:rFonts w:ascii="Tahoma" w:hAnsi="Tahoma" w:eastAsia="Tahoma" w:cs="Tahoma"/>
                <w:color w:val="000000"/>
                <w:sz w:val="12"/>
                <w:szCs w:val="12"/>
              </w:rPr>
            </w:pPr>
          </w:p>
        </w:tc>
        <w:tc>
          <w:tcPr>
            <w:tcW w:w="130" w:type="pct"/>
            <w:tcBorders>
              <w:top w:val="nil"/>
              <w:left w:val="nil"/>
              <w:bottom w:val="nil"/>
              <w:right w:val="nil"/>
            </w:tcBorders>
            <w:shd w:val="clear" w:color="auto" w:fill="FFFFFF"/>
            <w:noWrap/>
            <w:vAlign w:val="center"/>
          </w:tcPr>
          <w:p>
            <w:pPr>
              <w:rPr>
                <w:color w:val="000000"/>
                <w:sz w:val="12"/>
                <w:szCs w:val="12"/>
              </w:rPr>
            </w:pPr>
          </w:p>
        </w:tc>
        <w:tc>
          <w:tcPr>
            <w:tcW w:w="130" w:type="pct"/>
            <w:tcBorders>
              <w:top w:val="nil"/>
              <w:left w:val="nil"/>
              <w:bottom w:val="nil"/>
              <w:right w:val="nil"/>
            </w:tcBorders>
            <w:shd w:val="clear" w:color="auto" w:fill="FFFFFF"/>
            <w:noWrap/>
            <w:vAlign w:val="center"/>
          </w:tcPr>
          <w:p>
            <w:pPr>
              <w:rPr>
                <w:color w:val="000000"/>
                <w:sz w:val="12"/>
                <w:szCs w:val="12"/>
              </w:rPr>
            </w:pPr>
          </w:p>
        </w:tc>
        <w:tc>
          <w:tcPr>
            <w:tcW w:w="1359" w:type="pct"/>
            <w:tcBorders>
              <w:top w:val="nil"/>
              <w:left w:val="nil"/>
              <w:bottom w:val="nil"/>
              <w:right w:val="nil"/>
            </w:tcBorders>
            <w:shd w:val="clear" w:color="auto" w:fill="FFFFFF"/>
            <w:noWrap/>
            <w:vAlign w:val="center"/>
          </w:tcPr>
          <w:p>
            <w:pPr>
              <w:rPr>
                <w:color w:val="000000"/>
                <w:sz w:val="12"/>
                <w:szCs w:val="12"/>
              </w:rPr>
            </w:pPr>
          </w:p>
        </w:tc>
        <w:tc>
          <w:tcPr>
            <w:tcW w:w="320" w:type="pct"/>
            <w:tcBorders>
              <w:top w:val="nil"/>
              <w:left w:val="nil"/>
              <w:bottom w:val="nil"/>
              <w:right w:val="nil"/>
            </w:tcBorders>
            <w:shd w:val="clear" w:color="auto" w:fill="FFFFFF"/>
            <w:noWrap/>
            <w:vAlign w:val="center"/>
          </w:tcPr>
          <w:p>
            <w:pPr>
              <w:rPr>
                <w:color w:val="000000"/>
                <w:sz w:val="12"/>
                <w:szCs w:val="12"/>
              </w:rPr>
            </w:pPr>
          </w:p>
        </w:tc>
        <w:tc>
          <w:tcPr>
            <w:tcW w:w="544" w:type="pct"/>
            <w:tcBorders>
              <w:top w:val="nil"/>
              <w:left w:val="nil"/>
              <w:bottom w:val="nil"/>
              <w:right w:val="nil"/>
            </w:tcBorders>
            <w:shd w:val="clear" w:color="auto" w:fill="FFFFFF"/>
            <w:noWrap/>
            <w:vAlign w:val="center"/>
          </w:tcPr>
          <w:p>
            <w:pPr>
              <w:rPr>
                <w:color w:val="000000"/>
                <w:sz w:val="12"/>
                <w:szCs w:val="12"/>
              </w:rPr>
            </w:pPr>
          </w:p>
        </w:tc>
        <w:tc>
          <w:tcPr>
            <w:tcW w:w="558" w:type="pct"/>
            <w:tcBorders>
              <w:top w:val="nil"/>
              <w:left w:val="nil"/>
              <w:bottom w:val="nil"/>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公开05表</w:t>
            </w:r>
          </w:p>
        </w:tc>
      </w:tr>
      <w:tr>
        <w:tblPrEx>
          <w:tblCellMar>
            <w:top w:w="0" w:type="dxa"/>
            <w:left w:w="108" w:type="dxa"/>
            <w:bottom w:w="0" w:type="dxa"/>
            <w:right w:w="108" w:type="dxa"/>
          </w:tblCellMar>
        </w:tblPrEx>
        <w:trPr>
          <w:trHeight w:val="300" w:hRule="atLeast"/>
        </w:trPr>
        <w:tc>
          <w:tcPr>
            <w:tcW w:w="1957" w:type="pct"/>
            <w:tcBorders>
              <w:top w:val="nil"/>
              <w:left w:val="nil"/>
              <w:bottom w:val="single" w:color="808080" w:sz="4" w:space="0"/>
              <w:right w:val="nil"/>
            </w:tcBorders>
            <w:shd w:val="clear" w:color="auto" w:fill="FFFFFF"/>
            <w:noWrap/>
            <w:vAlign w:val="center"/>
          </w:tcPr>
          <w:p>
            <w:pPr>
              <w:textAlignment w:val="center"/>
              <w:rPr>
                <w:color w:val="000000"/>
                <w:sz w:val="12"/>
                <w:szCs w:val="12"/>
              </w:rPr>
            </w:pPr>
            <w:r>
              <w:rPr>
                <w:rFonts w:hint="eastAsia"/>
                <w:color w:val="000000"/>
                <w:sz w:val="12"/>
                <w:szCs w:val="12"/>
              </w:rPr>
              <w:t>公开部门：重庆市荣昌区盘龙镇劳动就业和社会保障服务所</w:t>
            </w:r>
          </w:p>
        </w:tc>
        <w:tc>
          <w:tcPr>
            <w:tcW w:w="130"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30"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359" w:type="pct"/>
            <w:tcBorders>
              <w:top w:val="nil"/>
              <w:left w:val="nil"/>
              <w:bottom w:val="single" w:color="808080" w:sz="4" w:space="0"/>
              <w:right w:val="nil"/>
            </w:tcBorders>
            <w:shd w:val="clear" w:color="auto" w:fill="FFFFFF"/>
            <w:noWrap/>
            <w:vAlign w:val="center"/>
          </w:tcPr>
          <w:p>
            <w:pPr>
              <w:jc w:val="center"/>
              <w:rPr>
                <w:color w:val="000000"/>
                <w:sz w:val="12"/>
                <w:szCs w:val="12"/>
              </w:rPr>
            </w:pPr>
          </w:p>
        </w:tc>
        <w:tc>
          <w:tcPr>
            <w:tcW w:w="320" w:type="pct"/>
            <w:tcBorders>
              <w:top w:val="nil"/>
              <w:left w:val="nil"/>
              <w:bottom w:val="single" w:color="808080" w:sz="4" w:space="0"/>
              <w:right w:val="nil"/>
            </w:tcBorders>
            <w:shd w:val="clear" w:color="auto" w:fill="FFFFFF"/>
            <w:noWrap/>
            <w:vAlign w:val="center"/>
          </w:tcPr>
          <w:p>
            <w:pPr>
              <w:rPr>
                <w:color w:val="000000"/>
                <w:sz w:val="12"/>
                <w:szCs w:val="12"/>
              </w:rPr>
            </w:pPr>
          </w:p>
        </w:tc>
        <w:tc>
          <w:tcPr>
            <w:tcW w:w="544" w:type="pct"/>
            <w:tcBorders>
              <w:top w:val="nil"/>
              <w:left w:val="nil"/>
              <w:bottom w:val="single" w:color="808080" w:sz="4" w:space="0"/>
              <w:right w:val="nil"/>
            </w:tcBorders>
            <w:shd w:val="clear" w:color="auto" w:fill="FFFFFF"/>
            <w:noWrap/>
            <w:vAlign w:val="center"/>
          </w:tcPr>
          <w:p>
            <w:pPr>
              <w:rPr>
                <w:color w:val="000000"/>
                <w:sz w:val="12"/>
                <w:szCs w:val="12"/>
              </w:rPr>
            </w:pPr>
          </w:p>
        </w:tc>
        <w:tc>
          <w:tcPr>
            <w:tcW w:w="558" w:type="pct"/>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单位：万元</w:t>
            </w:r>
          </w:p>
        </w:tc>
      </w:tr>
      <w:tr>
        <w:tblPrEx>
          <w:tblCellMar>
            <w:top w:w="0" w:type="dxa"/>
            <w:left w:w="108" w:type="dxa"/>
            <w:bottom w:w="0" w:type="dxa"/>
            <w:right w:w="108" w:type="dxa"/>
          </w:tblCellMar>
        </w:tblPrEx>
        <w:trPr>
          <w:trHeight w:val="300" w:hRule="atLeast"/>
        </w:trPr>
        <w:tc>
          <w:tcPr>
            <w:tcW w:w="3577" w:type="pct"/>
            <w:gridSpan w:val="4"/>
            <w:tcBorders>
              <w:top w:val="nil"/>
              <w:left w:val="single" w:color="000000" w:sz="4" w:space="0"/>
              <w:bottom w:val="single" w:color="000000" w:sz="4" w:space="0"/>
              <w:right w:val="single" w:color="000000" w:sz="4" w:space="0"/>
            </w:tcBorders>
            <w:shd w:val="clear" w:color="auto" w:fill="FFFFFF"/>
            <w:vAlign w:val="center"/>
          </w:tcPr>
          <w:p>
            <w:pPr>
              <w:jc w:val="both"/>
              <w:textAlignment w:val="center"/>
              <w:rPr>
                <w:b/>
                <w:bCs/>
                <w:color w:val="000000"/>
                <w:sz w:val="12"/>
                <w:szCs w:val="12"/>
              </w:rPr>
            </w:pPr>
            <w:r>
              <w:rPr>
                <w:rFonts w:hint="eastAsia"/>
                <w:b/>
                <w:bCs/>
                <w:color w:val="000000"/>
                <w:sz w:val="12"/>
                <w:szCs w:val="12"/>
              </w:rPr>
              <w:t>项目</w:t>
            </w:r>
          </w:p>
        </w:tc>
        <w:tc>
          <w:tcPr>
            <w:tcW w:w="1422" w:type="pct"/>
            <w:gridSpan w:val="3"/>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本年支出</w:t>
            </w:r>
          </w:p>
        </w:tc>
      </w:tr>
      <w:tr>
        <w:tblPrEx>
          <w:tblCellMar>
            <w:top w:w="0" w:type="dxa"/>
            <w:left w:w="108" w:type="dxa"/>
            <w:bottom w:w="0" w:type="dxa"/>
            <w:right w:w="108" w:type="dxa"/>
          </w:tblCellMar>
        </w:tblPrEx>
        <w:trPr>
          <w:trHeight w:val="300" w:hRule="atLeast"/>
        </w:trPr>
        <w:tc>
          <w:tcPr>
            <w:tcW w:w="2218"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功能分类科目编码</w:t>
            </w:r>
          </w:p>
        </w:tc>
        <w:tc>
          <w:tcPr>
            <w:tcW w:w="1359"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项目（按“项”级功能分类科目）</w:t>
            </w:r>
          </w:p>
        </w:tc>
        <w:tc>
          <w:tcPr>
            <w:tcW w:w="320"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合计</w:t>
            </w:r>
          </w:p>
        </w:tc>
        <w:tc>
          <w:tcPr>
            <w:tcW w:w="544"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基本支出</w:t>
            </w:r>
          </w:p>
        </w:tc>
        <w:tc>
          <w:tcPr>
            <w:tcW w:w="558"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项目支出</w:t>
            </w:r>
          </w:p>
        </w:tc>
      </w:tr>
      <w:tr>
        <w:tblPrEx>
          <w:tblCellMar>
            <w:top w:w="0" w:type="dxa"/>
            <w:left w:w="108" w:type="dxa"/>
            <w:bottom w:w="0" w:type="dxa"/>
            <w:right w:w="108" w:type="dxa"/>
          </w:tblCellMar>
        </w:tblPrEx>
        <w:trPr>
          <w:trHeight w:val="270" w:hRule="atLeast"/>
        </w:trPr>
        <w:tc>
          <w:tcPr>
            <w:tcW w:w="2218"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b/>
                <w:bCs/>
                <w:color w:val="000000"/>
                <w:sz w:val="12"/>
                <w:szCs w:val="12"/>
              </w:rPr>
            </w:pPr>
          </w:p>
        </w:tc>
        <w:tc>
          <w:tcPr>
            <w:tcW w:w="1359"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32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544"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558"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r>
      <w:tr>
        <w:tblPrEx>
          <w:tblCellMar>
            <w:top w:w="0" w:type="dxa"/>
            <w:left w:w="108" w:type="dxa"/>
            <w:bottom w:w="0" w:type="dxa"/>
            <w:right w:w="108" w:type="dxa"/>
          </w:tblCellMar>
        </w:tblPrEx>
        <w:trPr>
          <w:trHeight w:val="600" w:hRule="atLeast"/>
        </w:trPr>
        <w:tc>
          <w:tcPr>
            <w:tcW w:w="2218"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b/>
                <w:bCs/>
                <w:color w:val="000000"/>
                <w:sz w:val="12"/>
                <w:szCs w:val="12"/>
              </w:rPr>
            </w:pPr>
          </w:p>
        </w:tc>
        <w:tc>
          <w:tcPr>
            <w:tcW w:w="1359"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320"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544"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558"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r>
      <w:tr>
        <w:tblPrEx>
          <w:tblCellMar>
            <w:top w:w="0" w:type="dxa"/>
            <w:left w:w="108" w:type="dxa"/>
            <w:bottom w:w="0" w:type="dxa"/>
            <w:right w:w="108" w:type="dxa"/>
          </w:tblCellMar>
        </w:tblPrEx>
        <w:trPr>
          <w:trHeight w:val="300" w:hRule="atLeast"/>
        </w:trPr>
        <w:tc>
          <w:tcPr>
            <w:tcW w:w="3577" w:type="pct"/>
            <w:gridSpan w:val="4"/>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合计</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104.03</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208</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社会保障和就业支出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92.49</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92.49</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20801</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人力资源和社会保障管理事务</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80.96</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80.96</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2080199</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其他人力资源和社会保障管理事务支出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80.96</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80.96</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20805</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行政事业单位养老支出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11.53</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11.53</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2080505</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机关事业单位基本养老保险缴费支出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5.66</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5.66</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2080506</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机关事业单位职业年金缴费支出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2.83</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2.83</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2080599</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其他行政事业单位养老支出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3.04</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3.04</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210</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卫生健康支出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21011</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行政事业单位医疗</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3.64</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2101102</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事业单位医疗</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2.55</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2.55</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2101199</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其他行政事业单位医疗支出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1.09</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1.09</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221</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住房保障支出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22102</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b/>
                <w:bCs/>
                <w:color w:val="000000"/>
                <w:sz w:val="12"/>
                <w:szCs w:val="12"/>
              </w:rPr>
            </w:pPr>
            <w:r>
              <w:rPr>
                <w:rFonts w:hint="eastAsia"/>
                <w:b/>
                <w:bCs/>
                <w:color w:val="000000"/>
                <w:sz w:val="12"/>
                <w:szCs w:val="12"/>
              </w:rPr>
              <w:t>住房改革支出</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12"/>
                <w:szCs w:val="12"/>
              </w:rPr>
            </w:pPr>
            <w:r>
              <w:rPr>
                <w:rFonts w:hint="eastAsia"/>
                <w:b/>
                <w:bCs/>
                <w:color w:val="000000"/>
                <w:sz w:val="12"/>
                <w:szCs w:val="12"/>
              </w:rPr>
              <w:t>7.89</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b/>
                <w:bCs/>
                <w:color w:val="000000"/>
                <w:sz w:val="12"/>
                <w:szCs w:val="12"/>
              </w:rPr>
            </w:pPr>
          </w:p>
        </w:tc>
      </w:tr>
      <w:tr>
        <w:tblPrEx>
          <w:tblCellMar>
            <w:top w:w="0" w:type="dxa"/>
            <w:left w:w="108" w:type="dxa"/>
            <w:bottom w:w="0" w:type="dxa"/>
            <w:right w:w="108" w:type="dxa"/>
          </w:tblCellMar>
        </w:tblPrEx>
        <w:trPr>
          <w:trHeight w:val="300" w:hRule="atLeast"/>
        </w:trPr>
        <w:tc>
          <w:tcPr>
            <w:tcW w:w="2218" w:type="pct"/>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2210201</w:t>
            </w:r>
          </w:p>
        </w:tc>
        <w:tc>
          <w:tcPr>
            <w:tcW w:w="1359"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住房公积金</w:t>
            </w:r>
          </w:p>
        </w:tc>
        <w:tc>
          <w:tcPr>
            <w:tcW w:w="320"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c>
          <w:tcPr>
            <w:tcW w:w="544"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c>
          <w:tcPr>
            <w:tcW w:w="558"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pPr>
              <w:textAlignment w:val="center"/>
              <w:rPr>
                <w:color w:val="000000"/>
                <w:sz w:val="12"/>
                <w:szCs w:val="12"/>
              </w:rPr>
            </w:pPr>
            <w:r>
              <w:rPr>
                <w:rFonts w:hint="eastAsia"/>
                <w:color w:val="000000"/>
                <w:sz w:val="12"/>
                <w:szCs w:val="12"/>
              </w:rPr>
              <w:t>备注：本表反映部门本年度一般公共预算财政拨款支出情况。</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tc>
      </w:tr>
    </w:tbl>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p>
      <w:pPr>
        <w:pStyle w:val="4"/>
        <w:shd w:val="clear" w:color="auto" w:fill="FFFFFF"/>
      </w:pPr>
    </w:p>
    <w:tbl>
      <w:tblPr>
        <w:tblStyle w:val="5"/>
        <w:tblpPr w:leftFromText="180" w:rightFromText="180" w:vertAnchor="text" w:horzAnchor="page" w:tblpXSpec="center" w:tblpY="550"/>
        <w:tblOverlap w:val="never"/>
        <w:tblW w:w="5000" w:type="pct"/>
        <w:jc w:val="center"/>
        <w:tblLayout w:type="autofit"/>
        <w:tblCellMar>
          <w:top w:w="0" w:type="dxa"/>
          <w:left w:w="108" w:type="dxa"/>
          <w:bottom w:w="0" w:type="dxa"/>
          <w:right w:w="108" w:type="dxa"/>
        </w:tblCellMar>
      </w:tblPr>
      <w:tblGrid>
        <w:gridCol w:w="1748"/>
        <w:gridCol w:w="1127"/>
        <w:gridCol w:w="565"/>
        <w:gridCol w:w="577"/>
        <w:gridCol w:w="1300"/>
        <w:gridCol w:w="565"/>
        <w:gridCol w:w="577"/>
        <w:gridCol w:w="1354"/>
        <w:gridCol w:w="710"/>
      </w:tblGrid>
      <w:tr>
        <w:tblPrEx>
          <w:tblCellMar>
            <w:top w:w="0" w:type="dxa"/>
            <w:left w:w="108" w:type="dxa"/>
            <w:bottom w:w="0" w:type="dxa"/>
            <w:right w:w="108" w:type="dxa"/>
          </w:tblCellMar>
        </w:tblPrEx>
        <w:trPr>
          <w:trHeight w:val="555" w:hRule="atLeast"/>
          <w:jc w:val="center"/>
        </w:trPr>
        <w:tc>
          <w:tcPr>
            <w:tcW w:w="1128" w:type="pct"/>
            <w:tcBorders>
              <w:top w:val="nil"/>
              <w:left w:val="nil"/>
              <w:bottom w:val="nil"/>
              <w:right w:val="nil"/>
            </w:tcBorders>
            <w:shd w:val="clear" w:color="auto" w:fill="FFFFFF"/>
            <w:noWrap/>
            <w:vAlign w:val="center"/>
          </w:tcPr>
          <w:p>
            <w:pPr>
              <w:rPr>
                <w:color w:val="000000"/>
                <w:sz w:val="12"/>
                <w:szCs w:val="12"/>
              </w:rPr>
            </w:pPr>
          </w:p>
        </w:tc>
        <w:tc>
          <w:tcPr>
            <w:tcW w:w="684" w:type="pct"/>
            <w:tcBorders>
              <w:top w:val="nil"/>
              <w:left w:val="nil"/>
              <w:bottom w:val="nil"/>
              <w:right w:val="nil"/>
            </w:tcBorders>
            <w:shd w:val="clear" w:color="auto" w:fill="FFFFFF"/>
            <w:noWrap/>
            <w:vAlign w:val="center"/>
          </w:tcPr>
          <w:p>
            <w:pPr>
              <w:rPr>
                <w:color w:val="000000"/>
                <w:sz w:val="12"/>
                <w:szCs w:val="12"/>
              </w:rPr>
            </w:pPr>
          </w:p>
        </w:tc>
        <w:tc>
          <w:tcPr>
            <w:tcW w:w="1666" w:type="pct"/>
            <w:gridSpan w:val="4"/>
            <w:tcBorders>
              <w:top w:val="nil"/>
              <w:left w:val="nil"/>
              <w:bottom w:val="nil"/>
              <w:right w:val="nil"/>
            </w:tcBorders>
            <w:shd w:val="clear" w:color="auto" w:fill="FFFFFF"/>
            <w:noWrap/>
            <w:vAlign w:val="center"/>
          </w:tcPr>
          <w:p>
            <w:pPr>
              <w:rPr>
                <w:color w:val="000000"/>
                <w:sz w:val="21"/>
                <w:szCs w:val="21"/>
              </w:rPr>
            </w:pPr>
            <w:r>
              <w:rPr>
                <w:rFonts w:hint="eastAsia" w:ascii="黑体" w:eastAsia="黑体" w:cs="黑体"/>
                <w:color w:val="000000"/>
                <w:sz w:val="21"/>
                <w:szCs w:val="21"/>
              </w:rPr>
              <w:t>一般公共预算财政拨款基本支出决算表</w:t>
            </w:r>
          </w:p>
        </w:tc>
        <w:tc>
          <w:tcPr>
            <w:tcW w:w="292" w:type="pct"/>
            <w:tcBorders>
              <w:top w:val="nil"/>
              <w:left w:val="nil"/>
              <w:bottom w:val="nil"/>
              <w:right w:val="nil"/>
            </w:tcBorders>
            <w:shd w:val="clear" w:color="auto" w:fill="FFFFFF"/>
            <w:noWrap/>
            <w:vAlign w:val="center"/>
          </w:tcPr>
          <w:p>
            <w:pPr>
              <w:rPr>
                <w:color w:val="000000"/>
                <w:sz w:val="12"/>
                <w:szCs w:val="12"/>
              </w:rPr>
            </w:pPr>
          </w:p>
        </w:tc>
        <w:tc>
          <w:tcPr>
            <w:tcW w:w="845" w:type="pct"/>
            <w:tcBorders>
              <w:top w:val="nil"/>
              <w:left w:val="nil"/>
              <w:bottom w:val="nil"/>
              <w:right w:val="nil"/>
            </w:tcBorders>
            <w:shd w:val="clear" w:color="auto" w:fill="FFFFFF"/>
            <w:noWrap/>
            <w:vAlign w:val="center"/>
          </w:tcPr>
          <w:p>
            <w:pPr>
              <w:rPr>
                <w:color w:val="000000"/>
                <w:sz w:val="12"/>
                <w:szCs w:val="12"/>
              </w:rPr>
            </w:pPr>
          </w:p>
        </w:tc>
        <w:tc>
          <w:tcPr>
            <w:tcW w:w="383" w:type="pct"/>
            <w:tcBorders>
              <w:top w:val="nil"/>
              <w:left w:val="nil"/>
              <w:bottom w:val="nil"/>
              <w:right w:val="single" w:color="808080" w:sz="4" w:space="0"/>
            </w:tcBorders>
            <w:shd w:val="clear" w:color="auto" w:fill="FFFFFF"/>
            <w:noWrap/>
            <w:vAlign w:val="center"/>
          </w:tcPr>
          <w:p>
            <w:pPr>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nil"/>
              <w:bottom w:val="nil"/>
              <w:right w:val="nil"/>
            </w:tcBorders>
            <w:shd w:val="clear" w:color="auto" w:fill="FFFFFF"/>
            <w:noWrap/>
            <w:vAlign w:val="center"/>
          </w:tcPr>
          <w:p>
            <w:pPr>
              <w:rPr>
                <w:rFonts w:ascii="Tahoma" w:hAnsi="Tahoma" w:eastAsia="Tahoma" w:cs="Tahoma"/>
                <w:color w:val="000000"/>
                <w:sz w:val="12"/>
                <w:szCs w:val="12"/>
              </w:rPr>
            </w:pPr>
          </w:p>
        </w:tc>
        <w:tc>
          <w:tcPr>
            <w:tcW w:w="684" w:type="pct"/>
            <w:tcBorders>
              <w:top w:val="nil"/>
              <w:left w:val="nil"/>
              <w:bottom w:val="nil"/>
              <w:right w:val="nil"/>
            </w:tcBorders>
            <w:shd w:val="clear" w:color="auto" w:fill="FFFFFF"/>
            <w:noWrap/>
            <w:vAlign w:val="center"/>
          </w:tcPr>
          <w:p>
            <w:pPr>
              <w:rPr>
                <w:color w:val="000000"/>
                <w:sz w:val="12"/>
                <w:szCs w:val="12"/>
              </w:rPr>
            </w:pPr>
          </w:p>
        </w:tc>
        <w:tc>
          <w:tcPr>
            <w:tcW w:w="282" w:type="pct"/>
            <w:tcBorders>
              <w:top w:val="nil"/>
              <w:left w:val="nil"/>
              <w:bottom w:val="nil"/>
              <w:right w:val="nil"/>
            </w:tcBorders>
            <w:shd w:val="clear" w:color="auto" w:fill="FFFFFF"/>
            <w:noWrap/>
            <w:vAlign w:val="center"/>
          </w:tcPr>
          <w:p>
            <w:pPr>
              <w:rPr>
                <w:color w:val="000000"/>
                <w:sz w:val="12"/>
                <w:szCs w:val="12"/>
              </w:rPr>
            </w:pPr>
          </w:p>
        </w:tc>
        <w:tc>
          <w:tcPr>
            <w:tcW w:w="292" w:type="pct"/>
            <w:tcBorders>
              <w:top w:val="nil"/>
              <w:left w:val="nil"/>
              <w:bottom w:val="nil"/>
              <w:right w:val="nil"/>
            </w:tcBorders>
            <w:shd w:val="clear" w:color="auto" w:fill="FFFFFF"/>
            <w:noWrap/>
            <w:vAlign w:val="center"/>
          </w:tcPr>
          <w:p>
            <w:pPr>
              <w:rPr>
                <w:color w:val="000000"/>
                <w:sz w:val="12"/>
                <w:szCs w:val="12"/>
              </w:rPr>
            </w:pPr>
          </w:p>
        </w:tc>
        <w:tc>
          <w:tcPr>
            <w:tcW w:w="808" w:type="pct"/>
            <w:tcBorders>
              <w:top w:val="nil"/>
              <w:left w:val="nil"/>
              <w:bottom w:val="nil"/>
              <w:right w:val="nil"/>
            </w:tcBorders>
            <w:shd w:val="clear" w:color="auto" w:fill="FFFFFF"/>
            <w:noWrap/>
            <w:vAlign w:val="center"/>
          </w:tcPr>
          <w:p>
            <w:pPr>
              <w:rPr>
                <w:color w:val="000000"/>
                <w:sz w:val="12"/>
                <w:szCs w:val="12"/>
              </w:rPr>
            </w:pPr>
          </w:p>
        </w:tc>
        <w:tc>
          <w:tcPr>
            <w:tcW w:w="282" w:type="pct"/>
            <w:tcBorders>
              <w:top w:val="nil"/>
              <w:left w:val="nil"/>
              <w:bottom w:val="nil"/>
              <w:right w:val="nil"/>
            </w:tcBorders>
            <w:shd w:val="clear" w:color="auto" w:fill="FFFFFF"/>
            <w:noWrap/>
            <w:vAlign w:val="center"/>
          </w:tcPr>
          <w:p>
            <w:pPr>
              <w:rPr>
                <w:color w:val="000000"/>
                <w:sz w:val="12"/>
                <w:szCs w:val="12"/>
              </w:rPr>
            </w:pPr>
          </w:p>
        </w:tc>
        <w:tc>
          <w:tcPr>
            <w:tcW w:w="292" w:type="pct"/>
            <w:tcBorders>
              <w:top w:val="nil"/>
              <w:left w:val="nil"/>
              <w:bottom w:val="nil"/>
              <w:right w:val="nil"/>
            </w:tcBorders>
            <w:shd w:val="clear" w:color="auto" w:fill="FFFFFF"/>
            <w:noWrap/>
            <w:vAlign w:val="center"/>
          </w:tcPr>
          <w:p>
            <w:pPr>
              <w:rPr>
                <w:color w:val="000000"/>
                <w:sz w:val="12"/>
                <w:szCs w:val="12"/>
              </w:rPr>
            </w:pPr>
          </w:p>
        </w:tc>
        <w:tc>
          <w:tcPr>
            <w:tcW w:w="845" w:type="pct"/>
            <w:tcBorders>
              <w:top w:val="nil"/>
              <w:left w:val="nil"/>
              <w:bottom w:val="nil"/>
              <w:right w:val="nil"/>
            </w:tcBorders>
            <w:shd w:val="clear" w:color="auto" w:fill="FFFFFF"/>
            <w:noWrap/>
            <w:vAlign w:val="center"/>
          </w:tcPr>
          <w:p>
            <w:pPr>
              <w:rPr>
                <w:color w:val="000000"/>
                <w:sz w:val="12"/>
                <w:szCs w:val="12"/>
              </w:rPr>
            </w:pPr>
          </w:p>
        </w:tc>
        <w:tc>
          <w:tcPr>
            <w:tcW w:w="383" w:type="pct"/>
            <w:tcBorders>
              <w:top w:val="nil"/>
              <w:left w:val="nil"/>
              <w:bottom w:val="nil"/>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公开06表</w:t>
            </w:r>
          </w:p>
        </w:tc>
      </w:tr>
      <w:tr>
        <w:tblPrEx>
          <w:tblCellMar>
            <w:top w:w="0" w:type="dxa"/>
            <w:left w:w="108" w:type="dxa"/>
            <w:bottom w:w="0" w:type="dxa"/>
            <w:right w:w="108" w:type="dxa"/>
          </w:tblCellMar>
        </w:tblPrEx>
        <w:trPr>
          <w:trHeight w:val="300" w:hRule="atLeast"/>
          <w:jc w:val="center"/>
        </w:trPr>
        <w:tc>
          <w:tcPr>
            <w:tcW w:w="1128" w:type="pct"/>
            <w:tcBorders>
              <w:top w:val="nil"/>
              <w:left w:val="nil"/>
              <w:bottom w:val="single" w:color="808080" w:sz="4" w:space="0"/>
              <w:right w:val="nil"/>
            </w:tcBorders>
            <w:shd w:val="clear" w:color="auto" w:fill="FFFFFF"/>
            <w:noWrap/>
            <w:vAlign w:val="center"/>
          </w:tcPr>
          <w:p>
            <w:pPr>
              <w:textAlignment w:val="center"/>
              <w:rPr>
                <w:color w:val="000000"/>
                <w:sz w:val="12"/>
                <w:szCs w:val="12"/>
              </w:rPr>
            </w:pPr>
            <w:r>
              <w:rPr>
                <w:rFonts w:hint="eastAsia"/>
                <w:color w:val="000000"/>
                <w:sz w:val="12"/>
                <w:szCs w:val="12"/>
              </w:rPr>
              <w:t>公开部门：重庆市荣昌区盘龙镇劳动就业和社会保障服务所</w:t>
            </w:r>
          </w:p>
        </w:tc>
        <w:tc>
          <w:tcPr>
            <w:tcW w:w="684" w:type="pct"/>
            <w:tcBorders>
              <w:top w:val="nil"/>
              <w:left w:val="nil"/>
              <w:bottom w:val="single" w:color="808080" w:sz="4" w:space="0"/>
              <w:right w:val="nil"/>
            </w:tcBorders>
            <w:shd w:val="clear" w:color="auto" w:fill="FFFFFF"/>
            <w:noWrap/>
            <w:vAlign w:val="center"/>
          </w:tcPr>
          <w:p>
            <w:pPr>
              <w:rPr>
                <w:color w:val="000000"/>
                <w:sz w:val="12"/>
                <w:szCs w:val="12"/>
              </w:rPr>
            </w:pPr>
          </w:p>
        </w:tc>
        <w:tc>
          <w:tcPr>
            <w:tcW w:w="282" w:type="pct"/>
            <w:tcBorders>
              <w:top w:val="nil"/>
              <w:left w:val="nil"/>
              <w:bottom w:val="single" w:color="808080" w:sz="4" w:space="0"/>
              <w:right w:val="nil"/>
            </w:tcBorders>
            <w:shd w:val="clear" w:color="auto" w:fill="FFFFFF"/>
            <w:noWrap/>
            <w:vAlign w:val="center"/>
          </w:tcPr>
          <w:p>
            <w:pPr>
              <w:rPr>
                <w:color w:val="000000"/>
                <w:sz w:val="12"/>
                <w:szCs w:val="12"/>
              </w:rPr>
            </w:pPr>
          </w:p>
        </w:tc>
        <w:tc>
          <w:tcPr>
            <w:tcW w:w="292" w:type="pct"/>
            <w:tcBorders>
              <w:top w:val="nil"/>
              <w:left w:val="nil"/>
              <w:bottom w:val="single" w:color="808080" w:sz="4" w:space="0"/>
              <w:right w:val="nil"/>
            </w:tcBorders>
            <w:shd w:val="clear" w:color="auto" w:fill="FFFFFF"/>
            <w:noWrap/>
            <w:vAlign w:val="center"/>
          </w:tcPr>
          <w:p>
            <w:pPr>
              <w:rPr>
                <w:color w:val="000000"/>
                <w:sz w:val="12"/>
                <w:szCs w:val="12"/>
              </w:rPr>
            </w:pPr>
          </w:p>
        </w:tc>
        <w:tc>
          <w:tcPr>
            <w:tcW w:w="808" w:type="pct"/>
            <w:tcBorders>
              <w:top w:val="nil"/>
              <w:left w:val="nil"/>
              <w:bottom w:val="single" w:color="808080" w:sz="4" w:space="0"/>
              <w:right w:val="nil"/>
            </w:tcBorders>
            <w:shd w:val="clear" w:color="auto" w:fill="FFFFFF"/>
            <w:noWrap/>
            <w:vAlign w:val="center"/>
          </w:tcPr>
          <w:p>
            <w:pPr>
              <w:jc w:val="center"/>
              <w:rPr>
                <w:color w:val="000000"/>
                <w:sz w:val="12"/>
                <w:szCs w:val="12"/>
              </w:rPr>
            </w:pPr>
          </w:p>
        </w:tc>
        <w:tc>
          <w:tcPr>
            <w:tcW w:w="282" w:type="pct"/>
            <w:tcBorders>
              <w:top w:val="nil"/>
              <w:left w:val="nil"/>
              <w:bottom w:val="single" w:color="808080" w:sz="4" w:space="0"/>
              <w:right w:val="nil"/>
            </w:tcBorders>
            <w:shd w:val="clear" w:color="auto" w:fill="FFFFFF"/>
            <w:noWrap/>
            <w:vAlign w:val="center"/>
          </w:tcPr>
          <w:p>
            <w:pPr>
              <w:rPr>
                <w:color w:val="000000"/>
                <w:sz w:val="12"/>
                <w:szCs w:val="12"/>
              </w:rPr>
            </w:pPr>
          </w:p>
        </w:tc>
        <w:tc>
          <w:tcPr>
            <w:tcW w:w="292" w:type="pct"/>
            <w:tcBorders>
              <w:top w:val="nil"/>
              <w:left w:val="nil"/>
              <w:bottom w:val="single" w:color="808080" w:sz="4" w:space="0"/>
              <w:right w:val="nil"/>
            </w:tcBorders>
            <w:shd w:val="clear" w:color="auto" w:fill="FFFFFF"/>
            <w:noWrap/>
            <w:vAlign w:val="center"/>
          </w:tcPr>
          <w:p>
            <w:pPr>
              <w:rPr>
                <w:color w:val="000000"/>
                <w:sz w:val="12"/>
                <w:szCs w:val="12"/>
              </w:rPr>
            </w:pPr>
          </w:p>
        </w:tc>
        <w:tc>
          <w:tcPr>
            <w:tcW w:w="845" w:type="pct"/>
            <w:tcBorders>
              <w:top w:val="nil"/>
              <w:left w:val="nil"/>
              <w:bottom w:val="single" w:color="808080" w:sz="4" w:space="0"/>
              <w:right w:val="nil"/>
            </w:tcBorders>
            <w:shd w:val="clear" w:color="auto" w:fill="FFFFFF"/>
            <w:noWrap/>
            <w:vAlign w:val="center"/>
          </w:tcPr>
          <w:p>
            <w:pPr>
              <w:rPr>
                <w:color w:val="000000"/>
                <w:sz w:val="12"/>
                <w:szCs w:val="12"/>
              </w:rPr>
            </w:pPr>
          </w:p>
        </w:tc>
        <w:tc>
          <w:tcPr>
            <w:tcW w:w="383" w:type="pct"/>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单位：万元</w:t>
            </w:r>
          </w:p>
        </w:tc>
      </w:tr>
      <w:tr>
        <w:tblPrEx>
          <w:tblCellMar>
            <w:top w:w="0" w:type="dxa"/>
            <w:left w:w="108" w:type="dxa"/>
            <w:bottom w:w="0" w:type="dxa"/>
            <w:right w:w="108" w:type="dxa"/>
          </w:tblCellMar>
        </w:tblPrEx>
        <w:trPr>
          <w:trHeight w:val="300" w:hRule="atLeast"/>
          <w:jc w:val="center"/>
        </w:trPr>
        <w:tc>
          <w:tcPr>
            <w:tcW w:w="2095" w:type="pct"/>
            <w:gridSpan w:val="3"/>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人员经费</w:t>
            </w:r>
          </w:p>
        </w:tc>
        <w:tc>
          <w:tcPr>
            <w:tcW w:w="2904" w:type="pct"/>
            <w:gridSpan w:val="6"/>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公用经费</w:t>
            </w:r>
          </w:p>
        </w:tc>
      </w:tr>
      <w:tr>
        <w:tblPrEx>
          <w:tblCellMar>
            <w:top w:w="0" w:type="dxa"/>
            <w:left w:w="108" w:type="dxa"/>
            <w:bottom w:w="0" w:type="dxa"/>
            <w:right w:w="108" w:type="dxa"/>
          </w:tblCellMar>
        </w:tblPrEx>
        <w:trPr>
          <w:trHeight w:val="300" w:hRule="atLeast"/>
          <w:jc w:val="center"/>
        </w:trPr>
        <w:tc>
          <w:tcPr>
            <w:tcW w:w="1128" w:type="pct"/>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经济分类科目编码</w:t>
            </w:r>
          </w:p>
        </w:tc>
        <w:tc>
          <w:tcPr>
            <w:tcW w:w="684"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经济分类科目（按“款”级功能分类科目）</w:t>
            </w:r>
          </w:p>
        </w:tc>
        <w:tc>
          <w:tcPr>
            <w:tcW w:w="282"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金额</w:t>
            </w:r>
          </w:p>
        </w:tc>
        <w:tc>
          <w:tcPr>
            <w:tcW w:w="292"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经济分类科目编码</w:t>
            </w:r>
          </w:p>
        </w:tc>
        <w:tc>
          <w:tcPr>
            <w:tcW w:w="808"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经济分类科目（按“款”级功能分类科目）</w:t>
            </w:r>
          </w:p>
        </w:tc>
        <w:tc>
          <w:tcPr>
            <w:tcW w:w="282"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金额</w:t>
            </w:r>
          </w:p>
        </w:tc>
        <w:tc>
          <w:tcPr>
            <w:tcW w:w="292"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经济分类科目编码</w:t>
            </w:r>
          </w:p>
        </w:tc>
        <w:tc>
          <w:tcPr>
            <w:tcW w:w="845"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经济分类科目（按“款”级功能分类科目）</w:t>
            </w:r>
          </w:p>
        </w:tc>
        <w:tc>
          <w:tcPr>
            <w:tcW w:w="383" w:type="pct"/>
            <w:vMerge w:val="restart"/>
            <w:tcBorders>
              <w:top w:val="nil"/>
              <w:left w:val="nil"/>
              <w:bottom w:val="single" w:color="000000" w:sz="4" w:space="0"/>
              <w:right w:val="single" w:color="000000" w:sz="4" w:space="0"/>
            </w:tcBorders>
            <w:shd w:val="clear" w:color="auto" w:fill="FFFFFF"/>
            <w:vAlign w:val="center"/>
          </w:tcPr>
          <w:p>
            <w:pPr>
              <w:jc w:val="center"/>
              <w:textAlignment w:val="center"/>
              <w:rPr>
                <w:b/>
                <w:bCs/>
                <w:color w:val="000000"/>
                <w:sz w:val="12"/>
                <w:szCs w:val="12"/>
              </w:rPr>
            </w:pPr>
            <w:r>
              <w:rPr>
                <w:rFonts w:hint="eastAsia"/>
                <w:b/>
                <w:bCs/>
                <w:color w:val="000000"/>
                <w:sz w:val="12"/>
                <w:szCs w:val="12"/>
              </w:rPr>
              <w:t>金额</w:t>
            </w:r>
          </w:p>
        </w:tc>
      </w:tr>
      <w:tr>
        <w:tblPrEx>
          <w:tblCellMar>
            <w:top w:w="0" w:type="dxa"/>
            <w:left w:w="108" w:type="dxa"/>
            <w:bottom w:w="0" w:type="dxa"/>
            <w:right w:w="108" w:type="dxa"/>
          </w:tblCellMar>
        </w:tblPrEx>
        <w:trPr>
          <w:trHeight w:val="600" w:hRule="atLeast"/>
          <w:jc w:val="center"/>
        </w:trPr>
        <w:tc>
          <w:tcPr>
            <w:tcW w:w="1128"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b/>
                <w:bCs/>
                <w:color w:val="000000"/>
                <w:sz w:val="12"/>
                <w:szCs w:val="12"/>
              </w:rPr>
            </w:pPr>
          </w:p>
        </w:tc>
        <w:tc>
          <w:tcPr>
            <w:tcW w:w="684"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282"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292"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808"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282"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292"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845"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c>
          <w:tcPr>
            <w:tcW w:w="383" w:type="pct"/>
            <w:vMerge w:val="continue"/>
            <w:tcBorders>
              <w:top w:val="nil"/>
              <w:left w:val="nil"/>
              <w:bottom w:val="single" w:color="000000" w:sz="4" w:space="0"/>
              <w:right w:val="single" w:color="000000" w:sz="4" w:space="0"/>
            </w:tcBorders>
            <w:shd w:val="clear" w:color="auto" w:fill="FFFFFF"/>
            <w:vAlign w:val="center"/>
          </w:tcPr>
          <w:p>
            <w:pPr>
              <w:jc w:val="center"/>
              <w:rPr>
                <w:b/>
                <w:bCs/>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工资福利支出</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83.61</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商品和服务支出</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16.54</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资本性支出</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30101</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基本工资</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20.59</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30201</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办公费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1.00</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31001</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房屋建筑物购建</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30102</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津贴补贴</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3.49</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30202</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印刷费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31002</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办公设备购置</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30103</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奖金</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30203</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咨询费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31003</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专用设备购置</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30106</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伙食补助费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30204</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手续费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31005</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基础设施建设</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30107</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绩效工资</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39.20</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30205</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水费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0.29</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31006</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大型修缮</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30108</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机关事业单位基本养老保险费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5.66</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30206</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电费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1.11</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31007</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信息网络及软件购置更新</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30109</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职业年金缴费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2.83</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30207</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邮电费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0.78</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31008</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物资储备</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30110</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职工基本医疗保险缴费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2.55</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30208</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取暖费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31009</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土地补偿</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30111</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公务员医疗补助缴费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30209</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物业管理费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31010</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安置补助</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30112</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其他社会保障缴费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0.75</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30211</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差旅费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7.12</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31011</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地上附着物和青苗补偿</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30113</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住房公积金</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7.89</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30212</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因公出国（境）费用</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31012</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拆迁补偿</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30114</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医疗费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0.64</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30213</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维修（护）费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31013</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公务用车购置</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30199</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其他工资福利支出</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30214</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租赁费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31019</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其他交通工具购置</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对个人和家庭的补助</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3.88</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30215</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会议费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31021</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文物和陈列品购置</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30301</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离休费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30216</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培训费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0.43</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31022</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无形资产购置</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30302</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退休费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30217</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公务接待费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31099</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其他资本性支出</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30303</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退职（役）费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30218</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专用材料费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312</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对企业补助</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30304</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抚恤金</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30224</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被装购置费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31201</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资本金注入</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30305</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生活补助</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3.68</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30225</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专用燃料费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31203</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政府投资基金股权投资</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30306</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救济费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30226</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劳务费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31204</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费用补贴</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30307</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医疗费补助</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0.20</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30227</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委托业务费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31205</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利息补贴</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30308</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助学金</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30228</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工会经费</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3.80</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31299</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其他对企业补助</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30309</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奖励金</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30229</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福利费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399</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其他支出</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30310</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个人农业生产补贴</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30231</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公务用车运行维护费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39907</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国家赔偿费用支出</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30311</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代缴社会保险费</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30239</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其他交通费用</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39908</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对民间非营利组织和群众性自治组织补贴</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30399</w:t>
            </w:r>
          </w:p>
        </w:tc>
        <w:tc>
          <w:tcPr>
            <w:tcW w:w="684"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其他个人和家庭的补助支出</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30240</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税金及附加费用</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39909</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经常性赠与</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684"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30299</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其他商品和服务支出</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2.00</w:t>
            </w: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39910</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资本性赠与</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684"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307</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债务利息及费用支出</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39999</w:t>
            </w:r>
          </w:p>
        </w:tc>
        <w:tc>
          <w:tcPr>
            <w:tcW w:w="845"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其他支出</w:t>
            </w: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684"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30701</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国内债务付息</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845"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684"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30702</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国外债务付息</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845"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684"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30703</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国内债务发行费用</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845"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128" w:type="pct"/>
            <w:tcBorders>
              <w:top w:val="nil"/>
              <w:left w:val="single" w:color="000000" w:sz="4" w:space="0"/>
              <w:bottom w:val="single" w:color="000000" w:sz="4" w:space="0"/>
              <w:right w:val="single" w:color="000000" w:sz="4" w:space="0"/>
            </w:tcBorders>
            <w:shd w:val="clear" w:color="auto" w:fill="FFFFFF"/>
            <w:noWrap/>
            <w:vAlign w:val="center"/>
          </w:tcPr>
          <w:p>
            <w:pPr>
              <w:rPr>
                <w:color w:val="000000"/>
                <w:sz w:val="12"/>
                <w:szCs w:val="12"/>
              </w:rPr>
            </w:pPr>
          </w:p>
        </w:tc>
        <w:tc>
          <w:tcPr>
            <w:tcW w:w="684"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30704</w:t>
            </w:r>
          </w:p>
        </w:tc>
        <w:tc>
          <w:tcPr>
            <w:tcW w:w="80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国外债务发行费用</w:t>
            </w:r>
          </w:p>
        </w:tc>
        <w:tc>
          <w:tcPr>
            <w:tcW w:w="282"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292"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845"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38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jc w:val="center"/>
        </w:trPr>
        <w:tc>
          <w:tcPr>
            <w:tcW w:w="1812" w:type="pct"/>
            <w:gridSpan w:val="2"/>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人员经费合计</w:t>
            </w:r>
          </w:p>
        </w:tc>
        <w:tc>
          <w:tcPr>
            <w:tcW w:w="282"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87.49</w:t>
            </w:r>
          </w:p>
        </w:tc>
        <w:tc>
          <w:tcPr>
            <w:tcW w:w="2521" w:type="pct"/>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公用经费合计</w:t>
            </w:r>
          </w:p>
        </w:tc>
        <w:tc>
          <w:tcPr>
            <w:tcW w:w="383"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16.54</w:t>
            </w:r>
          </w:p>
        </w:tc>
      </w:tr>
      <w:tr>
        <w:tblPrEx>
          <w:tblCellMar>
            <w:top w:w="0" w:type="dxa"/>
            <w:left w:w="108" w:type="dxa"/>
            <w:bottom w:w="0" w:type="dxa"/>
            <w:right w:w="108" w:type="dxa"/>
          </w:tblCellMar>
        </w:tblPrEx>
        <w:trPr>
          <w:trHeight w:val="300" w:hRule="atLeast"/>
          <w:jc w:val="center"/>
        </w:trPr>
        <w:tc>
          <w:tcPr>
            <w:tcW w:w="5000" w:type="pct"/>
            <w:gridSpan w:val="9"/>
            <w:tcBorders>
              <w:top w:val="nil"/>
              <w:left w:val="nil"/>
              <w:bottom w:val="nil"/>
              <w:right w:val="nil"/>
            </w:tcBorders>
            <w:shd w:val="clear" w:color="auto" w:fill="FFFFFF"/>
            <w:vAlign w:val="center"/>
          </w:tcPr>
          <w:p>
            <w:pPr>
              <w:textAlignment w:val="center"/>
              <w:rPr>
                <w:color w:val="000000"/>
                <w:sz w:val="12"/>
                <w:szCs w:val="12"/>
              </w:rPr>
            </w:pPr>
            <w:r>
              <w:rPr>
                <w:rFonts w:hint="eastAsia"/>
                <w:color w:val="000000"/>
                <w:sz w:val="12"/>
                <w:szCs w:val="12"/>
              </w:rPr>
              <w:t>注：本表反映部门本年度一般公共预算财政拨款基本支出明细情况。</w:t>
            </w:r>
          </w:p>
        </w:tc>
      </w:tr>
      <w:tr>
        <w:tblPrEx>
          <w:tblCellMar>
            <w:top w:w="0" w:type="dxa"/>
            <w:left w:w="108" w:type="dxa"/>
            <w:bottom w:w="0" w:type="dxa"/>
            <w:right w:w="108" w:type="dxa"/>
          </w:tblCellMar>
        </w:tblPrEx>
        <w:trPr>
          <w:trHeight w:val="300" w:hRule="atLeast"/>
          <w:jc w:val="center"/>
        </w:trPr>
        <w:tc>
          <w:tcPr>
            <w:tcW w:w="5000" w:type="pct"/>
            <w:gridSpan w:val="9"/>
            <w:tcBorders>
              <w:top w:val="nil"/>
              <w:left w:val="nil"/>
              <w:bottom w:val="nil"/>
              <w:right w:val="nil"/>
            </w:tcBorders>
            <w:shd w:val="clear" w:color="auto" w:fill="FFFFFF"/>
            <w:vAlign w:val="center"/>
          </w:tcPr>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tbl>
            <w:tblPr>
              <w:tblStyle w:val="5"/>
              <w:tblW w:w="821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6"/>
              <w:gridCol w:w="2477"/>
              <w:gridCol w:w="110"/>
              <w:gridCol w:w="241"/>
              <w:gridCol w:w="241"/>
              <w:gridCol w:w="153"/>
              <w:gridCol w:w="152"/>
              <w:gridCol w:w="110"/>
              <w:gridCol w:w="195"/>
              <w:gridCol w:w="194"/>
              <w:gridCol w:w="170"/>
              <w:gridCol w:w="170"/>
              <w:gridCol w:w="205"/>
              <w:gridCol w:w="204"/>
              <w:gridCol w:w="190"/>
              <w:gridCol w:w="305"/>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555" w:hRule="atLeast"/>
              </w:trPr>
              <w:tc>
                <w:tcPr>
                  <w:tcW w:w="23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283" w:type="dxa"/>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政府性基金预算财政拨款收入支出决算表</w:t>
                  </w:r>
                </w:p>
              </w:tc>
              <w:tc>
                <w:tcPr>
                  <w:tcW w:w="450"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4"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7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color w:val="000000"/>
                      <w:sz w:val="12"/>
                      <w:szCs w:val="12"/>
                    </w:rPr>
                    <w:t>公开部门：重庆市荣昌区盘龙镇劳动就业和社会保障服务所</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5072"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557" w:type="dxa"/>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年初结转和结余</w:t>
                  </w:r>
                </w:p>
              </w:tc>
              <w:tc>
                <w:tcPr>
                  <w:tcW w:w="450" w:type="dxa"/>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w:t>
                  </w:r>
                </w:p>
              </w:tc>
              <w:tc>
                <w:tcPr>
                  <w:tcW w:w="129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c>
                <w:tcPr>
                  <w:tcW w:w="837"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3064"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2008" w:type="dxa"/>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557"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50"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84" w:type="dxa"/>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477" w:type="dxa"/>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437" w:type="dxa"/>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c>
                <w:tcPr>
                  <w:tcW w:w="837"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3064"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008"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557"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50"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84"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77"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7"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37"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00" w:hRule="atLeast"/>
              </w:trPr>
              <w:tc>
                <w:tcPr>
                  <w:tcW w:w="3064"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008"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557"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50"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84"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77"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7"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37"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5072"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gridSpan w:val="17"/>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bl>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tbl>
            <w:tblPr>
              <w:tblStyle w:val="5"/>
              <w:tblW w:w="821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7"/>
              <w:gridCol w:w="5"/>
              <w:gridCol w:w="1156"/>
              <w:gridCol w:w="5"/>
              <w:gridCol w:w="1161"/>
              <w:gridCol w:w="833"/>
              <w:gridCol w:w="417"/>
              <w:gridCol w:w="794"/>
              <w:gridCol w:w="367"/>
              <w:gridCol w:w="553"/>
              <w:gridCol w:w="697"/>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555" w:hRule="atLeast"/>
              </w:trPr>
              <w:tc>
                <w:tcPr>
                  <w:tcW w:w="1173" w:type="dxa"/>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173" w:type="dxa"/>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519" w:type="dxa"/>
                  <w:gridSpan w:val="5"/>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国有资本经营预算财政拨款支出决算表</w:t>
                  </w:r>
                </w:p>
              </w:tc>
              <w:tc>
                <w:tcPr>
                  <w:tcW w:w="1173" w:type="dxa"/>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175" w:type="dxa"/>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color w:val="000000"/>
                      <w:sz w:val="12"/>
                      <w:szCs w:val="12"/>
                    </w:rPr>
                    <w:t>公开部门：重庆市荣昌区盘龙镇劳动就业和社会保障服务所</w:t>
                  </w:r>
                  <w:bookmarkStart w:id="0" w:name="_GoBack"/>
                  <w:bookmarkEnd w:id="0"/>
                </w:p>
              </w:tc>
              <w:tc>
                <w:tcPr>
                  <w:tcW w:w="0" w:type="auto"/>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117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1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c>
                <w:tcPr>
                  <w:tcW w:w="117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c>
                <w:tcPr>
                  <w:tcW w:w="11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117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科目名称</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17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1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70" w:hRule="atLeast"/>
              </w:trPr>
              <w:tc>
                <w:tcPr>
                  <w:tcW w:w="117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科目名称</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17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1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00" w:hRule="atLeast"/>
              </w:trPr>
              <w:tc>
                <w:tcPr>
                  <w:tcW w:w="117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科目名称</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17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1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117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173"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1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0" w:type="auto"/>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trHeight w:val="300" w:hRule="atLeast"/>
              </w:trPr>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bl>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p>
            <w:pPr>
              <w:textAlignment w:val="center"/>
              <w:rPr>
                <w:rFonts w:hint="eastAsia"/>
                <w:color w:val="000000"/>
                <w:sz w:val="12"/>
                <w:szCs w:val="12"/>
              </w:rPr>
            </w:pPr>
          </w:p>
        </w:tc>
      </w:tr>
      <w:tr>
        <w:tblPrEx>
          <w:tblCellMar>
            <w:top w:w="0" w:type="dxa"/>
            <w:left w:w="108" w:type="dxa"/>
            <w:bottom w:w="0" w:type="dxa"/>
            <w:right w:w="108" w:type="dxa"/>
          </w:tblCellMar>
        </w:tblPrEx>
        <w:trPr>
          <w:trHeight w:val="300" w:hRule="atLeast"/>
          <w:jc w:val="center"/>
        </w:trPr>
        <w:tc>
          <w:tcPr>
            <w:tcW w:w="5000" w:type="pct"/>
            <w:gridSpan w:val="9"/>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p>
            <w:pPr>
              <w:rPr>
                <w:rFonts w:ascii="Tahoma" w:hAnsi="Tahoma" w:eastAsia="Tahoma" w:cs="Tahoma"/>
                <w:color w:val="000000"/>
                <w:sz w:val="12"/>
                <w:szCs w:val="12"/>
              </w:rPr>
            </w:pPr>
          </w:p>
          <w:p>
            <w:pPr>
              <w:rPr>
                <w:rFonts w:ascii="Tahoma" w:hAnsi="Tahoma" w:eastAsia="Tahoma" w:cs="Tahoma"/>
                <w:color w:val="000000"/>
                <w:sz w:val="12"/>
                <w:szCs w:val="12"/>
              </w:rPr>
            </w:pPr>
          </w:p>
          <w:p>
            <w:pPr>
              <w:rPr>
                <w:rFonts w:ascii="Tahoma" w:hAnsi="Tahoma" w:eastAsia="Tahoma" w:cs="Tahoma"/>
                <w:color w:val="000000"/>
                <w:sz w:val="12"/>
                <w:szCs w:val="12"/>
              </w:rPr>
            </w:pPr>
          </w:p>
          <w:p>
            <w:pPr>
              <w:rPr>
                <w:rFonts w:ascii="Tahoma" w:hAnsi="Tahoma" w:eastAsia="Tahoma" w:cs="Tahoma"/>
                <w:color w:val="000000"/>
                <w:sz w:val="12"/>
                <w:szCs w:val="12"/>
              </w:rPr>
            </w:pPr>
          </w:p>
          <w:p>
            <w:pPr>
              <w:rPr>
                <w:rFonts w:ascii="Tahoma" w:hAnsi="Tahoma" w:eastAsia="Tahoma" w:cs="Tahoma"/>
                <w:color w:val="000000"/>
                <w:sz w:val="12"/>
                <w:szCs w:val="12"/>
              </w:rPr>
            </w:pPr>
          </w:p>
          <w:p>
            <w:pPr>
              <w:rPr>
                <w:rFonts w:ascii="Tahoma" w:hAnsi="Tahoma" w:eastAsia="Tahoma" w:cs="Tahoma"/>
                <w:color w:val="000000"/>
                <w:sz w:val="12"/>
                <w:szCs w:val="12"/>
              </w:rPr>
            </w:pPr>
          </w:p>
        </w:tc>
      </w:tr>
    </w:tbl>
    <w:tbl>
      <w:tblPr>
        <w:tblStyle w:val="5"/>
        <w:tblW w:w="5000" w:type="pct"/>
        <w:tblInd w:w="0" w:type="dxa"/>
        <w:tblLayout w:type="autofit"/>
        <w:tblCellMar>
          <w:top w:w="0" w:type="dxa"/>
          <w:left w:w="108" w:type="dxa"/>
          <w:bottom w:w="0" w:type="dxa"/>
          <w:right w:w="108" w:type="dxa"/>
        </w:tblCellMar>
      </w:tblPr>
      <w:tblGrid>
        <w:gridCol w:w="3038"/>
        <w:gridCol w:w="761"/>
        <w:gridCol w:w="762"/>
        <w:gridCol w:w="544"/>
        <w:gridCol w:w="2659"/>
        <w:gridCol w:w="759"/>
      </w:tblGrid>
      <w:tr>
        <w:tblPrEx>
          <w:tblCellMar>
            <w:top w:w="0" w:type="dxa"/>
            <w:left w:w="108" w:type="dxa"/>
            <w:bottom w:w="0" w:type="dxa"/>
            <w:right w:w="108" w:type="dxa"/>
          </w:tblCellMar>
        </w:tblPrEx>
        <w:trPr>
          <w:trHeight w:val="555" w:hRule="atLeast"/>
        </w:trPr>
        <w:tc>
          <w:tcPr>
            <w:tcW w:w="1734" w:type="pct"/>
            <w:tcBorders>
              <w:top w:val="nil"/>
              <w:left w:val="nil"/>
              <w:bottom w:val="nil"/>
              <w:right w:val="nil"/>
            </w:tcBorders>
            <w:shd w:val="clear" w:color="auto" w:fill="FFFFFF"/>
            <w:noWrap/>
            <w:vAlign w:val="center"/>
          </w:tcPr>
          <w:p>
            <w:pPr>
              <w:rPr>
                <w:color w:val="000000"/>
                <w:sz w:val="12"/>
                <w:szCs w:val="12"/>
              </w:rPr>
            </w:pPr>
          </w:p>
        </w:tc>
        <w:tc>
          <w:tcPr>
            <w:tcW w:w="2828" w:type="pct"/>
            <w:gridSpan w:val="4"/>
            <w:tcBorders>
              <w:top w:val="nil"/>
              <w:left w:val="nil"/>
              <w:bottom w:val="nil"/>
              <w:right w:val="nil"/>
            </w:tcBorders>
            <w:shd w:val="clear" w:color="auto" w:fill="FFFFFF"/>
            <w:noWrap/>
            <w:vAlign w:val="center"/>
          </w:tcPr>
          <w:p>
            <w:pPr>
              <w:rPr>
                <w:color w:val="000000"/>
                <w:sz w:val="21"/>
                <w:szCs w:val="21"/>
              </w:rPr>
            </w:pPr>
            <w:r>
              <w:rPr>
                <w:rFonts w:hint="eastAsia" w:ascii="黑体" w:eastAsia="黑体" w:cs="黑体"/>
                <w:color w:val="000000"/>
                <w:sz w:val="21"/>
                <w:szCs w:val="21"/>
              </w:rPr>
              <w:t>机构运行信息表</w:t>
            </w:r>
          </w:p>
        </w:tc>
        <w:tc>
          <w:tcPr>
            <w:tcW w:w="436" w:type="pct"/>
            <w:tcBorders>
              <w:top w:val="nil"/>
              <w:left w:val="nil"/>
              <w:bottom w:val="nil"/>
              <w:right w:val="single" w:color="808080" w:sz="4" w:space="0"/>
            </w:tcBorders>
            <w:shd w:val="clear" w:color="auto" w:fill="FFFFFF"/>
            <w:noWrap/>
            <w:vAlign w:val="center"/>
          </w:tcPr>
          <w:p>
            <w:pPr>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nil"/>
              <w:bottom w:val="nil"/>
              <w:right w:val="nil"/>
            </w:tcBorders>
            <w:shd w:val="clear" w:color="auto" w:fill="FFFFFF"/>
            <w:noWrap/>
            <w:vAlign w:val="center"/>
          </w:tcPr>
          <w:p>
            <w:pPr>
              <w:rPr>
                <w:rFonts w:ascii="Tahoma" w:hAnsi="Tahoma" w:eastAsia="Tahoma" w:cs="Tahoma"/>
                <w:color w:val="000000"/>
                <w:sz w:val="12"/>
                <w:szCs w:val="12"/>
              </w:rPr>
            </w:pPr>
          </w:p>
        </w:tc>
        <w:tc>
          <w:tcPr>
            <w:tcW w:w="437" w:type="pct"/>
            <w:tcBorders>
              <w:top w:val="nil"/>
              <w:left w:val="nil"/>
              <w:bottom w:val="nil"/>
              <w:right w:val="nil"/>
            </w:tcBorders>
            <w:shd w:val="clear" w:color="auto" w:fill="FFFFFF"/>
            <w:noWrap/>
            <w:vAlign w:val="center"/>
          </w:tcPr>
          <w:p>
            <w:pPr>
              <w:rPr>
                <w:color w:val="000000"/>
                <w:sz w:val="12"/>
                <w:szCs w:val="12"/>
              </w:rPr>
            </w:pPr>
          </w:p>
        </w:tc>
        <w:tc>
          <w:tcPr>
            <w:tcW w:w="559" w:type="pct"/>
            <w:tcBorders>
              <w:top w:val="nil"/>
              <w:left w:val="nil"/>
              <w:bottom w:val="nil"/>
              <w:right w:val="nil"/>
            </w:tcBorders>
            <w:shd w:val="clear" w:color="auto" w:fill="FFFFFF"/>
            <w:noWrap/>
            <w:vAlign w:val="center"/>
          </w:tcPr>
          <w:p>
            <w:pPr>
              <w:rPr>
                <w:color w:val="000000"/>
                <w:sz w:val="12"/>
                <w:szCs w:val="12"/>
              </w:rPr>
            </w:pPr>
          </w:p>
        </w:tc>
        <w:tc>
          <w:tcPr>
            <w:tcW w:w="313" w:type="pct"/>
            <w:tcBorders>
              <w:top w:val="nil"/>
              <w:left w:val="nil"/>
              <w:bottom w:val="nil"/>
              <w:right w:val="nil"/>
            </w:tcBorders>
            <w:shd w:val="clear" w:color="auto" w:fill="FFFFFF"/>
            <w:noWrap/>
            <w:vAlign w:val="center"/>
          </w:tcPr>
          <w:p>
            <w:pPr>
              <w:rPr>
                <w:color w:val="000000"/>
                <w:sz w:val="12"/>
                <w:szCs w:val="12"/>
              </w:rPr>
            </w:pPr>
          </w:p>
        </w:tc>
        <w:tc>
          <w:tcPr>
            <w:tcW w:w="1518" w:type="pct"/>
            <w:tcBorders>
              <w:top w:val="nil"/>
              <w:left w:val="nil"/>
              <w:bottom w:val="nil"/>
              <w:right w:val="nil"/>
            </w:tcBorders>
            <w:shd w:val="clear" w:color="auto" w:fill="FFFFFF"/>
            <w:noWrap/>
            <w:vAlign w:val="center"/>
          </w:tcPr>
          <w:p>
            <w:pPr>
              <w:rPr>
                <w:color w:val="000000"/>
                <w:sz w:val="12"/>
                <w:szCs w:val="12"/>
              </w:rPr>
            </w:pPr>
          </w:p>
        </w:tc>
        <w:tc>
          <w:tcPr>
            <w:tcW w:w="436" w:type="pct"/>
            <w:tcBorders>
              <w:top w:val="nil"/>
              <w:left w:val="nil"/>
              <w:bottom w:val="nil"/>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公开09表</w:t>
            </w:r>
          </w:p>
        </w:tc>
      </w:tr>
      <w:tr>
        <w:tblPrEx>
          <w:tblCellMar>
            <w:top w:w="0" w:type="dxa"/>
            <w:left w:w="108" w:type="dxa"/>
            <w:bottom w:w="0" w:type="dxa"/>
            <w:right w:w="108" w:type="dxa"/>
          </w:tblCellMar>
        </w:tblPrEx>
        <w:trPr>
          <w:trHeight w:val="300" w:hRule="atLeast"/>
        </w:trPr>
        <w:tc>
          <w:tcPr>
            <w:tcW w:w="1734" w:type="pct"/>
            <w:tcBorders>
              <w:top w:val="nil"/>
              <w:left w:val="nil"/>
              <w:bottom w:val="single" w:color="808080" w:sz="4" w:space="0"/>
              <w:right w:val="nil"/>
            </w:tcBorders>
            <w:shd w:val="clear" w:color="auto" w:fill="FFFFFF"/>
            <w:noWrap/>
            <w:vAlign w:val="center"/>
          </w:tcPr>
          <w:p>
            <w:pPr>
              <w:textAlignment w:val="center"/>
              <w:rPr>
                <w:color w:val="000000"/>
                <w:sz w:val="12"/>
                <w:szCs w:val="12"/>
              </w:rPr>
            </w:pPr>
            <w:r>
              <w:rPr>
                <w:rFonts w:hint="eastAsia"/>
                <w:color w:val="000000"/>
                <w:sz w:val="12"/>
                <w:szCs w:val="12"/>
              </w:rPr>
              <w:t>公开部门：重庆市荣昌区盘龙镇劳动就业和社会保障服务所</w:t>
            </w:r>
          </w:p>
        </w:tc>
        <w:tc>
          <w:tcPr>
            <w:tcW w:w="437" w:type="pct"/>
            <w:tcBorders>
              <w:top w:val="nil"/>
              <w:left w:val="nil"/>
              <w:bottom w:val="single" w:color="808080" w:sz="4" w:space="0"/>
              <w:right w:val="nil"/>
            </w:tcBorders>
            <w:shd w:val="clear" w:color="auto" w:fill="FFFFFF"/>
            <w:noWrap/>
            <w:vAlign w:val="center"/>
          </w:tcPr>
          <w:p>
            <w:pPr>
              <w:rPr>
                <w:color w:val="000000"/>
                <w:sz w:val="12"/>
                <w:szCs w:val="12"/>
              </w:rPr>
            </w:pPr>
          </w:p>
        </w:tc>
        <w:tc>
          <w:tcPr>
            <w:tcW w:w="559" w:type="pct"/>
            <w:tcBorders>
              <w:top w:val="nil"/>
              <w:left w:val="nil"/>
              <w:bottom w:val="single" w:color="808080" w:sz="4" w:space="0"/>
              <w:right w:val="nil"/>
            </w:tcBorders>
            <w:shd w:val="clear" w:color="auto" w:fill="FFFFFF"/>
            <w:noWrap/>
            <w:vAlign w:val="center"/>
          </w:tcPr>
          <w:p>
            <w:pPr>
              <w:jc w:val="center"/>
              <w:rPr>
                <w:color w:val="000000"/>
                <w:sz w:val="12"/>
                <w:szCs w:val="12"/>
              </w:rPr>
            </w:pPr>
          </w:p>
        </w:tc>
        <w:tc>
          <w:tcPr>
            <w:tcW w:w="313" w:type="pct"/>
            <w:tcBorders>
              <w:top w:val="nil"/>
              <w:left w:val="nil"/>
              <w:bottom w:val="single" w:color="808080" w:sz="4" w:space="0"/>
              <w:right w:val="nil"/>
            </w:tcBorders>
            <w:shd w:val="clear" w:color="auto" w:fill="FFFFFF"/>
            <w:noWrap/>
            <w:vAlign w:val="center"/>
          </w:tcPr>
          <w:p>
            <w:pPr>
              <w:rPr>
                <w:color w:val="000000"/>
                <w:sz w:val="12"/>
                <w:szCs w:val="12"/>
              </w:rPr>
            </w:pPr>
          </w:p>
        </w:tc>
        <w:tc>
          <w:tcPr>
            <w:tcW w:w="1518" w:type="pct"/>
            <w:tcBorders>
              <w:top w:val="nil"/>
              <w:left w:val="nil"/>
              <w:bottom w:val="single" w:color="808080" w:sz="4" w:space="0"/>
              <w:right w:val="nil"/>
            </w:tcBorders>
            <w:shd w:val="clear" w:color="auto" w:fill="FFFFFF"/>
            <w:noWrap/>
            <w:vAlign w:val="center"/>
          </w:tcPr>
          <w:p>
            <w:pPr>
              <w:rPr>
                <w:color w:val="000000"/>
                <w:sz w:val="12"/>
                <w:szCs w:val="12"/>
              </w:rPr>
            </w:pPr>
          </w:p>
        </w:tc>
        <w:tc>
          <w:tcPr>
            <w:tcW w:w="436" w:type="pct"/>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单位：万元</w:t>
            </w: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项  目</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年初预算数</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全年预算数</w:t>
            </w:r>
          </w:p>
        </w:tc>
        <w:tc>
          <w:tcPr>
            <w:tcW w:w="313" w:type="pc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决算数</w:t>
            </w:r>
          </w:p>
        </w:tc>
        <w:tc>
          <w:tcPr>
            <w:tcW w:w="1518" w:type="pc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项  目</w:t>
            </w:r>
          </w:p>
        </w:tc>
        <w:tc>
          <w:tcPr>
            <w:tcW w:w="436" w:type="pct"/>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12"/>
                <w:szCs w:val="12"/>
              </w:rPr>
            </w:pPr>
            <w:r>
              <w:rPr>
                <w:rFonts w:hint="eastAsia"/>
                <w:b/>
                <w:bCs/>
                <w:color w:val="000000"/>
                <w:sz w:val="12"/>
                <w:szCs w:val="12"/>
              </w:rPr>
              <w:t>决算数</w:t>
            </w: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一、“三公”经费支出</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四、机关运行经费</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（一）支出合计</w:t>
            </w:r>
          </w:p>
        </w:tc>
        <w:tc>
          <w:tcPr>
            <w:tcW w:w="43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559"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（一）行政单位</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1．因公出国（境）费</w:t>
            </w:r>
          </w:p>
        </w:tc>
        <w:tc>
          <w:tcPr>
            <w:tcW w:w="43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559"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（二）参照公务员法管理事业单位</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2．公务用车购置及运行维护费</w:t>
            </w:r>
          </w:p>
        </w:tc>
        <w:tc>
          <w:tcPr>
            <w:tcW w:w="43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559"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五、资产信息</w:t>
            </w:r>
          </w:p>
        </w:tc>
        <w:tc>
          <w:tcPr>
            <w:tcW w:w="436"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（1）公务用车购置费</w:t>
            </w:r>
          </w:p>
        </w:tc>
        <w:tc>
          <w:tcPr>
            <w:tcW w:w="43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559"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（一）车辆数合计（辆）</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（2）公务用车运行维护费</w:t>
            </w:r>
          </w:p>
        </w:tc>
        <w:tc>
          <w:tcPr>
            <w:tcW w:w="43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559"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1．副部（省）级及以上领导用车</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3．公务接待费</w:t>
            </w:r>
          </w:p>
        </w:tc>
        <w:tc>
          <w:tcPr>
            <w:tcW w:w="437"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559"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2．主要领导干部用车</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（1）国内接待费</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3．机要通信用车</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其中：外事接待费</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4．应急保障用车</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（2）国（境）外接待费</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5．执法执勤用车</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（二）相关统计数</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6．特种专业技术用车</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1．因公出国（境）团组数（个）</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7．离退休干部用车</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2．因公出国（境）人次数（人）</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8．其他用车</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3．公务用车购置数（辆）</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（二）单价100万元（含）以上设备（不含车辆）</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4．公务用车保有量（辆）</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六、政府采购支出信息</w:t>
            </w:r>
          </w:p>
        </w:tc>
        <w:tc>
          <w:tcPr>
            <w:tcW w:w="436"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5．国内公务接待批次（个）</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（一）政府采购支出合计</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其中：外事接待批次（个）</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1．政府采购货物支出</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6．国内公务接待人次（人）</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2．政府采购工程支出</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其中：外事接待人次（人）</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3．政府采购服务支出</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7．国（境）外公务接待批次（个）</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（二）政府采购授予中小企业合同金额</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8．国（境）外公务接待人次（人）</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 xml:space="preserve">        其中：授予小微企业合同金额</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二、会议费</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c>
          <w:tcPr>
            <w:tcW w:w="1518"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300" w:hRule="atLeast"/>
        </w:trPr>
        <w:tc>
          <w:tcPr>
            <w:tcW w:w="1734" w:type="pct"/>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12"/>
                <w:szCs w:val="12"/>
              </w:rPr>
            </w:pPr>
            <w:r>
              <w:rPr>
                <w:rFonts w:hint="eastAsia"/>
                <w:color w:val="000000"/>
                <w:sz w:val="12"/>
                <w:szCs w:val="12"/>
              </w:rPr>
              <w:t>三、培训费</w:t>
            </w:r>
          </w:p>
        </w:tc>
        <w:tc>
          <w:tcPr>
            <w:tcW w:w="437"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559" w:type="pc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12"/>
                <w:szCs w:val="12"/>
              </w:rPr>
            </w:pPr>
            <w:r>
              <w:rPr>
                <w:rFonts w:hint="eastAsia"/>
                <w:color w:val="000000"/>
                <w:sz w:val="12"/>
                <w:szCs w:val="12"/>
              </w:rPr>
              <w:t>—</w:t>
            </w:r>
          </w:p>
        </w:tc>
        <w:tc>
          <w:tcPr>
            <w:tcW w:w="313" w:type="pct"/>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12"/>
                <w:szCs w:val="12"/>
              </w:rPr>
            </w:pPr>
            <w:r>
              <w:rPr>
                <w:rFonts w:hint="eastAsia"/>
                <w:color w:val="000000"/>
                <w:sz w:val="12"/>
                <w:szCs w:val="12"/>
              </w:rPr>
              <w:t>0.43</w:t>
            </w:r>
          </w:p>
        </w:tc>
        <w:tc>
          <w:tcPr>
            <w:tcW w:w="1518" w:type="pct"/>
            <w:tcBorders>
              <w:top w:val="nil"/>
              <w:left w:val="nil"/>
              <w:bottom w:val="single" w:color="000000" w:sz="4" w:space="0"/>
              <w:right w:val="single" w:color="000000" w:sz="4" w:space="0"/>
            </w:tcBorders>
            <w:shd w:val="clear" w:color="auto" w:fill="FFFFFF"/>
            <w:noWrap/>
            <w:vAlign w:val="center"/>
          </w:tcPr>
          <w:p>
            <w:pPr>
              <w:rPr>
                <w:color w:val="000000"/>
                <w:sz w:val="12"/>
                <w:szCs w:val="12"/>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color w:val="000000"/>
                <w:sz w:val="12"/>
                <w:szCs w:val="12"/>
              </w:rPr>
            </w:pPr>
          </w:p>
        </w:tc>
      </w:tr>
      <w:tr>
        <w:tblPrEx>
          <w:tblCellMar>
            <w:top w:w="0" w:type="dxa"/>
            <w:left w:w="108" w:type="dxa"/>
            <w:bottom w:w="0" w:type="dxa"/>
            <w:right w:w="108" w:type="dxa"/>
          </w:tblCellMar>
        </w:tblPrEx>
        <w:trPr>
          <w:trHeight w:val="495" w:hRule="atLeast"/>
        </w:trPr>
        <w:tc>
          <w:tcPr>
            <w:tcW w:w="5000" w:type="pct"/>
            <w:gridSpan w:val="6"/>
            <w:tcBorders>
              <w:top w:val="nil"/>
              <w:left w:val="nil"/>
              <w:bottom w:val="nil"/>
              <w:right w:val="nil"/>
            </w:tcBorders>
            <w:shd w:val="clear" w:color="auto" w:fill="FFFFFF"/>
            <w:vAlign w:val="center"/>
          </w:tcPr>
          <w:p>
            <w:pPr>
              <w:textAlignment w:val="center"/>
              <w:rPr>
                <w:color w:val="000000"/>
                <w:sz w:val="12"/>
                <w:szCs w:val="12"/>
              </w:rPr>
            </w:pPr>
            <w:r>
              <w:rPr>
                <w:rFonts w:hint="eastAsia"/>
                <w:color w:val="000000"/>
                <w:sz w:val="12"/>
                <w:szCs w:val="12"/>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pPr>
              <w:textAlignment w:val="center"/>
              <w:rPr>
                <w:color w:val="000000"/>
                <w:sz w:val="12"/>
                <w:szCs w:val="12"/>
              </w:rPr>
            </w:pPr>
            <w:r>
              <w:rPr>
                <w:rFonts w:hint="eastAsia"/>
                <w:color w:val="000000"/>
                <w:sz w:val="12"/>
                <w:szCs w:val="12"/>
              </w:rPr>
              <w:t xml:space="preserve">      本表为空的单位应将空表公开，并注明：本单位无相关数据，故本表为空。    </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2"/>
                <w:szCs w:val="12"/>
              </w:rPr>
            </w:pP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single" w:color="808080" w:sz="4" w:space="0"/>
              <w:right w:val="single" w:color="808080" w:sz="4" w:space="0"/>
            </w:tcBorders>
            <w:shd w:val="clear" w:color="auto" w:fill="FFFFFF"/>
            <w:noWrap/>
            <w:vAlign w:val="center"/>
          </w:tcPr>
          <w:p>
            <w:pPr>
              <w:rPr>
                <w:color w:val="000000"/>
                <w:sz w:val="12"/>
                <w:szCs w:val="12"/>
              </w:rPr>
            </w:pPr>
          </w:p>
        </w:tc>
      </w:tr>
    </w:tbl>
    <w:p>
      <w:pPr>
        <w:pStyle w:val="4"/>
        <w:shd w:val="clear" w:color="auto" w:fill="FFFFFF"/>
      </w:pPr>
    </w:p>
    <w:p>
      <w:pPr>
        <w:pStyle w:val="4"/>
        <w:shd w:val="clear" w:color="auto" w:fill="FFFFFF"/>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881364"/>
    <w:rsid w:val="00015174"/>
    <w:rsid w:val="000F3955"/>
    <w:rsid w:val="001200E5"/>
    <w:rsid w:val="0025166F"/>
    <w:rsid w:val="002B3E28"/>
    <w:rsid w:val="002F2083"/>
    <w:rsid w:val="004A2111"/>
    <w:rsid w:val="005E376B"/>
    <w:rsid w:val="005E50AE"/>
    <w:rsid w:val="00613AFA"/>
    <w:rsid w:val="0074403F"/>
    <w:rsid w:val="00797076"/>
    <w:rsid w:val="007E3E26"/>
    <w:rsid w:val="00830E35"/>
    <w:rsid w:val="00881364"/>
    <w:rsid w:val="00933F20"/>
    <w:rsid w:val="00A14A5F"/>
    <w:rsid w:val="00B366D5"/>
    <w:rsid w:val="00B4794C"/>
    <w:rsid w:val="00BA2537"/>
    <w:rsid w:val="00BE6A54"/>
    <w:rsid w:val="00CC62F4"/>
    <w:rsid w:val="00DA50E7"/>
    <w:rsid w:val="00E32708"/>
    <w:rsid w:val="00F63BCB"/>
    <w:rsid w:val="3DFBFD0F"/>
    <w:rsid w:val="58CF319D"/>
    <w:rsid w:val="EEEF9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semiHidden/>
    <w:uiPriority w:val="99"/>
    <w:rPr>
      <w:rFonts w:ascii="宋体" w:hAnsi="宋体" w:eastAsia="宋体" w:cs="宋体"/>
      <w:sz w:val="18"/>
      <w:szCs w:val="18"/>
    </w:rPr>
  </w:style>
  <w:style w:type="character" w:customStyle="1" w:styleId="9">
    <w:name w:val="页脚 Char"/>
    <w:basedOn w:val="6"/>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7719</Words>
  <Characters>3695</Characters>
  <Lines>30</Lines>
  <Paragraphs>22</Paragraphs>
  <TotalTime>0</TotalTime>
  <ScaleCrop>false</ScaleCrop>
  <LinksUpToDate>false</LinksUpToDate>
  <CharactersWithSpaces>11392</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2023-09-08T19:47:00Z</dcterms:created>
  <dc:creator>荣昌区盘龙镇人民政府</dc:creator>
  <cp:lastModifiedBy>plzf217</cp:lastModifiedBy>
  <dcterms:modified xsi:type="dcterms:W3CDTF">2023-12-22T16:05:20Z</dcterms:modified>
  <dc:title>公开报告模板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5921CE1DA494415D83BE13A084B083FE</vt:lpwstr>
  </property>
</Properties>
</file>