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重庆市荣昌区广顺街道建设环保服务中心</w:t>
      </w:r>
      <w:r>
        <w:rPr>
          <w:rFonts w:hint="default" w:ascii="Times New Roman" w:hAnsi="Times New Roman" w:eastAsia="方正小标宋_GBK" w:cs="Times New Roman"/>
          <w:color w:val="auto"/>
          <w:sz w:val="44"/>
          <w:szCs w:val="44"/>
        </w:rPr>
        <w:t>2023年度</w:t>
      </w:r>
      <w:r>
        <w:rPr>
          <w:rFonts w:hint="eastAsia" w:ascii="Times New Roman" w:hAnsi="Times New Roman" w:eastAsia="方正小标宋_GBK" w:cs="Times New Roman"/>
          <w:color w:val="auto"/>
          <w:sz w:val="44"/>
          <w:szCs w:val="44"/>
          <w:lang w:val="en-US" w:eastAsia="zh-CN"/>
        </w:rPr>
        <w:t>单位</w:t>
      </w:r>
      <w:r>
        <w:rPr>
          <w:rFonts w:hint="default" w:ascii="Times New Roman" w:hAnsi="Times New Roman" w:eastAsia="方正小标宋_GBK" w:cs="Times New Roman"/>
          <w:color w:val="auto"/>
          <w:sz w:val="44"/>
          <w:szCs w:val="44"/>
        </w:rPr>
        <w:t>决算公开</w:t>
      </w:r>
      <w:r>
        <w:rPr>
          <w:rFonts w:hint="eastAsia" w:ascii="Times New Roman" w:hAnsi="Times New Roman" w:eastAsia="方正小标宋_GBK" w:cs="Times New Roman"/>
          <w:color w:val="auto"/>
          <w:sz w:val="44"/>
          <w:szCs w:val="44"/>
          <w:lang w:val="en-US" w:eastAsia="zh-CN"/>
        </w:rPr>
        <w:t>报告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default" w:ascii="Times New Roman" w:hAnsi="Times New Roman" w:eastAsia="方正小标宋_GBK" w:cs="Times New Roman"/>
          <w:color w:val="auto"/>
          <w:sz w:val="44"/>
          <w:szCs w:val="44"/>
        </w:rPr>
      </w:pP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sz w:val="32"/>
          <w:szCs w:val="32"/>
        </w:rPr>
      </w:pPr>
      <w:r>
        <w:rPr>
          <w:rStyle w:val="11"/>
          <w:rFonts w:hint="default" w:ascii="Times New Roman" w:hAnsi="Times New Roman" w:eastAsia="方正黑体_GBK" w:cs="Times New Roman"/>
          <w:b w:val="0"/>
          <w:bCs/>
          <w:sz w:val="32"/>
          <w:szCs w:val="32"/>
          <w:shd w:val="clear" w:color="auto" w:fill="FFFFFF"/>
        </w:rPr>
        <w:t>一、单位基本情况</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Style w:val="17"/>
          <w:rFonts w:hint="default" w:ascii="Times New Roman" w:hAnsi="Times New Roman" w:eastAsia="方正楷体_GBK" w:cs="Times New Roman"/>
          <w:b w:val="0"/>
          <w:color w:val="auto"/>
          <w:sz w:val="32"/>
          <w:szCs w:val="32"/>
          <w:shd w:val="clear" w:fill="FFFFFF"/>
        </w:rPr>
      </w:pPr>
      <w:r>
        <w:rPr>
          <w:rStyle w:val="17"/>
          <w:rFonts w:hint="default" w:ascii="Times New Roman" w:hAnsi="Times New Roman" w:eastAsia="方正楷体_GBK" w:cs="Times New Roman"/>
          <w:b w:val="0"/>
          <w:sz w:val="32"/>
          <w:szCs w:val="32"/>
          <w:shd w:val="clear" w:fill="FFFFFF"/>
        </w:rPr>
        <w:t>（一</w:t>
      </w:r>
      <w:r>
        <w:rPr>
          <w:rStyle w:val="17"/>
          <w:rFonts w:hint="default" w:ascii="Times New Roman" w:hAnsi="Times New Roman" w:eastAsia="方正楷体_GBK" w:cs="Times New Roman"/>
          <w:b w:val="0"/>
          <w:color w:val="auto"/>
          <w:sz w:val="32"/>
          <w:szCs w:val="32"/>
          <w:shd w:val="clear" w:fill="FFFFFF"/>
        </w:rPr>
        <w:t>）职能职责。</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color w:val="auto"/>
          <w:kern w:val="0"/>
          <w:sz w:val="32"/>
          <w:szCs w:val="32"/>
          <w:shd w:val="clear" w:fill="FFFFFF"/>
        </w:rPr>
      </w:pPr>
      <w:r>
        <w:rPr>
          <w:rFonts w:hint="default" w:ascii="Times New Roman" w:hAnsi="Times New Roman" w:eastAsia="方正仿宋_GBK" w:cs="Times New Roman"/>
          <w:b w:val="0"/>
          <w:color w:val="auto"/>
          <w:kern w:val="0"/>
          <w:sz w:val="32"/>
          <w:szCs w:val="32"/>
          <w:shd w:val="clear" w:fill="FFFFFF"/>
        </w:rPr>
        <w:t>根据《中共重庆市委办公厅重庆市人民政府办公厅印发〈关进一步优化完善乡镇机构设置的指导意见〉的通知》（渝委办发2018〕10号）和《中共重庆市荣昌区委办公室重庆市荣昌区人民政府办公室关于印发〈重庆市荣昌区优化完善乡镇机构设置实方案〉的通知》（荣委办发〔2019〕44号）精神，广顺街道建设环保服务中心主要负责为辖区建设提供服务， 改善人居环境。承担规划建设、市政公用事业、房屋管理、市容环境、环境保护等领域的事务性服务工作。</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rPr>
          <w:rStyle w:val="17"/>
          <w:rFonts w:hint="default" w:ascii="Times New Roman" w:hAnsi="Times New Roman" w:eastAsia="方正楷体_GBK" w:cs="Times New Roman"/>
          <w:b w:val="0"/>
          <w:color w:val="auto"/>
          <w:sz w:val="32"/>
          <w:szCs w:val="32"/>
          <w:shd w:val="clear" w:fill="FFFFFF"/>
        </w:rPr>
      </w:pPr>
      <w:r>
        <w:rPr>
          <w:rStyle w:val="17"/>
          <w:rFonts w:hint="default" w:ascii="Times New Roman" w:hAnsi="Times New Roman" w:eastAsia="方正楷体_GBK" w:cs="Times New Roman"/>
          <w:b w:val="0"/>
          <w:color w:val="auto"/>
          <w:sz w:val="32"/>
          <w:szCs w:val="32"/>
          <w:shd w:val="clear" w:fill="FFFFFF"/>
        </w:rPr>
        <w:t>（二）机构设置。</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本单位</w:t>
      </w:r>
      <w:r>
        <w:rPr>
          <w:rFonts w:hint="eastAsia" w:ascii="Times New Roman" w:hAnsi="Times New Roman" w:eastAsia="方正仿宋_GBK" w:cs="Times New Roman"/>
          <w:color w:val="auto"/>
          <w:kern w:val="0"/>
          <w:sz w:val="32"/>
          <w:szCs w:val="32"/>
          <w:lang w:val="en-US" w:eastAsia="zh-CN"/>
        </w:rPr>
        <w:t>为广顺街道办事处二级预算单位，无内设科室</w:t>
      </w:r>
      <w:r>
        <w:rPr>
          <w:rFonts w:hint="default" w:ascii="Times New Roman" w:hAnsi="Times New Roman" w:eastAsia="方正仿宋_GBK" w:cs="Times New Roman"/>
          <w:color w:val="auto"/>
          <w:kern w:val="0"/>
          <w:sz w:val="32"/>
          <w:szCs w:val="32"/>
        </w:rPr>
        <w:t>。</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二、单位决算情况说明</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Style w:val="17"/>
          <w:rFonts w:hint="default" w:ascii="Times New Roman" w:hAnsi="Times New Roman" w:eastAsia="方正楷体_GBK" w:cs="Times New Roman"/>
          <w:b w:val="0"/>
          <w:bCs w:val="0"/>
          <w:color w:val="auto"/>
          <w:sz w:val="32"/>
          <w:szCs w:val="32"/>
          <w:shd w:val="clear" w:fill="FFFFFF"/>
          <w:lang w:val="en-US" w:eastAsia="zh-CN" w:bidi="ar-SA"/>
        </w:rPr>
      </w:pPr>
      <w:r>
        <w:rPr>
          <w:rStyle w:val="17"/>
          <w:rFonts w:hint="default" w:ascii="Times New Roman" w:hAnsi="Times New Roman" w:eastAsia="方正楷体_GBK" w:cs="Times New Roman"/>
          <w:b w:val="0"/>
          <w:bCs w:val="0"/>
          <w:color w:val="auto"/>
          <w:sz w:val="32"/>
          <w:szCs w:val="32"/>
          <w:shd w:val="clear" w:fill="FFFFFF"/>
          <w:lang w:val="en-US" w:eastAsia="zh-CN" w:bidi="ar-SA"/>
        </w:rPr>
        <w:t>（一）收入支出决算总体情况说明。</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1.</w:t>
      </w:r>
      <w:r>
        <w:rPr>
          <w:rStyle w:val="11"/>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val="0"/>
          <w:color w:val="auto"/>
          <w:sz w:val="32"/>
          <w:szCs w:val="32"/>
          <w:shd w:val="clear" w:color="auto" w:fill="FFFFFF"/>
        </w:rPr>
        <w:t>总体情况。</w:t>
      </w:r>
      <w:r>
        <w:rPr>
          <w:rFonts w:hint="default" w:ascii="Times New Roman" w:hAnsi="Times New Roman" w:eastAsia="方正仿宋_GBK" w:cs="Times New Roman"/>
          <w:b w:val="0"/>
          <w:bCs w:val="0"/>
          <w:color w:val="auto"/>
          <w:sz w:val="32"/>
          <w:szCs w:val="32"/>
          <w:shd w:val="clear" w:color="auto" w:fill="FFFFFF"/>
        </w:rPr>
        <w:t>2023年度收入总计291.06万元，支出总计</w:t>
      </w:r>
      <w:r>
        <w:rPr>
          <w:rFonts w:hint="default" w:ascii="Times New Roman" w:hAnsi="Times New Roman" w:eastAsia="方正仿宋_GBK" w:cs="Times New Roman"/>
          <w:b w:val="0"/>
          <w:bCs w:val="0"/>
          <w:color w:val="auto"/>
          <w:sz w:val="32"/>
          <w:szCs w:val="32"/>
        </w:rPr>
        <w:t>291.06</w:t>
      </w:r>
      <w:r>
        <w:rPr>
          <w:rFonts w:hint="default" w:ascii="Times New Roman" w:hAnsi="Times New Roman" w:eastAsia="方正仿宋_GBK" w:cs="Times New Roman"/>
          <w:b w:val="0"/>
          <w:bCs w:val="0"/>
          <w:color w:val="auto"/>
          <w:sz w:val="32"/>
          <w:szCs w:val="32"/>
          <w:shd w:val="clear" w:color="auto" w:fill="FFFFFF"/>
        </w:rPr>
        <w:t>万元。收支较上年决算数增加23.79万元，增长8.90%，主要原因是</w:t>
      </w:r>
      <w:r>
        <w:rPr>
          <w:rFonts w:hint="default" w:ascii="Times New Roman" w:hAnsi="Times New Roman" w:eastAsia="方正仿宋_GBK" w:cs="Times New Roman"/>
          <w:b w:val="0"/>
          <w:bCs w:val="0"/>
          <w:color w:val="auto"/>
          <w:sz w:val="32"/>
          <w:szCs w:val="32"/>
          <w:shd w:val="clear" w:color="auto" w:fill="FFFFFF"/>
          <w:lang w:val="en-US" w:eastAsia="zh-CN"/>
        </w:rPr>
        <w:t>本年度人员增加，工资福利等收支增加</w:t>
      </w:r>
      <w:r>
        <w:rPr>
          <w:rFonts w:hint="default" w:ascii="Times New Roman" w:hAnsi="Times New Roman" w:eastAsia="方正仿宋_GBK" w:cs="Times New Roman"/>
          <w:b w:val="0"/>
          <w:bCs w:val="0"/>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1"/>
          <w:rFonts w:hint="default" w:ascii="Times New Roman" w:hAnsi="Times New Roman" w:eastAsia="方正仿宋_GBK" w:cs="Times New Roman"/>
          <w:b w:val="0"/>
          <w:bCs w:val="0"/>
          <w:color w:val="auto"/>
          <w:sz w:val="32"/>
          <w:szCs w:val="32"/>
          <w:shd w:val="clear" w:color="auto" w:fill="FFFFFF"/>
        </w:rPr>
        <w:t>2.</w:t>
      </w:r>
      <w:r>
        <w:rPr>
          <w:rStyle w:val="11"/>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val="0"/>
          <w:color w:val="auto"/>
          <w:sz w:val="32"/>
          <w:szCs w:val="32"/>
          <w:shd w:val="clear" w:color="auto" w:fill="FFFFFF"/>
        </w:rPr>
        <w:t>收入情况。</w:t>
      </w:r>
      <w:r>
        <w:rPr>
          <w:rFonts w:hint="default" w:ascii="Times New Roman" w:hAnsi="Times New Roman" w:eastAsia="方正仿宋_GBK" w:cs="Times New Roman"/>
          <w:b w:val="0"/>
          <w:bCs w:val="0"/>
          <w:color w:val="auto"/>
          <w:sz w:val="32"/>
          <w:szCs w:val="32"/>
          <w:shd w:val="clear" w:color="auto" w:fill="FFFFFF"/>
        </w:rPr>
        <w:t>2023年度收入合计291.06万元，较上年决算数增加23.79万元，增长8.90%，主要原因是</w:t>
      </w:r>
      <w:r>
        <w:rPr>
          <w:rFonts w:hint="default" w:ascii="Times New Roman" w:hAnsi="Times New Roman" w:eastAsia="方正仿宋_GBK" w:cs="Times New Roman"/>
          <w:b w:val="0"/>
          <w:bCs w:val="0"/>
          <w:color w:val="auto"/>
          <w:sz w:val="32"/>
          <w:szCs w:val="32"/>
          <w:shd w:val="clear" w:color="auto" w:fill="FFFFFF"/>
          <w:lang w:val="en-US" w:eastAsia="zh-CN"/>
        </w:rPr>
        <w:t>人员增加</w:t>
      </w:r>
      <w:r>
        <w:rPr>
          <w:rFonts w:hint="default" w:ascii="Times New Roman" w:hAnsi="Times New Roman" w:eastAsia="方正仿宋_GBK" w:cs="Times New Roman"/>
          <w:b w:val="0"/>
          <w:bCs w:val="0"/>
          <w:color w:val="auto"/>
          <w:sz w:val="32"/>
          <w:szCs w:val="32"/>
          <w:shd w:val="clear" w:color="auto" w:fill="FFFFFF"/>
        </w:rPr>
        <w:t>。其中：财政拨款收入</w:t>
      </w:r>
      <w:r>
        <w:rPr>
          <w:rFonts w:hint="default" w:ascii="Times New Roman" w:hAnsi="Times New Roman" w:eastAsia="方正仿宋_GBK" w:cs="Times New Roman"/>
          <w:b w:val="0"/>
          <w:bCs w:val="0"/>
          <w:color w:val="auto"/>
          <w:sz w:val="32"/>
          <w:szCs w:val="32"/>
        </w:rPr>
        <w:t>291.06</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100.00</w:t>
      </w:r>
      <w:r>
        <w:rPr>
          <w:rFonts w:hint="default" w:ascii="Times New Roman" w:hAnsi="Times New Roman" w:eastAsia="方正仿宋_GBK" w:cs="Times New Roman"/>
          <w:b w:val="0"/>
          <w:bCs w:val="0"/>
          <w:color w:val="auto"/>
          <w:sz w:val="32"/>
          <w:szCs w:val="32"/>
          <w:shd w:val="clear" w:color="auto" w:fill="FFFFFF"/>
        </w:rPr>
        <w:t>%；事业收入</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万元，占0.00%；经营收入</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万元，占0.00%；其他收入</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万元，占0.00%。此外，使用非财政拨款结余和专用结余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万元，年初结转和结余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1"/>
          <w:rFonts w:hint="default" w:ascii="Times New Roman" w:hAnsi="Times New Roman" w:eastAsia="方正仿宋_GBK" w:cs="Times New Roman"/>
          <w:b w:val="0"/>
          <w:bCs w:val="0"/>
          <w:color w:val="auto"/>
          <w:sz w:val="32"/>
          <w:szCs w:val="32"/>
          <w:shd w:val="clear" w:color="auto" w:fill="FFFFFF"/>
        </w:rPr>
        <w:t>3.</w:t>
      </w:r>
      <w:r>
        <w:rPr>
          <w:rStyle w:val="11"/>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val="0"/>
          <w:color w:val="auto"/>
          <w:sz w:val="32"/>
          <w:szCs w:val="32"/>
          <w:shd w:val="clear" w:color="auto" w:fill="FFFFFF"/>
        </w:rPr>
        <w:t>支出情况。</w:t>
      </w:r>
      <w:r>
        <w:rPr>
          <w:rFonts w:hint="default" w:ascii="Times New Roman" w:hAnsi="Times New Roman" w:eastAsia="方正仿宋_GBK" w:cs="Times New Roman"/>
          <w:b w:val="0"/>
          <w:bCs w:val="0"/>
          <w:color w:val="auto"/>
          <w:sz w:val="32"/>
          <w:szCs w:val="32"/>
          <w:shd w:val="clear" w:color="auto" w:fill="FFFFFF"/>
        </w:rPr>
        <w:t>2023年度支出合计</w:t>
      </w:r>
      <w:r>
        <w:rPr>
          <w:rFonts w:hint="default" w:ascii="Times New Roman" w:hAnsi="Times New Roman" w:eastAsia="方正仿宋_GBK" w:cs="Times New Roman"/>
          <w:b w:val="0"/>
          <w:bCs w:val="0"/>
          <w:color w:val="auto"/>
          <w:sz w:val="32"/>
          <w:szCs w:val="32"/>
        </w:rPr>
        <w:t>291.06</w:t>
      </w:r>
      <w:r>
        <w:rPr>
          <w:rFonts w:hint="default" w:ascii="Times New Roman" w:hAnsi="Times New Roman" w:eastAsia="方正仿宋_GBK" w:cs="Times New Roman"/>
          <w:b w:val="0"/>
          <w:bCs w:val="0"/>
          <w:color w:val="auto"/>
          <w:sz w:val="32"/>
          <w:szCs w:val="32"/>
          <w:shd w:val="clear" w:color="auto" w:fill="FFFFFF"/>
        </w:rPr>
        <w:t>万元，较上年决算数增加23.79万元，增长8.90%，主要原因是</w:t>
      </w:r>
      <w:r>
        <w:rPr>
          <w:rFonts w:hint="default" w:ascii="Times New Roman" w:hAnsi="Times New Roman" w:eastAsia="方正仿宋_GBK" w:cs="Times New Roman"/>
          <w:b w:val="0"/>
          <w:bCs w:val="0"/>
          <w:color w:val="auto"/>
          <w:sz w:val="32"/>
          <w:szCs w:val="32"/>
          <w:shd w:val="clear" w:color="auto" w:fill="FFFFFF"/>
          <w:lang w:val="en-US" w:eastAsia="zh-CN"/>
        </w:rPr>
        <w:t>人员增加</w:t>
      </w:r>
      <w:r>
        <w:rPr>
          <w:rFonts w:hint="default" w:ascii="Times New Roman" w:hAnsi="Times New Roman" w:eastAsia="方正仿宋_GBK" w:cs="Times New Roman"/>
          <w:b w:val="0"/>
          <w:bCs w:val="0"/>
          <w:color w:val="auto"/>
          <w:sz w:val="32"/>
          <w:szCs w:val="32"/>
          <w:shd w:val="clear" w:color="auto" w:fill="FFFFFF"/>
        </w:rPr>
        <w:t>。其中：基本支出</w:t>
      </w:r>
      <w:r>
        <w:rPr>
          <w:rFonts w:hint="default" w:ascii="Times New Roman" w:hAnsi="Times New Roman" w:eastAsia="方正仿宋_GBK" w:cs="Times New Roman"/>
          <w:b w:val="0"/>
          <w:bCs w:val="0"/>
          <w:color w:val="auto"/>
          <w:sz w:val="32"/>
          <w:szCs w:val="32"/>
        </w:rPr>
        <w:t>291.06</w:t>
      </w:r>
      <w:r>
        <w:rPr>
          <w:rFonts w:hint="default" w:ascii="Times New Roman" w:hAnsi="Times New Roman" w:eastAsia="方正仿宋_GBK" w:cs="Times New Roman"/>
          <w:b w:val="0"/>
          <w:bCs w:val="0"/>
          <w:color w:val="auto"/>
          <w:sz w:val="32"/>
          <w:szCs w:val="32"/>
          <w:shd w:val="clear" w:color="auto" w:fill="FFFFFF"/>
        </w:rPr>
        <w:t>万元，占100.00%；项目支出</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万元，占0.00%；经营支出</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万元，占0.00%。此外，结余分配</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4.</w:t>
      </w:r>
      <w:r>
        <w:rPr>
          <w:rStyle w:val="11"/>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val="0"/>
          <w:color w:val="auto"/>
          <w:sz w:val="32"/>
          <w:szCs w:val="32"/>
          <w:shd w:val="clear" w:color="auto" w:fill="FFFFFF"/>
        </w:rPr>
        <w:t>结转结余情况。</w:t>
      </w:r>
      <w:r>
        <w:rPr>
          <w:rFonts w:hint="default" w:ascii="Times New Roman" w:hAnsi="Times New Roman" w:eastAsia="方正仿宋_GBK" w:cs="Times New Roman"/>
          <w:b w:val="0"/>
          <w:bCs w:val="0"/>
          <w:color w:val="auto"/>
          <w:sz w:val="32"/>
          <w:szCs w:val="32"/>
          <w:shd w:val="clear" w:color="auto" w:fill="FFFFFF"/>
        </w:rPr>
        <w:t>2023年度年末结转和结余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万元，较上年决算数无增减，主要原因是</w:t>
      </w:r>
      <w:r>
        <w:rPr>
          <w:rFonts w:hint="default" w:ascii="Times New Roman" w:hAnsi="Times New Roman" w:eastAsia="方正仿宋_GBK" w:cs="Times New Roman"/>
          <w:b w:val="0"/>
          <w:bCs w:val="0"/>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val="0"/>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Style w:val="17"/>
          <w:rFonts w:hint="eastAsia" w:ascii="Times New Roman" w:hAnsi="Times New Roman" w:eastAsia="方正楷体_GBK" w:cs="Times New Roman"/>
          <w:b w:val="0"/>
          <w:bCs w:val="0"/>
          <w:color w:val="auto"/>
          <w:sz w:val="32"/>
          <w:szCs w:val="32"/>
          <w:shd w:val="clear" w:fill="FFFFFF"/>
          <w:lang w:val="en-US" w:eastAsia="zh-CN" w:bidi="ar-SA"/>
        </w:rPr>
      </w:pPr>
      <w:r>
        <w:rPr>
          <w:rStyle w:val="17"/>
          <w:rFonts w:hint="default" w:ascii="Times New Roman" w:hAnsi="Times New Roman" w:eastAsia="方正楷体_GBK" w:cs="Times New Roman"/>
          <w:b w:val="0"/>
          <w:bCs w:val="0"/>
          <w:color w:val="auto"/>
          <w:sz w:val="32"/>
          <w:szCs w:val="32"/>
          <w:shd w:val="clear" w:fill="FFFFFF"/>
          <w:lang w:val="en-US" w:eastAsia="zh-CN" w:bidi="ar-SA"/>
        </w:rPr>
        <w:t>（二）财政拨款收入支出决算总体情况说明</w:t>
      </w:r>
      <w:r>
        <w:rPr>
          <w:rStyle w:val="17"/>
          <w:rFonts w:hint="eastAsia" w:ascii="Times New Roman" w:hAnsi="Times New Roman" w:eastAsia="方正楷体_GBK" w:cs="Times New Roman"/>
          <w:b w:val="0"/>
          <w:bCs w:val="0"/>
          <w:color w:val="auto"/>
          <w:sz w:val="32"/>
          <w:szCs w:val="32"/>
          <w:shd w:val="clear" w:fill="FFFFFF"/>
          <w:lang w:val="en-US" w:eastAsia="zh-CN" w:bidi="ar-SA"/>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2023年度财政拨款收、支总计291.06万元。与2022年相比，财政拨款收、支总计各增加23.79万元，增长8.90%。主要原因是</w:t>
      </w:r>
      <w:r>
        <w:rPr>
          <w:rFonts w:hint="default" w:ascii="Times New Roman" w:hAnsi="Times New Roman" w:eastAsia="方正仿宋_GBK" w:cs="Times New Roman"/>
          <w:b w:val="0"/>
          <w:bCs w:val="0"/>
          <w:color w:val="auto"/>
          <w:sz w:val="32"/>
          <w:szCs w:val="32"/>
          <w:shd w:val="clear" w:color="auto" w:fill="FFFFFF"/>
          <w:lang w:val="en-US" w:eastAsia="zh-CN"/>
        </w:rPr>
        <w:t>人员增加</w:t>
      </w:r>
      <w:r>
        <w:rPr>
          <w:rFonts w:hint="default" w:ascii="Times New Roman" w:hAnsi="Times New Roman" w:eastAsia="方正仿宋_GBK" w:cs="Times New Roman"/>
          <w:b w:val="0"/>
          <w:bCs w:val="0"/>
          <w:color w:val="auto"/>
          <w:sz w:val="32"/>
          <w:szCs w:val="32"/>
          <w:shd w:val="clear" w:color="auto" w:fill="FFFFFF"/>
        </w:rPr>
        <w:t>。</w:t>
      </w:r>
    </w:p>
    <w:p>
      <w:pPr>
        <w:pStyle w:val="12"/>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60" w:lineRule="exact"/>
        <w:ind w:firstLine="640" w:firstLineChars="200"/>
        <w:textAlignment w:val="auto"/>
        <w:rPr>
          <w:rStyle w:val="17"/>
          <w:rFonts w:hint="eastAsia" w:ascii="Times New Roman" w:hAnsi="Times New Roman" w:eastAsia="方正楷体_GBK" w:cs="Times New Roman"/>
          <w:b w:val="0"/>
          <w:bCs w:val="0"/>
          <w:color w:val="auto"/>
          <w:sz w:val="32"/>
          <w:szCs w:val="32"/>
          <w:shd w:val="clear" w:fill="FFFFFF"/>
          <w:lang w:val="en-US" w:eastAsia="zh-CN" w:bidi="ar-SA"/>
        </w:rPr>
      </w:pPr>
      <w:r>
        <w:rPr>
          <w:rStyle w:val="17"/>
          <w:rFonts w:hint="default" w:ascii="Times New Roman" w:hAnsi="Times New Roman" w:eastAsia="方正楷体_GBK" w:cs="Times New Roman"/>
          <w:b w:val="0"/>
          <w:bCs w:val="0"/>
          <w:color w:val="auto"/>
          <w:sz w:val="32"/>
          <w:szCs w:val="32"/>
          <w:shd w:val="clear" w:fill="FFFFFF"/>
          <w:lang w:val="en-US" w:eastAsia="zh-CN" w:bidi="ar-SA"/>
        </w:rPr>
        <w:t>一般公共预算财政拨款收入支出决算情况说明</w:t>
      </w:r>
      <w:r>
        <w:rPr>
          <w:rStyle w:val="17"/>
          <w:rFonts w:hint="eastAsia" w:ascii="Times New Roman" w:hAnsi="Times New Roman" w:eastAsia="方正楷体_GBK" w:cs="Times New Roman"/>
          <w:b w:val="0"/>
          <w:bCs w:val="0"/>
          <w:color w:val="auto"/>
          <w:sz w:val="32"/>
          <w:szCs w:val="32"/>
          <w:shd w:val="clear" w:fill="FFFFFF"/>
          <w:lang w:val="en-US" w:eastAsia="zh-CN" w:bidi="ar-SA"/>
        </w:rPr>
        <w:t>。</w:t>
      </w:r>
    </w:p>
    <w:p>
      <w:pPr>
        <w:pStyle w:val="12"/>
        <w:keepNext w:val="0"/>
        <w:keepLines w:val="0"/>
        <w:pageBreakBefore w:val="0"/>
        <w:widowControl w:val="0"/>
        <w:numPr>
          <w:ilvl w:val="0"/>
          <w:numId w:val="2"/>
        </w:numPr>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收入情况。</w:t>
      </w:r>
      <w:r>
        <w:rPr>
          <w:rFonts w:hint="default" w:ascii="Times New Roman" w:hAnsi="Times New Roman" w:eastAsia="方正仿宋_GBK" w:cs="Times New Roman"/>
          <w:b w:val="0"/>
          <w:bCs w:val="0"/>
          <w:color w:val="auto"/>
          <w:sz w:val="32"/>
          <w:szCs w:val="32"/>
          <w:shd w:val="clear" w:color="auto" w:fill="FFFFFF"/>
        </w:rPr>
        <w:t>2023年度一般公共预算财政拨款收入</w:t>
      </w:r>
      <w:r>
        <w:rPr>
          <w:rFonts w:hint="default" w:ascii="Times New Roman" w:hAnsi="Times New Roman" w:eastAsia="方正仿宋_GBK" w:cs="Times New Roman"/>
          <w:b w:val="0"/>
          <w:bCs w:val="0"/>
          <w:color w:val="auto"/>
          <w:sz w:val="32"/>
          <w:szCs w:val="32"/>
        </w:rPr>
        <w:t>291.06</w:t>
      </w:r>
      <w:r>
        <w:rPr>
          <w:rFonts w:hint="default" w:ascii="Times New Roman" w:hAnsi="Times New Roman" w:eastAsia="方正仿宋_GBK" w:cs="Times New Roman"/>
          <w:b w:val="0"/>
          <w:bCs w:val="0"/>
          <w:color w:val="auto"/>
          <w:sz w:val="32"/>
          <w:szCs w:val="32"/>
          <w:shd w:val="clear" w:color="auto" w:fill="FFFFFF"/>
        </w:rPr>
        <w:t>万元，较上年决算数增加23.79万元，增长8.90%。主要原因是</w:t>
      </w:r>
      <w:r>
        <w:rPr>
          <w:rFonts w:hint="default" w:ascii="Times New Roman" w:hAnsi="Times New Roman" w:eastAsia="方正仿宋_GBK" w:cs="Times New Roman"/>
          <w:b w:val="0"/>
          <w:bCs w:val="0"/>
          <w:color w:val="auto"/>
          <w:sz w:val="32"/>
          <w:szCs w:val="32"/>
          <w:shd w:val="clear" w:color="auto" w:fill="FFFFFF"/>
          <w:lang w:val="en-US" w:eastAsia="zh-CN"/>
        </w:rPr>
        <w:t>人员增加</w:t>
      </w:r>
      <w:r>
        <w:rPr>
          <w:rFonts w:hint="default" w:ascii="Times New Roman" w:hAnsi="Times New Roman" w:eastAsia="方正仿宋_GBK" w:cs="Times New Roman"/>
          <w:b w:val="0"/>
          <w:bCs w:val="0"/>
          <w:color w:val="auto"/>
          <w:sz w:val="32"/>
          <w:szCs w:val="32"/>
          <w:shd w:val="clear" w:color="auto" w:fill="FFFFFF"/>
        </w:rPr>
        <w:t>。较年初预算数增加16.92万元，增长6.17%。主要原因是</w:t>
      </w:r>
      <w:r>
        <w:rPr>
          <w:rFonts w:hint="default" w:ascii="Times New Roman" w:hAnsi="Times New Roman" w:eastAsia="方正仿宋_GBK" w:cs="Times New Roman"/>
          <w:b w:val="0"/>
          <w:bCs w:val="0"/>
          <w:color w:val="auto"/>
          <w:sz w:val="32"/>
          <w:szCs w:val="32"/>
          <w:shd w:val="clear" w:color="auto" w:fill="FFFFFF"/>
          <w:lang w:val="en-US" w:eastAsia="zh-CN"/>
        </w:rPr>
        <w:t>本年度新进2人，退休1人</w:t>
      </w:r>
      <w:r>
        <w:rPr>
          <w:rFonts w:hint="default" w:ascii="Times New Roman" w:hAnsi="Times New Roman" w:eastAsia="方正仿宋_GBK" w:cs="Times New Roman"/>
          <w:b w:val="0"/>
          <w:bCs w:val="0"/>
          <w:color w:val="auto"/>
          <w:sz w:val="32"/>
          <w:szCs w:val="32"/>
          <w:shd w:val="clear" w:color="auto" w:fill="FFFFFF"/>
        </w:rPr>
        <w:t>。此外，年初财政拨款结转和结余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pPr>
        <w:pStyle w:val="7"/>
        <w:keepNext w:val="0"/>
        <w:keepLines w:val="0"/>
        <w:pageBreakBefore w:val="0"/>
        <w:widowControl w:val="0"/>
        <w:numPr>
          <w:ilvl w:val="0"/>
          <w:numId w:val="2"/>
        </w:numPr>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支出情况。</w:t>
      </w:r>
      <w:r>
        <w:rPr>
          <w:rFonts w:hint="default" w:ascii="Times New Roman" w:hAnsi="Times New Roman" w:eastAsia="方正仿宋_GBK" w:cs="Times New Roman"/>
          <w:b w:val="0"/>
          <w:bCs w:val="0"/>
          <w:color w:val="auto"/>
          <w:sz w:val="32"/>
          <w:szCs w:val="32"/>
          <w:shd w:val="clear" w:color="auto" w:fill="FFFFFF"/>
        </w:rPr>
        <w:t>2023年度一般公共预算财政拨款支出</w:t>
      </w:r>
      <w:r>
        <w:rPr>
          <w:rFonts w:hint="default" w:ascii="Times New Roman" w:hAnsi="Times New Roman" w:eastAsia="方正仿宋_GBK" w:cs="Times New Roman"/>
          <w:b w:val="0"/>
          <w:bCs w:val="0"/>
          <w:color w:val="auto"/>
          <w:sz w:val="32"/>
          <w:szCs w:val="32"/>
        </w:rPr>
        <w:t>291.06</w:t>
      </w:r>
      <w:r>
        <w:rPr>
          <w:rFonts w:hint="default" w:ascii="Times New Roman" w:hAnsi="Times New Roman" w:eastAsia="方正仿宋_GBK" w:cs="Times New Roman"/>
          <w:b w:val="0"/>
          <w:bCs w:val="0"/>
          <w:color w:val="auto"/>
          <w:sz w:val="32"/>
          <w:szCs w:val="32"/>
          <w:shd w:val="clear" w:color="auto" w:fill="FFFFFF"/>
        </w:rPr>
        <w:t>万元，较上年决算数增加23.79万元，增长8.90%。主要原因是</w:t>
      </w:r>
      <w:r>
        <w:rPr>
          <w:rFonts w:hint="default" w:ascii="Times New Roman" w:hAnsi="Times New Roman" w:eastAsia="方正仿宋_GBK" w:cs="Times New Roman"/>
          <w:b w:val="0"/>
          <w:bCs w:val="0"/>
          <w:color w:val="auto"/>
          <w:sz w:val="32"/>
          <w:szCs w:val="32"/>
          <w:shd w:val="clear" w:color="auto" w:fill="FFFFFF"/>
          <w:lang w:val="en-US" w:eastAsia="zh-CN"/>
        </w:rPr>
        <w:t>人员增加</w:t>
      </w:r>
      <w:r>
        <w:rPr>
          <w:rFonts w:hint="default" w:ascii="Times New Roman" w:hAnsi="Times New Roman" w:eastAsia="方正仿宋_GBK" w:cs="Times New Roman"/>
          <w:b w:val="0"/>
          <w:bCs w:val="0"/>
          <w:color w:val="auto"/>
          <w:sz w:val="32"/>
          <w:szCs w:val="32"/>
          <w:shd w:val="clear" w:color="auto" w:fill="FFFFFF"/>
        </w:rPr>
        <w:t>。较年初预算数增加16.92万元，增长6.17%。主要原因是</w:t>
      </w:r>
      <w:r>
        <w:rPr>
          <w:rFonts w:hint="default" w:ascii="Times New Roman" w:hAnsi="Times New Roman" w:eastAsia="方正仿宋_GBK" w:cs="Times New Roman"/>
          <w:b w:val="0"/>
          <w:bCs w:val="0"/>
          <w:color w:val="auto"/>
          <w:sz w:val="32"/>
          <w:szCs w:val="32"/>
          <w:shd w:val="clear" w:color="auto" w:fill="FFFFFF"/>
          <w:lang w:val="en-US" w:eastAsia="zh-CN"/>
        </w:rPr>
        <w:t>本年度新进2人，退休1人</w:t>
      </w:r>
      <w:r>
        <w:rPr>
          <w:rFonts w:hint="default" w:ascii="Times New Roman" w:hAnsi="Times New Roman" w:eastAsia="方正仿宋_GBK" w:cs="Times New Roman"/>
          <w:b w:val="0"/>
          <w:bCs w:val="0"/>
          <w:color w:val="auto"/>
          <w:sz w:val="32"/>
          <w:szCs w:val="32"/>
          <w:shd w:val="clear" w:color="auto" w:fill="FFFFFF"/>
        </w:rPr>
        <w:t>。</w:t>
      </w:r>
    </w:p>
    <w:p>
      <w:pPr>
        <w:pStyle w:val="7"/>
        <w:keepNext w:val="0"/>
        <w:keepLines w:val="0"/>
        <w:pageBreakBefore w:val="0"/>
        <w:widowControl w:val="0"/>
        <w:numPr>
          <w:ilvl w:val="0"/>
          <w:numId w:val="2"/>
        </w:numPr>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结转结余情况。</w:t>
      </w:r>
      <w:r>
        <w:rPr>
          <w:rFonts w:hint="default" w:ascii="Times New Roman" w:hAnsi="Times New Roman" w:eastAsia="方正仿宋_GBK" w:cs="Times New Roman"/>
          <w:b w:val="0"/>
          <w:bCs w:val="0"/>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万元，较上年决算数无增减，主要原因是</w:t>
      </w:r>
      <w:r>
        <w:rPr>
          <w:rFonts w:hint="default" w:ascii="Times New Roman" w:hAnsi="Times New Roman" w:eastAsia="方正仿宋_GBK" w:cs="Times New Roman"/>
          <w:b w:val="0"/>
          <w:bCs w:val="0"/>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val="0"/>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cyan"/>
          <w:shd w:val="clear" w:color="auto" w:fill="FFFFFF"/>
        </w:rPr>
      </w:pPr>
      <w:r>
        <w:rPr>
          <w:rStyle w:val="11"/>
          <w:rFonts w:hint="default" w:ascii="Times New Roman" w:hAnsi="Times New Roman" w:eastAsia="方正仿宋_GBK" w:cs="Times New Roman"/>
          <w:b w:val="0"/>
          <w:bCs w:val="0"/>
          <w:color w:val="auto"/>
          <w:sz w:val="32"/>
          <w:szCs w:val="32"/>
          <w:shd w:val="clear" w:color="auto" w:fill="FFFFFF"/>
        </w:rPr>
        <w:t>4.</w:t>
      </w:r>
      <w:r>
        <w:rPr>
          <w:rStyle w:val="11"/>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val="0"/>
          <w:color w:val="auto"/>
          <w:sz w:val="32"/>
          <w:szCs w:val="32"/>
          <w:shd w:val="clear" w:color="auto" w:fill="FFFFFF"/>
        </w:rPr>
        <w:t>比较情况。</w:t>
      </w:r>
      <w:r>
        <w:rPr>
          <w:rFonts w:hint="default" w:ascii="Times New Roman" w:hAnsi="Times New Roman" w:eastAsia="方正仿宋_GBK" w:cs="Times New Roman"/>
          <w:b w:val="0"/>
          <w:bCs w:val="0"/>
          <w:color w:val="auto"/>
          <w:sz w:val="32"/>
          <w:szCs w:val="32"/>
          <w:shd w:val="clear" w:color="auto" w:fill="FFFFFF"/>
        </w:rPr>
        <w:t>本单位2023年度一般公共预算财政拨款支出主要用于以下几个方面：</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1</w:t>
      </w:r>
      <w:r>
        <w:rPr>
          <w:rFonts w:hint="default" w:ascii="Times New Roman" w:hAnsi="Times New Roman" w:eastAsia="方正仿宋_GBK" w:cs="Times New Roman"/>
          <w:b w:val="0"/>
          <w:bCs w:val="0"/>
          <w:color w:val="auto"/>
          <w:sz w:val="32"/>
          <w:szCs w:val="32"/>
          <w:shd w:val="clear" w:color="auto" w:fill="FFFFFF"/>
        </w:rPr>
        <w:t>）社会保障与就业支出</w:t>
      </w:r>
      <w:r>
        <w:rPr>
          <w:rFonts w:hint="default" w:ascii="Times New Roman" w:hAnsi="Times New Roman" w:eastAsia="方正仿宋_GBK" w:cs="Times New Roman"/>
          <w:b w:val="0"/>
          <w:bCs w:val="0"/>
          <w:color w:val="auto"/>
          <w:sz w:val="32"/>
          <w:szCs w:val="32"/>
        </w:rPr>
        <w:t>40.82</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14.02</w:t>
      </w:r>
      <w:r>
        <w:rPr>
          <w:rFonts w:hint="default" w:ascii="Times New Roman" w:hAnsi="Times New Roman" w:eastAsia="方正仿宋_GBK" w:cs="Times New Roman"/>
          <w:b w:val="0"/>
          <w:bCs w:val="0"/>
          <w:color w:val="auto"/>
          <w:sz w:val="32"/>
          <w:szCs w:val="32"/>
          <w:shd w:val="clear" w:color="auto" w:fill="FFFFFF"/>
        </w:rPr>
        <w:t>%，较年初预算数减少1.17万元，下降2.79%，主要原因是</w:t>
      </w:r>
      <w:r>
        <w:rPr>
          <w:rFonts w:hint="default" w:ascii="Times New Roman" w:hAnsi="Times New Roman" w:eastAsia="方正仿宋_GBK" w:cs="Times New Roman"/>
          <w:b w:val="0"/>
          <w:bCs w:val="0"/>
          <w:color w:val="auto"/>
          <w:sz w:val="32"/>
          <w:szCs w:val="32"/>
          <w:shd w:val="clear" w:color="auto" w:fill="FFFFFF"/>
          <w:lang w:val="en-US" w:eastAsia="zh-CN"/>
        </w:rPr>
        <w:t>退休一人，且新进人员社保基数低。</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2</w:t>
      </w:r>
      <w:r>
        <w:rPr>
          <w:rFonts w:hint="default" w:ascii="Times New Roman" w:hAnsi="Times New Roman" w:eastAsia="方正仿宋_GBK" w:cs="Times New Roman"/>
          <w:b w:val="0"/>
          <w:bCs w:val="0"/>
          <w:color w:val="auto"/>
          <w:sz w:val="32"/>
          <w:szCs w:val="32"/>
          <w:shd w:val="clear" w:color="auto" w:fill="FFFFFF"/>
        </w:rPr>
        <w:t>）卫生健康支出</w:t>
      </w:r>
      <w:r>
        <w:rPr>
          <w:rFonts w:hint="default" w:ascii="Times New Roman" w:hAnsi="Times New Roman" w:eastAsia="方正仿宋_GBK" w:cs="Times New Roman"/>
          <w:b w:val="0"/>
          <w:bCs w:val="0"/>
          <w:color w:val="auto"/>
          <w:sz w:val="32"/>
          <w:szCs w:val="32"/>
        </w:rPr>
        <w:t>12.65</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4.35</w:t>
      </w:r>
      <w:r>
        <w:rPr>
          <w:rFonts w:hint="default" w:ascii="Times New Roman" w:hAnsi="Times New Roman" w:eastAsia="方正仿宋_GBK" w:cs="Times New Roman"/>
          <w:b w:val="0"/>
          <w:bCs w:val="0"/>
          <w:color w:val="auto"/>
          <w:sz w:val="32"/>
          <w:szCs w:val="32"/>
          <w:shd w:val="clear" w:color="auto" w:fill="FFFFFF"/>
        </w:rPr>
        <w:t>%，较年初预算数增加1.27万元，增长11.16%，主要原因是</w:t>
      </w:r>
      <w:r>
        <w:rPr>
          <w:rFonts w:hint="default" w:ascii="Times New Roman" w:hAnsi="Times New Roman" w:eastAsia="方正仿宋_GBK" w:cs="Times New Roman"/>
          <w:b w:val="0"/>
          <w:bCs w:val="0"/>
          <w:color w:val="auto"/>
          <w:sz w:val="32"/>
          <w:szCs w:val="32"/>
          <w:shd w:val="clear" w:color="auto" w:fill="FFFFFF"/>
          <w:lang w:val="en-US" w:eastAsia="zh-CN"/>
        </w:rPr>
        <w:t>人员增加，医保垫底资金、医保缴费等增加</w:t>
      </w:r>
      <w:r>
        <w:rPr>
          <w:rFonts w:hint="default" w:ascii="Times New Roman" w:hAnsi="Times New Roman" w:eastAsia="方正仿宋_GBK" w:cs="Times New Roman"/>
          <w:b w:val="0"/>
          <w:bCs w:val="0"/>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3</w:t>
      </w:r>
      <w:r>
        <w:rPr>
          <w:rFonts w:hint="default" w:ascii="Times New Roman" w:hAnsi="Times New Roman" w:eastAsia="方正仿宋_GBK" w:cs="Times New Roman"/>
          <w:b w:val="0"/>
          <w:bCs w:val="0"/>
          <w:color w:val="auto"/>
          <w:sz w:val="32"/>
          <w:szCs w:val="32"/>
          <w:shd w:val="clear" w:color="auto" w:fill="FFFFFF"/>
        </w:rPr>
        <w:t>）城乡社区支出</w:t>
      </w:r>
      <w:r>
        <w:rPr>
          <w:rFonts w:hint="default" w:ascii="Times New Roman" w:hAnsi="Times New Roman" w:eastAsia="方正仿宋_GBK" w:cs="Times New Roman"/>
          <w:b w:val="0"/>
          <w:bCs w:val="0"/>
          <w:color w:val="auto"/>
          <w:sz w:val="32"/>
          <w:szCs w:val="32"/>
        </w:rPr>
        <w:t>223.99</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76.96</w:t>
      </w:r>
      <w:r>
        <w:rPr>
          <w:rFonts w:hint="default" w:ascii="Times New Roman" w:hAnsi="Times New Roman" w:eastAsia="方正仿宋_GBK" w:cs="Times New Roman"/>
          <w:b w:val="0"/>
          <w:bCs w:val="0"/>
          <w:color w:val="auto"/>
          <w:sz w:val="32"/>
          <w:szCs w:val="32"/>
          <w:shd w:val="clear" w:color="auto" w:fill="FFFFFF"/>
        </w:rPr>
        <w:t>%，较年初预算数增加14.58万元，增长6.96%，主要原因是</w:t>
      </w:r>
      <w:r>
        <w:rPr>
          <w:rFonts w:hint="default" w:ascii="Times New Roman" w:hAnsi="Times New Roman" w:eastAsia="方正仿宋_GBK" w:cs="Times New Roman"/>
          <w:b w:val="0"/>
          <w:bCs w:val="0"/>
          <w:color w:val="auto"/>
          <w:sz w:val="32"/>
          <w:szCs w:val="32"/>
          <w:shd w:val="clear" w:color="auto" w:fill="FFFFFF"/>
          <w:lang w:val="en-US" w:eastAsia="zh-CN"/>
        </w:rPr>
        <w:t>人员增加，工资福利及日常公用经费增加</w:t>
      </w:r>
      <w:r>
        <w:rPr>
          <w:rFonts w:hint="default" w:ascii="Times New Roman" w:hAnsi="Times New Roman" w:eastAsia="方正仿宋_GBK" w:cs="Times New Roman"/>
          <w:b w:val="0"/>
          <w:bCs w:val="0"/>
          <w:color w:val="auto"/>
          <w:sz w:val="32"/>
          <w:szCs w:val="32"/>
          <w:shd w:val="clear" w:color="auto" w:fill="FFFFFF"/>
        </w:rPr>
        <w:t>。</w:t>
      </w:r>
    </w:p>
    <w:p>
      <w:pPr>
        <w:keepNext w:val="0"/>
        <w:keepLines w:val="0"/>
        <w:pageBreakBefore w:val="0"/>
        <w:widowControl w:val="0"/>
        <w:kinsoku/>
        <w:wordWrap/>
        <w:overflowPunct/>
        <w:topLinePunct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4</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住房保障支出13.59</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4.67</w:t>
      </w:r>
      <w:r>
        <w:rPr>
          <w:rFonts w:hint="default" w:ascii="Times New Roman" w:hAnsi="Times New Roman" w:eastAsia="方正仿宋_GBK" w:cs="Times New Roman"/>
          <w:b w:val="0"/>
          <w:bCs w:val="0"/>
          <w:color w:val="auto"/>
          <w:sz w:val="32"/>
          <w:szCs w:val="32"/>
          <w:shd w:val="clear" w:color="auto" w:fill="FFFFFF"/>
        </w:rPr>
        <w:t>%，较年初预算数增加2.23万元，增长19.63%，主要原因是</w:t>
      </w:r>
      <w:r>
        <w:rPr>
          <w:rFonts w:hint="default" w:ascii="Times New Roman" w:hAnsi="Times New Roman" w:eastAsia="方正仿宋_GBK" w:cs="Times New Roman"/>
          <w:b w:val="0"/>
          <w:bCs w:val="0"/>
          <w:color w:val="auto"/>
          <w:sz w:val="32"/>
          <w:szCs w:val="32"/>
          <w:shd w:val="clear" w:color="auto" w:fill="FFFFFF"/>
          <w:lang w:val="en-US" w:eastAsia="zh-CN"/>
        </w:rPr>
        <w:t>人员增加，住房公积金缴费增加</w:t>
      </w:r>
      <w:r>
        <w:rPr>
          <w:rFonts w:hint="default" w:ascii="Times New Roman" w:hAnsi="Times New Roman" w:eastAsia="方正仿宋_GBK" w:cs="Times New Roman"/>
          <w:b w:val="0"/>
          <w:bCs w:val="0"/>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Style w:val="17"/>
          <w:rFonts w:hint="default" w:ascii="Times New Roman" w:hAnsi="Times New Roman" w:eastAsia="方正楷体_GBK" w:cs="Times New Roman"/>
          <w:b w:val="0"/>
          <w:bCs w:val="0"/>
          <w:color w:val="auto"/>
          <w:sz w:val="32"/>
          <w:szCs w:val="32"/>
          <w:shd w:val="clear" w:fill="FFFFFF"/>
          <w:lang w:val="en-US" w:eastAsia="zh-CN" w:bidi="ar-SA"/>
        </w:rPr>
      </w:pPr>
      <w:r>
        <w:rPr>
          <w:rStyle w:val="17"/>
          <w:rFonts w:hint="default" w:ascii="Times New Roman" w:hAnsi="Times New Roman" w:eastAsia="方正楷体_GBK" w:cs="Times New Roman"/>
          <w:b w:val="0"/>
          <w:bCs w:val="0"/>
          <w:color w:val="auto"/>
          <w:sz w:val="32"/>
          <w:szCs w:val="32"/>
          <w:shd w:val="clear" w:fill="FFFFFF"/>
          <w:lang w:val="en-US" w:eastAsia="zh-CN" w:bidi="ar-SA"/>
        </w:rPr>
        <w:t>（四）一般公共预算财政拨款基本支出决算情况说明</w:t>
      </w:r>
      <w:r>
        <w:rPr>
          <w:rStyle w:val="17"/>
          <w:rFonts w:hint="eastAsia" w:ascii="Times New Roman" w:hAnsi="Times New Roman" w:eastAsia="方正楷体_GBK" w:cs="Times New Roman"/>
          <w:b w:val="0"/>
          <w:bCs w:val="0"/>
          <w:color w:val="auto"/>
          <w:sz w:val="32"/>
          <w:szCs w:val="32"/>
          <w:shd w:val="clear" w:fill="FFFFFF"/>
          <w:lang w:val="en-US" w:eastAsia="zh-CN" w:bidi="ar-SA"/>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shd w:val="clear" w:color="auto" w:fill="FFFFFF"/>
        </w:rPr>
        <w:t> 2023年度一般公共财政拨款基本支出</w:t>
      </w:r>
      <w:r>
        <w:rPr>
          <w:rFonts w:hint="default" w:ascii="Times New Roman" w:hAnsi="Times New Roman" w:eastAsia="方正仿宋_GBK" w:cs="Times New Roman"/>
          <w:b w:val="0"/>
          <w:bCs w:val="0"/>
          <w:color w:val="auto"/>
          <w:sz w:val="32"/>
          <w:szCs w:val="32"/>
        </w:rPr>
        <w:t>291.06</w:t>
      </w:r>
      <w:r>
        <w:rPr>
          <w:rFonts w:hint="default" w:ascii="Times New Roman" w:hAnsi="Times New Roman" w:eastAsia="方正仿宋_GBK" w:cs="Times New Roman"/>
          <w:b w:val="0"/>
          <w:bCs w:val="0"/>
          <w:color w:val="auto"/>
          <w:sz w:val="32"/>
          <w:szCs w:val="32"/>
          <w:shd w:val="clear" w:color="auto" w:fill="FFFFFF"/>
        </w:rPr>
        <w:t>万元。其中：人员经费</w:t>
      </w:r>
      <w:r>
        <w:rPr>
          <w:rFonts w:hint="default" w:ascii="Times New Roman" w:hAnsi="Times New Roman" w:eastAsia="方正仿宋_GBK" w:cs="Times New Roman"/>
          <w:b w:val="0"/>
          <w:bCs w:val="0"/>
          <w:color w:val="auto"/>
          <w:sz w:val="32"/>
          <w:szCs w:val="32"/>
        </w:rPr>
        <w:t>260.22</w:t>
      </w:r>
      <w:r>
        <w:rPr>
          <w:rFonts w:hint="default" w:ascii="Times New Roman" w:hAnsi="Times New Roman" w:eastAsia="方正仿宋_GBK" w:cs="Times New Roman"/>
          <w:b w:val="0"/>
          <w:bCs w:val="0"/>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，较上年决算数增加31.88万元，增长13.96%，主要原因是</w:t>
      </w:r>
      <w:r>
        <w:rPr>
          <w:rFonts w:hint="default" w:ascii="Times New Roman" w:hAnsi="Times New Roman" w:eastAsia="方正仿宋_GBK" w:cs="Times New Roman"/>
          <w:color w:val="auto"/>
          <w:sz w:val="32"/>
          <w:szCs w:val="32"/>
          <w:shd w:val="clear" w:color="auto" w:fill="FFFFFF"/>
          <w:lang w:val="en-US" w:eastAsia="zh-CN"/>
        </w:rPr>
        <w:t>本年度新进2人，退休1人，且职工社保、公积金等缴费基数调增</w:t>
      </w:r>
      <w:r>
        <w:rPr>
          <w:rFonts w:hint="default" w:ascii="Times New Roman" w:hAnsi="Times New Roman" w:eastAsia="方正仿宋_GBK" w:cs="Times New Roman"/>
          <w:color w:val="auto"/>
          <w:sz w:val="32"/>
          <w:szCs w:val="32"/>
          <w:shd w:val="clear" w:color="auto" w:fill="FFFFFF"/>
        </w:rPr>
        <w:t>。人员经费用途主要包括基本工资、津贴补贴、绩效工资、社会保障缴费、住房公积金。公用经费</w:t>
      </w:r>
      <w:r>
        <w:rPr>
          <w:rFonts w:hint="default" w:ascii="Times New Roman" w:hAnsi="Times New Roman" w:eastAsia="方正仿宋_GBK" w:cs="Times New Roman"/>
          <w:color w:val="auto"/>
          <w:sz w:val="32"/>
          <w:szCs w:val="32"/>
        </w:rPr>
        <w:t>30.84</w:t>
      </w:r>
      <w:r>
        <w:rPr>
          <w:rFonts w:hint="default" w:ascii="Times New Roman" w:hAnsi="Times New Roman" w:eastAsia="方正仿宋_GBK" w:cs="Times New Roman"/>
          <w:color w:val="auto"/>
          <w:sz w:val="32"/>
          <w:szCs w:val="32"/>
          <w:shd w:val="clear" w:color="auto" w:fill="FFFFFF"/>
        </w:rPr>
        <w:t>万元，较上年决算数减少8.09万元，下降20.78%，主要原因是</w:t>
      </w:r>
      <w:r>
        <w:rPr>
          <w:rFonts w:hint="default" w:ascii="Times New Roman" w:hAnsi="Times New Roman" w:eastAsia="方正仿宋_GBK" w:cs="Times New Roman"/>
          <w:color w:val="auto"/>
          <w:sz w:val="32"/>
          <w:szCs w:val="32"/>
          <w:shd w:val="clear" w:color="auto" w:fill="FFFFFF"/>
          <w:lang w:val="en-US" w:eastAsia="zh-CN"/>
        </w:rPr>
        <w:t>厉行节约，减少公用经费支出</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b w:val="0"/>
          <w:color w:val="auto"/>
          <w:kern w:val="0"/>
          <w:sz w:val="32"/>
          <w:szCs w:val="32"/>
          <w:shd w:val="clear" w:fill="FFFFFF"/>
        </w:rPr>
        <w:t>办公费、</w:t>
      </w:r>
      <w:r>
        <w:rPr>
          <w:rFonts w:hint="default" w:ascii="Times New Roman" w:hAnsi="Times New Roman" w:eastAsia="方正仿宋_GBK" w:cs="Times New Roman"/>
          <w:b w:val="0"/>
          <w:color w:val="auto"/>
          <w:kern w:val="0"/>
          <w:sz w:val="32"/>
          <w:szCs w:val="32"/>
          <w:shd w:val="clear" w:fill="FFFFFF"/>
          <w:lang w:val="en-US" w:eastAsia="zh-CN"/>
        </w:rPr>
        <w:t>水费、</w:t>
      </w:r>
      <w:r>
        <w:rPr>
          <w:rFonts w:hint="default" w:ascii="Times New Roman" w:hAnsi="Times New Roman" w:eastAsia="方正仿宋_GBK" w:cs="Times New Roman"/>
          <w:b w:val="0"/>
          <w:color w:val="auto"/>
          <w:kern w:val="0"/>
          <w:sz w:val="32"/>
          <w:szCs w:val="32"/>
          <w:shd w:val="clear" w:fill="FFFFFF"/>
        </w:rPr>
        <w:t>电费、</w:t>
      </w:r>
      <w:r>
        <w:rPr>
          <w:rFonts w:hint="default" w:ascii="Times New Roman" w:hAnsi="Times New Roman" w:eastAsia="方正仿宋_GBK" w:cs="Times New Roman"/>
          <w:b w:val="0"/>
          <w:color w:val="auto"/>
          <w:kern w:val="0"/>
          <w:sz w:val="32"/>
          <w:szCs w:val="32"/>
          <w:shd w:val="clear" w:fill="FFFFFF"/>
          <w:lang w:val="en-US" w:eastAsia="zh-CN"/>
        </w:rPr>
        <w:t>培训费</w:t>
      </w:r>
      <w:r>
        <w:rPr>
          <w:rFonts w:hint="default" w:ascii="Times New Roman" w:hAnsi="Times New Roman" w:eastAsia="方正仿宋_GBK" w:cs="Times New Roman"/>
          <w:b w:val="0"/>
          <w:color w:val="auto"/>
          <w:kern w:val="0"/>
          <w:sz w:val="32"/>
          <w:szCs w:val="32"/>
          <w:shd w:val="clear" w:fill="FFFFFF"/>
        </w:rPr>
        <w:t>、工会经费和其他商品和服务支出</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Style w:val="17"/>
          <w:rFonts w:hint="default" w:ascii="Times New Roman" w:hAnsi="Times New Roman" w:eastAsia="方正楷体_GBK" w:cs="Times New Roman"/>
          <w:b w:val="0"/>
          <w:color w:val="auto"/>
          <w:sz w:val="32"/>
          <w:szCs w:val="32"/>
          <w:shd w:val="clear" w:fill="FFFFFF"/>
          <w:lang w:val="en-US" w:eastAsia="zh-CN" w:bidi="ar-SA"/>
        </w:rPr>
      </w:pPr>
      <w:r>
        <w:rPr>
          <w:rStyle w:val="17"/>
          <w:rFonts w:hint="default" w:ascii="Times New Roman" w:hAnsi="Times New Roman" w:eastAsia="方正楷体_GBK" w:cs="Times New Roman"/>
          <w:b w:val="0"/>
          <w:color w:val="auto"/>
          <w:sz w:val="32"/>
          <w:szCs w:val="32"/>
          <w:shd w:val="clear" w:fill="FFFFFF"/>
          <w:lang w:val="en-US" w:eastAsia="zh-CN" w:bidi="ar-SA"/>
        </w:rPr>
        <w:t>（五）政府性基金预算收支决算情况说明</w:t>
      </w:r>
      <w:r>
        <w:rPr>
          <w:rStyle w:val="17"/>
          <w:rFonts w:hint="eastAsia" w:ascii="Times New Roman" w:hAnsi="Times New Roman" w:eastAsia="方正楷体_GBK" w:cs="Times New Roman"/>
          <w:b w:val="0"/>
          <w:color w:val="auto"/>
          <w:sz w:val="32"/>
          <w:szCs w:val="32"/>
          <w:shd w:val="clear" w:fill="FFFFFF"/>
          <w:lang w:val="en-US" w:eastAsia="zh-CN" w:bidi="ar-SA"/>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本单位2023年度无政府性基金预算财政拨款收支。</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Style w:val="17"/>
          <w:rFonts w:hint="default" w:ascii="Times New Roman" w:hAnsi="Times New Roman" w:eastAsia="方正楷体_GBK" w:cs="Times New Roman"/>
          <w:b w:val="0"/>
          <w:color w:val="auto"/>
          <w:sz w:val="32"/>
          <w:szCs w:val="32"/>
          <w:shd w:val="clear" w:fill="FFFFFF"/>
          <w:lang w:val="en-US" w:eastAsia="zh-CN" w:bidi="ar-SA"/>
        </w:rPr>
      </w:pPr>
      <w:r>
        <w:rPr>
          <w:rStyle w:val="17"/>
          <w:rFonts w:hint="default" w:ascii="Times New Roman" w:hAnsi="Times New Roman" w:eastAsia="方正楷体_GBK" w:cs="Times New Roman"/>
          <w:b w:val="0"/>
          <w:color w:val="auto"/>
          <w:sz w:val="32"/>
          <w:szCs w:val="32"/>
          <w:shd w:val="clear" w:fill="FFFFFF"/>
          <w:lang w:val="en-US" w:eastAsia="zh-CN" w:bidi="ar-SA"/>
        </w:rPr>
        <w:t>（六）国有资本经营预算财政拨款支出决算情况说明</w:t>
      </w:r>
      <w:r>
        <w:rPr>
          <w:rStyle w:val="17"/>
          <w:rFonts w:hint="eastAsia" w:ascii="Times New Roman" w:hAnsi="Times New Roman" w:eastAsia="方正楷体_GBK" w:cs="Times New Roman"/>
          <w:b w:val="0"/>
          <w:color w:val="auto"/>
          <w:sz w:val="32"/>
          <w:szCs w:val="32"/>
          <w:shd w:val="clear" w:fill="FFFFFF"/>
          <w:lang w:val="en-US" w:eastAsia="zh-CN" w:bidi="ar-SA"/>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本单位2023年度无国有资本经营预算财政拨款支出。</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default" w:ascii="Times New Roman" w:hAnsi="Times New Roman" w:eastAsia="方正黑体_GBK" w:cs="Times New Roman"/>
          <w:b w:val="0"/>
          <w:bCs/>
          <w:sz w:val="32"/>
          <w:szCs w:val="32"/>
          <w:shd w:val="clear" w:color="auto" w:fill="FFFFFF"/>
          <w:lang w:val="en-US" w:eastAsia="zh-CN"/>
        </w:rPr>
        <w:t>三、“三公”经费情况说明</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textAlignment w:val="auto"/>
        <w:rPr>
          <w:rStyle w:val="17"/>
          <w:rFonts w:hint="default" w:ascii="Times New Roman" w:hAnsi="Times New Roman" w:eastAsia="方正楷体_GBK" w:cs="Times New Roman"/>
          <w:b w:val="0"/>
          <w:color w:val="auto"/>
          <w:sz w:val="32"/>
          <w:szCs w:val="32"/>
          <w:shd w:val="clear" w:fill="FFFFFF"/>
          <w:lang w:val="en-US" w:eastAsia="zh-CN" w:bidi="ar-SA"/>
        </w:rPr>
      </w:pPr>
      <w:r>
        <w:rPr>
          <w:rStyle w:val="17"/>
          <w:rFonts w:hint="default" w:ascii="Times New Roman" w:hAnsi="Times New Roman" w:eastAsia="方正楷体_GBK" w:cs="Times New Roman"/>
          <w:b w:val="0"/>
          <w:color w:val="auto"/>
          <w:sz w:val="32"/>
          <w:szCs w:val="32"/>
          <w:shd w:val="clear" w:fill="FFFFFF"/>
          <w:lang w:val="en-US" w:eastAsia="zh-CN" w:bidi="ar-SA"/>
        </w:rPr>
        <w:t>（一）“三公”经费支出总体情况说明</w:t>
      </w:r>
      <w:r>
        <w:rPr>
          <w:rStyle w:val="17"/>
          <w:rFonts w:hint="eastAsia" w:ascii="Times New Roman" w:hAnsi="Times New Roman" w:eastAsia="方正楷体_GBK" w:cs="Times New Roman"/>
          <w:b w:val="0"/>
          <w:color w:val="auto"/>
          <w:sz w:val="32"/>
          <w:szCs w:val="32"/>
          <w:shd w:val="clear" w:fill="FFFFFF"/>
          <w:lang w:val="en-US" w:eastAsia="zh-CN" w:bidi="ar-SA"/>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本单位2023年度无“三公”经费预算</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本单位2023年度无“三公”经费支出</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Style w:val="17"/>
          <w:rFonts w:hint="default" w:ascii="Times New Roman" w:hAnsi="Times New Roman" w:eastAsia="方正楷体_GBK" w:cs="Times New Roman"/>
          <w:b w:val="0"/>
          <w:color w:val="auto"/>
          <w:sz w:val="32"/>
          <w:szCs w:val="32"/>
          <w:shd w:val="clear" w:fill="FFFFFF"/>
          <w:lang w:val="en-US" w:eastAsia="zh-CN" w:bidi="ar-SA"/>
        </w:rPr>
      </w:pPr>
      <w:r>
        <w:rPr>
          <w:rStyle w:val="17"/>
          <w:rFonts w:hint="default" w:ascii="Times New Roman" w:hAnsi="Times New Roman" w:eastAsia="方正楷体_GBK" w:cs="Times New Roman"/>
          <w:b w:val="0"/>
          <w:color w:val="auto"/>
          <w:sz w:val="32"/>
          <w:szCs w:val="32"/>
          <w:shd w:val="clear" w:fill="FFFFFF"/>
          <w:lang w:val="en-US" w:eastAsia="zh-CN" w:bidi="ar-SA"/>
        </w:rPr>
        <w:t>（二）“三公”经费分项支出情况</w:t>
      </w:r>
      <w:r>
        <w:rPr>
          <w:rStyle w:val="17"/>
          <w:rFonts w:hint="eastAsia" w:ascii="Times New Roman" w:hAnsi="Times New Roman" w:eastAsia="方正楷体_GBK" w:cs="Times New Roman"/>
          <w:b w:val="0"/>
          <w:color w:val="auto"/>
          <w:sz w:val="32"/>
          <w:szCs w:val="32"/>
          <w:shd w:val="clear" w:fill="FFFFFF"/>
          <w:lang w:val="en-US" w:eastAsia="zh-CN" w:bidi="ar-SA"/>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年度未发生公务车购置费用</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b w:val="0"/>
          <w:color w:val="auto"/>
          <w:kern w:val="0"/>
          <w:sz w:val="32"/>
          <w:szCs w:val="32"/>
          <w:shd w:val="clear" w:fill="FFFFFF"/>
        </w:rPr>
        <w:t>公务车购置费用</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w:t>
      </w:r>
      <w:r>
        <w:rPr>
          <w:rFonts w:hint="default" w:ascii="Times New Roman" w:hAnsi="Times New Roman" w:eastAsia="方正仿宋_GBK" w:cs="Times New Roman"/>
          <w:color w:val="auto"/>
          <w:sz w:val="32"/>
          <w:szCs w:val="32"/>
          <w:shd w:val="clear" w:color="auto" w:fill="FFFFFF"/>
        </w:rPr>
        <w:t>公务车运行维护费。较上年支出数无增减，主要原因是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color w:val="auto"/>
          <w:sz w:val="32"/>
          <w:szCs w:val="32"/>
          <w:shd w:val="clear" w:color="auto" w:fill="FFFFFF"/>
        </w:rPr>
        <w:t>公务车运行维护费。</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w:t>
      </w:r>
      <w:r>
        <w:rPr>
          <w:rFonts w:hint="default" w:ascii="Times New Roman" w:hAnsi="Times New Roman" w:eastAsia="方正仿宋_GBK" w:cs="Times New Roman"/>
          <w:color w:val="auto"/>
          <w:sz w:val="32"/>
          <w:szCs w:val="32"/>
          <w:shd w:val="clear" w:color="auto" w:fill="FFFFFF"/>
        </w:rPr>
        <w:t>公务接待费。较上年支出数无增减，主要原因是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color w:val="auto"/>
          <w:sz w:val="32"/>
          <w:szCs w:val="32"/>
          <w:shd w:val="clear" w:color="auto" w:fill="FFFFFF"/>
        </w:rPr>
        <w:t>公务接待费。</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Style w:val="17"/>
          <w:rFonts w:hint="default" w:ascii="Times New Roman" w:hAnsi="Times New Roman" w:eastAsia="方正楷体_GBK" w:cs="Times New Roman"/>
          <w:b w:val="0"/>
          <w:color w:val="auto"/>
          <w:sz w:val="32"/>
          <w:szCs w:val="32"/>
          <w:shd w:val="clear" w:fill="FFFFFF"/>
          <w:lang w:val="en-US" w:eastAsia="zh-CN" w:bidi="ar-SA"/>
        </w:rPr>
      </w:pPr>
      <w:r>
        <w:rPr>
          <w:rStyle w:val="17"/>
          <w:rFonts w:hint="default" w:ascii="Times New Roman" w:hAnsi="Times New Roman" w:eastAsia="方正楷体_GBK" w:cs="Times New Roman"/>
          <w:b w:val="0"/>
          <w:color w:val="auto"/>
          <w:sz w:val="32"/>
          <w:szCs w:val="32"/>
          <w:shd w:val="clear" w:fill="FFFFFF"/>
          <w:lang w:val="en-US" w:eastAsia="zh-CN" w:bidi="ar-SA"/>
        </w:rPr>
        <w:t>（三）“三公”经费实物量情况</w:t>
      </w:r>
      <w:r>
        <w:rPr>
          <w:rStyle w:val="17"/>
          <w:rFonts w:hint="eastAsia" w:ascii="Times New Roman" w:hAnsi="Times New Roman" w:eastAsia="方正楷体_GBK" w:cs="Times New Roman"/>
          <w:b w:val="0"/>
          <w:color w:val="auto"/>
          <w:sz w:val="32"/>
          <w:szCs w:val="32"/>
          <w:shd w:val="clear" w:fill="FFFFFF"/>
          <w:lang w:val="en-US" w:eastAsia="zh-CN" w:bidi="ar-SA"/>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Style w:val="17"/>
          <w:rFonts w:hint="default" w:ascii="Times New Roman" w:hAnsi="Times New Roman" w:eastAsia="方正楷体_GBK" w:cs="Times New Roman"/>
          <w:b w:val="0"/>
          <w:color w:val="auto"/>
          <w:sz w:val="32"/>
          <w:szCs w:val="32"/>
          <w:shd w:val="clear" w:fill="FFFFFF"/>
          <w:lang w:val="en-US" w:eastAsia="zh-CN" w:bidi="ar-SA"/>
        </w:rPr>
      </w:pPr>
      <w:r>
        <w:rPr>
          <w:rStyle w:val="17"/>
          <w:rFonts w:hint="default" w:ascii="Times New Roman" w:hAnsi="Times New Roman" w:eastAsia="方正楷体_GBK" w:cs="Times New Roman"/>
          <w:b w:val="0"/>
          <w:color w:val="auto"/>
          <w:sz w:val="32"/>
          <w:szCs w:val="32"/>
          <w:shd w:val="clear" w:fill="FFFFFF"/>
          <w:lang w:val="en-US" w:eastAsia="zh-CN" w:bidi="ar-SA"/>
        </w:rPr>
        <w:t>（一）财政拨款会议费和培训费情况说明</w:t>
      </w:r>
      <w:r>
        <w:rPr>
          <w:rStyle w:val="17"/>
          <w:rFonts w:hint="eastAsia" w:ascii="Times New Roman" w:hAnsi="Times New Roman" w:eastAsia="方正楷体_GBK" w:cs="Times New Roman"/>
          <w:b w:val="0"/>
          <w:color w:val="auto"/>
          <w:sz w:val="32"/>
          <w:szCs w:val="32"/>
          <w:shd w:val="clear" w:fill="FFFFFF"/>
          <w:lang w:val="en-US" w:eastAsia="zh-CN" w:bidi="ar-SA"/>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本单位2023年度未开展相关会议</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1.42</w:t>
      </w:r>
      <w:r>
        <w:rPr>
          <w:rFonts w:hint="default" w:ascii="Times New Roman" w:hAnsi="Times New Roman" w:eastAsia="方正仿宋_GBK" w:cs="Times New Roman"/>
          <w:color w:val="auto"/>
          <w:sz w:val="32"/>
          <w:szCs w:val="32"/>
          <w:shd w:val="clear" w:color="auto" w:fill="FFFFFF"/>
        </w:rPr>
        <w:t>万元，较上年决算数增加1.42万元，增长100.00%，主要原因是</w:t>
      </w:r>
      <w:r>
        <w:rPr>
          <w:rFonts w:hint="default" w:ascii="Times New Roman" w:hAnsi="Times New Roman" w:eastAsia="方正仿宋_GBK" w:cs="Times New Roman"/>
          <w:color w:val="auto"/>
          <w:sz w:val="32"/>
          <w:szCs w:val="32"/>
          <w:shd w:val="clear" w:color="auto" w:fill="FFFFFF"/>
          <w:lang w:val="en-US" w:eastAsia="zh-CN"/>
        </w:rPr>
        <w:t>本单位2023年度</w:t>
      </w:r>
      <w:r>
        <w:rPr>
          <w:rFonts w:hint="default" w:ascii="Times New Roman" w:hAnsi="Times New Roman" w:eastAsia="方正仿宋_GBK" w:cs="Times New Roman"/>
          <w:b w:val="0"/>
          <w:color w:val="auto"/>
          <w:kern w:val="0"/>
          <w:sz w:val="32"/>
          <w:szCs w:val="32"/>
          <w:shd w:val="clear" w:fill="FFFFFF"/>
        </w:rPr>
        <w:t>新增职工教育经费</w:t>
      </w:r>
      <w:r>
        <w:rPr>
          <w:rFonts w:hint="default" w:ascii="Times New Roman" w:hAnsi="Times New Roman" w:eastAsia="方正仿宋_GBK" w:cs="Times New Roman"/>
          <w:b w:val="0"/>
          <w:color w:val="auto"/>
          <w:kern w:val="0"/>
          <w:sz w:val="32"/>
          <w:szCs w:val="32"/>
          <w:shd w:val="clear" w:fill="FFFFFF"/>
          <w:lang w:val="en-US" w:eastAsia="zh-CN"/>
        </w:rPr>
        <w:t>支出</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Style w:val="17"/>
          <w:rFonts w:hint="default" w:ascii="Times New Roman" w:hAnsi="Times New Roman" w:eastAsia="方正楷体_GBK" w:cs="Times New Roman"/>
          <w:b w:val="0"/>
          <w:color w:val="auto"/>
          <w:sz w:val="32"/>
          <w:szCs w:val="32"/>
          <w:shd w:val="clear" w:fill="FFFFFF"/>
          <w:lang w:val="en-US" w:eastAsia="zh-CN" w:bidi="ar-SA"/>
        </w:rPr>
      </w:pPr>
      <w:r>
        <w:rPr>
          <w:rStyle w:val="17"/>
          <w:rFonts w:hint="default" w:ascii="Times New Roman" w:hAnsi="Times New Roman" w:eastAsia="方正楷体_GBK" w:cs="Times New Roman"/>
          <w:b w:val="0"/>
          <w:color w:val="auto"/>
          <w:sz w:val="32"/>
          <w:szCs w:val="32"/>
          <w:shd w:val="clear" w:fill="FFFFFF"/>
          <w:lang w:val="en-US" w:eastAsia="zh-CN" w:bidi="ar-SA"/>
        </w:rPr>
        <w:t>（二）机关运行经费情况说明</w:t>
      </w:r>
      <w:r>
        <w:rPr>
          <w:rStyle w:val="17"/>
          <w:rFonts w:hint="eastAsia" w:ascii="Times New Roman" w:hAnsi="Times New Roman" w:eastAsia="方正楷体_GBK" w:cs="Times New Roman"/>
          <w:b w:val="0"/>
          <w:color w:val="auto"/>
          <w:sz w:val="32"/>
          <w:szCs w:val="32"/>
          <w:shd w:val="clear" w:fill="FFFFFF"/>
          <w:lang w:val="en-US" w:eastAsia="zh-CN" w:bidi="ar-SA"/>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Style w:val="17"/>
          <w:rFonts w:hint="default" w:ascii="Times New Roman" w:hAnsi="Times New Roman" w:eastAsia="方正楷体_GBK" w:cs="Times New Roman"/>
          <w:b w:val="0"/>
          <w:color w:val="auto"/>
          <w:sz w:val="32"/>
          <w:szCs w:val="32"/>
          <w:shd w:val="clear" w:fill="FFFFFF"/>
          <w:lang w:val="en-US" w:eastAsia="zh-CN" w:bidi="ar-SA"/>
        </w:rPr>
      </w:pPr>
      <w:r>
        <w:rPr>
          <w:rStyle w:val="17"/>
          <w:rFonts w:hint="default" w:ascii="Times New Roman" w:hAnsi="Times New Roman" w:eastAsia="方正楷体_GBK" w:cs="Times New Roman"/>
          <w:b w:val="0"/>
          <w:color w:val="auto"/>
          <w:sz w:val="32"/>
          <w:szCs w:val="32"/>
          <w:shd w:val="clear" w:fill="FFFFFF"/>
          <w:lang w:val="en-US" w:eastAsia="zh-CN" w:bidi="ar-SA"/>
        </w:rPr>
        <w:t>（三）国有资产占用情况说明</w:t>
      </w:r>
      <w:r>
        <w:rPr>
          <w:rStyle w:val="17"/>
          <w:rFonts w:hint="eastAsia" w:ascii="Times New Roman" w:hAnsi="Times New Roman" w:eastAsia="方正楷体_GBK" w:cs="Times New Roman"/>
          <w:b w:val="0"/>
          <w:color w:val="auto"/>
          <w:sz w:val="32"/>
          <w:szCs w:val="32"/>
          <w:shd w:val="clear" w:fill="FFFFFF"/>
          <w:lang w:val="en-US" w:eastAsia="zh-CN" w:bidi="ar-SA"/>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Style w:val="17"/>
          <w:rFonts w:hint="default" w:ascii="Times New Roman" w:hAnsi="Times New Roman" w:eastAsia="方正楷体_GBK" w:cs="Times New Roman"/>
          <w:b w:val="0"/>
          <w:color w:val="auto"/>
          <w:sz w:val="32"/>
          <w:szCs w:val="32"/>
          <w:shd w:val="clear" w:fill="FFFFFF"/>
          <w:lang w:val="en-US" w:eastAsia="zh-CN" w:bidi="ar-SA"/>
        </w:rPr>
      </w:pPr>
      <w:r>
        <w:rPr>
          <w:rStyle w:val="17"/>
          <w:rFonts w:hint="default" w:ascii="Times New Roman" w:hAnsi="Times New Roman" w:eastAsia="方正楷体_GBK" w:cs="Times New Roman"/>
          <w:b w:val="0"/>
          <w:color w:val="auto"/>
          <w:sz w:val="32"/>
          <w:szCs w:val="32"/>
          <w:shd w:val="clear" w:fill="FFFFFF"/>
          <w:lang w:val="en-US" w:eastAsia="zh-CN" w:bidi="ar-SA"/>
        </w:rPr>
        <w:t>（四）政府采购支出情况说明</w:t>
      </w:r>
      <w:r>
        <w:rPr>
          <w:rStyle w:val="17"/>
          <w:rFonts w:hint="eastAsia" w:ascii="Times New Roman" w:hAnsi="Times New Roman" w:eastAsia="方正楷体_GBK" w:cs="Times New Roman"/>
          <w:b w:val="0"/>
          <w:color w:val="auto"/>
          <w:sz w:val="32"/>
          <w:szCs w:val="32"/>
          <w:shd w:val="clear" w:fill="FFFFFF"/>
          <w:lang w:val="en-US" w:eastAsia="zh-CN" w:bidi="ar-SA"/>
        </w:rPr>
        <w:t>。</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lang w:val="en-US" w:eastAsia="zh-CN"/>
        </w:rPr>
        <w:t>五、</w:t>
      </w:r>
      <w:r>
        <w:rPr>
          <w:rStyle w:val="11"/>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Style w:val="17"/>
          <w:rFonts w:hint="default" w:ascii="Times New Roman" w:hAnsi="Times New Roman" w:eastAsia="方正楷体_GBK" w:cs="Times New Roman"/>
          <w:b w:val="0"/>
          <w:sz w:val="32"/>
          <w:szCs w:val="32"/>
          <w:shd w:val="clear" w:fill="FFFFFF"/>
          <w:lang w:val="en-US" w:eastAsia="zh-CN" w:bidi="ar-SA"/>
        </w:rPr>
      </w:pPr>
      <w:r>
        <w:rPr>
          <w:rStyle w:val="17"/>
          <w:rFonts w:hint="default" w:ascii="Times New Roman" w:hAnsi="Times New Roman" w:eastAsia="方正楷体_GBK" w:cs="Times New Roman"/>
          <w:b w:val="0"/>
          <w:sz w:val="32"/>
          <w:szCs w:val="32"/>
          <w:shd w:val="clear" w:fill="FFFFFF"/>
          <w:lang w:val="en-US" w:eastAsia="zh-CN" w:bidi="ar-SA"/>
        </w:rPr>
        <w:t>（一）单位自评情况</w:t>
      </w:r>
      <w:r>
        <w:rPr>
          <w:rStyle w:val="17"/>
          <w:rFonts w:hint="eastAsia" w:ascii="Times New Roman" w:hAnsi="Times New Roman" w:eastAsia="方正楷体_GBK" w:cs="Times New Roman"/>
          <w:b w:val="0"/>
          <w:sz w:val="32"/>
          <w:szCs w:val="32"/>
          <w:shd w:val="clear" w:fill="FFFFFF"/>
          <w:lang w:val="en-US" w:eastAsia="zh-CN" w:bidi="ar-SA"/>
        </w:rPr>
        <w:t>。</w:t>
      </w:r>
    </w:p>
    <w:p>
      <w:pPr>
        <w:pStyle w:val="13"/>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lang w:val="en-US" w:eastAsia="zh-CN"/>
        </w:rPr>
        <w:t>本单位2023年度无项目支出，未开展绩效自评。</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Style w:val="17"/>
          <w:rFonts w:hint="default" w:ascii="Times New Roman" w:hAnsi="Times New Roman" w:eastAsia="方正楷体_GBK" w:cs="Times New Roman"/>
          <w:b w:val="0"/>
          <w:sz w:val="32"/>
          <w:szCs w:val="32"/>
          <w:shd w:val="clear" w:fill="FFFFFF"/>
          <w:lang w:val="en-US" w:eastAsia="zh-CN" w:bidi="ar-SA"/>
        </w:rPr>
      </w:pPr>
      <w:r>
        <w:rPr>
          <w:rStyle w:val="17"/>
          <w:rFonts w:hint="default" w:ascii="Times New Roman" w:hAnsi="Times New Roman" w:eastAsia="方正楷体_GBK" w:cs="Times New Roman"/>
          <w:b w:val="0"/>
          <w:sz w:val="32"/>
          <w:szCs w:val="32"/>
          <w:shd w:val="clear" w:fill="FFFFFF"/>
          <w:lang w:val="en-US" w:eastAsia="zh-CN" w:bidi="ar-SA"/>
        </w:rPr>
        <w:t>（二）单位绩效评价情况</w:t>
      </w:r>
      <w:r>
        <w:rPr>
          <w:rStyle w:val="17"/>
          <w:rFonts w:hint="eastAsia" w:ascii="Times New Roman" w:hAnsi="Times New Roman" w:eastAsia="方正楷体_GBK" w:cs="Times New Roman"/>
          <w:b w:val="0"/>
          <w:sz w:val="32"/>
          <w:szCs w:val="32"/>
          <w:shd w:val="clear" w:fill="FFFFFF"/>
          <w:lang w:val="en-US" w:eastAsia="zh-CN" w:bidi="ar-SA"/>
        </w:rPr>
        <w:t>。</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highlight w:val="none"/>
          <w:shd w:val="clear" w:color="auto" w:fill="FFFFFF"/>
          <w:lang w:val="en-US" w:eastAsia="zh-CN" w:bidi="ar-SA"/>
        </w:rPr>
      </w:pPr>
      <w:r>
        <w:rPr>
          <w:rFonts w:hint="default" w:ascii="Times New Roman" w:hAnsi="Times New Roman" w:eastAsia="方正仿宋_GBK" w:cs="Times New Roman"/>
          <w:sz w:val="32"/>
          <w:szCs w:val="32"/>
          <w:highlight w:val="none"/>
          <w:shd w:val="clear" w:color="auto" w:fill="FFFFFF"/>
          <w:lang w:val="en-US" w:eastAsia="zh-CN" w:bidi="ar-SA"/>
        </w:rPr>
        <w:t>我单位未组织开展绩效评价。</w:t>
      </w:r>
    </w:p>
    <w:p>
      <w:pPr>
        <w:pStyle w:val="12"/>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firstLine="640" w:firstLineChars="200"/>
        <w:textAlignment w:val="auto"/>
        <w:rPr>
          <w:rStyle w:val="17"/>
          <w:rFonts w:hint="default" w:ascii="Times New Roman" w:hAnsi="Times New Roman" w:eastAsia="方正楷体_GBK" w:cs="Times New Roman"/>
          <w:b w:val="0"/>
          <w:sz w:val="32"/>
          <w:szCs w:val="32"/>
          <w:shd w:val="clear" w:fill="FFFFFF"/>
          <w:lang w:val="en-US" w:eastAsia="zh-CN" w:bidi="ar-SA"/>
        </w:rPr>
      </w:pPr>
      <w:r>
        <w:rPr>
          <w:rStyle w:val="17"/>
          <w:rFonts w:hint="default" w:ascii="Times New Roman" w:hAnsi="Times New Roman" w:eastAsia="方正楷体_GBK" w:cs="Times New Roman"/>
          <w:b w:val="0"/>
          <w:sz w:val="32"/>
          <w:szCs w:val="32"/>
          <w:shd w:val="clear" w:fill="FFFFFF"/>
          <w:lang w:val="en-US" w:eastAsia="zh-CN" w:bidi="ar-SA"/>
        </w:rPr>
        <w:t>（三）财政绩效评价情况</w:t>
      </w:r>
      <w:r>
        <w:rPr>
          <w:rStyle w:val="17"/>
          <w:rFonts w:hint="eastAsia" w:ascii="Times New Roman" w:hAnsi="Times New Roman" w:eastAsia="方正楷体_GBK" w:cs="Times New Roman"/>
          <w:b w:val="0"/>
          <w:sz w:val="32"/>
          <w:szCs w:val="32"/>
          <w:shd w:val="clear" w:fill="FFFFFF"/>
          <w:lang w:val="en-US" w:eastAsia="zh-CN" w:bidi="ar-SA"/>
        </w:rPr>
        <w:t>。</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highlight w:val="none"/>
          <w:shd w:val="clear" w:color="auto" w:fill="FFFFFF"/>
          <w:lang w:val="en-US" w:eastAsia="zh-CN" w:bidi="ar-SA"/>
        </w:rPr>
      </w:pPr>
      <w:r>
        <w:rPr>
          <w:rFonts w:hint="default" w:ascii="Times New Roman" w:hAnsi="Times New Roman" w:eastAsia="方正仿宋_GBK" w:cs="Times New Roman"/>
          <w:sz w:val="32"/>
          <w:szCs w:val="32"/>
          <w:highlight w:val="none"/>
          <w:shd w:val="clear" w:color="auto" w:fill="FFFFFF"/>
          <w:lang w:val="en-US" w:eastAsia="zh-CN" w:bidi="ar-SA"/>
        </w:rPr>
        <w:t>市财政局未委托第三方对我单位开展绩效评价。</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六、专业名词解释</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（八）年末结转和结余：</w:t>
      </w:r>
      <w:r>
        <w:rPr>
          <w:rFonts w:hint="default" w:ascii="Times New Roman" w:hAnsi="Times New Roman" w:eastAsia="方正仿宋_GBK" w:cs="Times New Roman"/>
          <w:sz w:val="32"/>
          <w:szCs w:val="32"/>
          <w:shd w:val="clear" w:color="auto" w:fill="FFFFFF"/>
          <w:lang w:val="en-US" w:eastAsia="zh-CN"/>
        </w:rPr>
        <w:t>指单位结转下年的基本支出结</w:t>
      </w:r>
      <w:r>
        <w:rPr>
          <w:rFonts w:hint="default" w:ascii="Times New Roman" w:hAnsi="Times New Roman" w:eastAsia="方正仿宋_GBK" w:cs="Times New Roman"/>
          <w:sz w:val="32"/>
          <w:szCs w:val="32"/>
          <w:shd w:val="clear" w:color="auto" w:fill="FFFFFF"/>
        </w:rPr>
        <w:t>转、项目支出结转和结余、经营结余。</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7"/>
          <w:rFonts w:hint="default" w:ascii="Times New Roman" w:hAnsi="Times New Roman" w:eastAsia="方正楷体_GBK" w:cs="Times New Roman"/>
          <w:b w:val="0"/>
          <w:sz w:val="32"/>
          <w:szCs w:val="32"/>
          <w:shd w:val="clear"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七、决算公开联系方式及信息反馈渠道</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kern w:val="0"/>
          <w:sz w:val="32"/>
          <w:szCs w:val="32"/>
          <w:shd w:val="clear" w:fill="FFFFFF"/>
          <w:lang w:val="en-US" w:eastAsia="zh-CN"/>
        </w:rPr>
      </w:pPr>
      <w:r>
        <w:rPr>
          <w:rFonts w:hint="default" w:ascii="Times New Roman" w:hAnsi="Times New Roman" w:eastAsia="方正仿宋_GBK" w:cs="Times New Roman"/>
          <w:b w:val="0"/>
          <w:kern w:val="0"/>
          <w:sz w:val="32"/>
          <w:szCs w:val="32"/>
          <w:shd w:val="clear" w:fill="FFFFFF"/>
        </w:rPr>
        <w:t>许发琼   023-4635</w:t>
      </w:r>
      <w:r>
        <w:rPr>
          <w:rFonts w:hint="default" w:ascii="Times New Roman" w:hAnsi="Times New Roman" w:eastAsia="方正仿宋_GBK" w:cs="Times New Roman"/>
          <w:b w:val="0"/>
          <w:kern w:val="0"/>
          <w:sz w:val="32"/>
          <w:szCs w:val="32"/>
          <w:shd w:val="clear" w:fill="FFFFFF"/>
          <w:lang w:val="en-US" w:eastAsia="zh-CN"/>
        </w:rPr>
        <w:t>7757</w:t>
      </w:r>
    </w:p>
    <w:p>
      <w:pPr>
        <w:pStyle w:val="7"/>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38" w:leftChars="266"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b w:val="0"/>
          <w:kern w:val="0"/>
          <w:sz w:val="32"/>
          <w:szCs w:val="32"/>
          <w:shd w:val="clear" w:fill="FFFFFF"/>
        </w:rPr>
        <w:t>附件：</w:t>
      </w:r>
      <w:r>
        <w:rPr>
          <w:rFonts w:hint="default" w:ascii="Times New Roman" w:hAnsi="Times New Roman" w:eastAsia="方正仿宋_GBK" w:cs="Times New Roman"/>
          <w:kern w:val="0"/>
          <w:sz w:val="32"/>
          <w:szCs w:val="32"/>
          <w:shd w:val="clear" w:fill="FFFFFF"/>
        </w:rPr>
        <w:t>重庆市荣昌区人民政府广顺街道</w:t>
      </w:r>
      <w:r>
        <w:rPr>
          <w:rFonts w:hint="default" w:ascii="Times New Roman" w:hAnsi="Times New Roman" w:eastAsia="方正仿宋_GBK" w:cs="Times New Roman"/>
          <w:kern w:val="0"/>
          <w:sz w:val="32"/>
          <w:szCs w:val="32"/>
          <w:shd w:val="clear" w:fill="FFFFFF"/>
          <w:lang w:val="en-US" w:eastAsia="zh-CN"/>
        </w:rPr>
        <w:t>建设环保服务中心</w:t>
      </w:r>
      <w:r>
        <w:rPr>
          <w:rFonts w:hint="default" w:ascii="Times New Roman" w:hAnsi="Times New Roman" w:eastAsia="方正仿宋_GBK" w:cs="Times New Roman"/>
          <w:kern w:val="0"/>
          <w:sz w:val="32"/>
          <w:szCs w:val="32"/>
          <w:shd w:val="clear" w:fill="FFFFFF"/>
        </w:rPr>
        <w:t>202</w:t>
      </w:r>
      <w:r>
        <w:rPr>
          <w:rFonts w:hint="default" w:ascii="Times New Roman" w:hAnsi="Times New Roman" w:eastAsia="方正仿宋_GBK" w:cs="Times New Roman"/>
          <w:kern w:val="0"/>
          <w:sz w:val="32"/>
          <w:szCs w:val="32"/>
          <w:shd w:val="clear" w:fill="FFFFFF"/>
          <w:lang w:val="en-US" w:eastAsia="zh-CN"/>
        </w:rPr>
        <w:t>3</w:t>
      </w:r>
      <w:r>
        <w:rPr>
          <w:rFonts w:hint="default" w:ascii="Times New Roman" w:hAnsi="Times New Roman" w:eastAsia="方正仿宋_GBK" w:cs="Times New Roman"/>
          <w:kern w:val="0"/>
          <w:sz w:val="32"/>
          <w:szCs w:val="32"/>
          <w:shd w:val="clear" w:fill="FFFFFF"/>
        </w:rPr>
        <w:t>年度</w:t>
      </w:r>
      <w:r>
        <w:rPr>
          <w:rFonts w:hint="eastAsia" w:ascii="Times New Roman" w:hAnsi="Times New Roman" w:eastAsia="方正仿宋_GBK" w:cs="Times New Roman"/>
          <w:kern w:val="0"/>
          <w:sz w:val="32"/>
          <w:szCs w:val="32"/>
          <w:shd w:val="clear" w:fill="FFFFFF"/>
          <w:lang w:val="en-US" w:eastAsia="zh-CN"/>
        </w:rPr>
        <w:t>单位</w:t>
      </w:r>
      <w:r>
        <w:rPr>
          <w:rFonts w:hint="default" w:ascii="Times New Roman" w:hAnsi="Times New Roman" w:eastAsia="方正仿宋_GBK" w:cs="Times New Roman"/>
          <w:kern w:val="0"/>
          <w:sz w:val="32"/>
          <w:szCs w:val="32"/>
          <w:shd w:val="clear" w:fill="FFFFFF"/>
        </w:rPr>
        <w:t>决算公开报表（公开01—09表）</w:t>
      </w:r>
    </w:p>
    <w:p>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2098" w:right="1800" w:bottom="1984" w:left="1587" w:header="851" w:footer="1474"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textAlignment w:val="auto"/>
        <w:rPr>
          <w:rStyle w:val="17"/>
          <w:rFonts w:hint="eastAsia" w:ascii="方正黑体_GBK" w:hAnsi="方正黑体_GBK" w:eastAsia="方正黑体_GBK" w:cs="方正黑体_GBK"/>
          <w:b w:val="0"/>
          <w:sz w:val="32"/>
          <w:szCs w:val="32"/>
          <w:shd w:val="clear" w:fill="FFFFFF"/>
          <w:lang w:val="en-US" w:eastAsia="zh-CN" w:bidi="ar-SA"/>
        </w:rPr>
      </w:pPr>
      <w:r>
        <w:rPr>
          <w:rStyle w:val="17"/>
          <w:rFonts w:hint="eastAsia" w:ascii="方正黑体_GBK" w:hAnsi="方正黑体_GBK" w:eastAsia="方正黑体_GBK" w:cs="方正黑体_GBK"/>
          <w:b w:val="0"/>
          <w:sz w:val="32"/>
          <w:szCs w:val="32"/>
          <w:shd w:val="clear" w:fill="FFFFFF"/>
          <w:lang w:val="en-US" w:eastAsia="zh-CN" w:bidi="ar-SA"/>
        </w:rPr>
        <w:t>附件</w:t>
      </w:r>
    </w:p>
    <w:p>
      <w:pPr>
        <w:pStyle w:val="2"/>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重庆市荣昌区人民政府广顺街道</w:t>
      </w:r>
      <w:r>
        <w:rPr>
          <w:rFonts w:hint="eastAsia" w:ascii="方正小标宋_GBK" w:hAnsi="方正小标宋_GBK" w:eastAsia="方正小标宋_GBK" w:cs="方正小标宋_GBK"/>
          <w:color w:val="auto"/>
          <w:sz w:val="44"/>
          <w:szCs w:val="44"/>
          <w:lang w:val="en-US" w:eastAsia="zh-CN"/>
        </w:rPr>
        <w:t>建设环保服务中心</w:t>
      </w: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年度单位决算公开报表（公开01—09表）</w:t>
      </w:r>
    </w:p>
    <w:p>
      <w:pPr>
        <w:pStyle w:val="2"/>
        <w:rPr>
          <w:rFonts w:hint="eastAsia"/>
          <w:lang w:val="en-US" w:eastAsia="zh-CN"/>
        </w:rPr>
      </w:pPr>
    </w:p>
    <w:tbl>
      <w:tblPr>
        <w:tblStyle w:val="8"/>
        <w:tblW w:w="8876" w:type="dxa"/>
        <w:tblInd w:w="0" w:type="dxa"/>
        <w:shd w:val="clear" w:color="auto" w:fill="auto"/>
        <w:tblLayout w:type="fixed"/>
        <w:tblCellMar>
          <w:top w:w="0" w:type="dxa"/>
          <w:left w:w="0" w:type="dxa"/>
          <w:bottom w:w="0" w:type="dxa"/>
          <w:right w:w="0" w:type="dxa"/>
        </w:tblCellMar>
      </w:tblPr>
      <w:tblGrid>
        <w:gridCol w:w="2479"/>
        <w:gridCol w:w="1340"/>
        <w:gridCol w:w="3652"/>
        <w:gridCol w:w="1405"/>
      </w:tblGrid>
      <w:tr>
        <w:tblPrEx>
          <w:shd w:val="clear" w:color="auto" w:fill="auto"/>
          <w:tblLayout w:type="fixed"/>
          <w:tblCellMar>
            <w:top w:w="0" w:type="dxa"/>
            <w:left w:w="0" w:type="dxa"/>
            <w:bottom w:w="0" w:type="dxa"/>
            <w:right w:w="0" w:type="dxa"/>
          </w:tblCellMar>
        </w:tblPrEx>
        <w:trPr>
          <w:trHeight w:val="499" w:hRule="atLeast"/>
        </w:trPr>
        <w:tc>
          <w:tcPr>
            <w:tcW w:w="8876" w:type="dxa"/>
            <w:gridSpan w:val="4"/>
            <w:tcBorders>
              <w:top w:val="nil"/>
              <w:left w:val="nil"/>
              <w:bottom w:val="nil"/>
              <w:right w:val="nil"/>
            </w:tcBorders>
            <w:shd w:val="clear" w:color="auto" w:fill="auto"/>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cs="Times New Roman"/>
                <w:b/>
                <w:color w:val="000000"/>
                <w:sz w:val="36"/>
                <w:szCs w:val="36"/>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296" w:hRule="atLeast"/>
        </w:trPr>
        <w:tc>
          <w:tcPr>
            <w:tcW w:w="24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1"/>
                <w:szCs w:val="21"/>
              </w:rPr>
            </w:pPr>
          </w:p>
        </w:tc>
        <w:tc>
          <w:tcPr>
            <w:tcW w:w="134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color w:val="000000"/>
                <w:sz w:val="21"/>
                <w:szCs w:val="21"/>
              </w:rPr>
            </w:pPr>
          </w:p>
        </w:tc>
        <w:tc>
          <w:tcPr>
            <w:tcW w:w="365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1"/>
                <w:szCs w:val="21"/>
              </w:rPr>
            </w:pPr>
          </w:p>
        </w:tc>
        <w:tc>
          <w:tcPr>
            <w:tcW w:w="140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公开01表</w:t>
            </w:r>
          </w:p>
        </w:tc>
      </w:tr>
      <w:tr>
        <w:tblPrEx>
          <w:tblLayout w:type="fixed"/>
          <w:tblCellMar>
            <w:top w:w="0" w:type="dxa"/>
            <w:left w:w="0" w:type="dxa"/>
            <w:bottom w:w="0" w:type="dxa"/>
            <w:right w:w="0" w:type="dxa"/>
          </w:tblCellMar>
        </w:tblPrEx>
        <w:trPr>
          <w:trHeight w:val="459" w:hRule="atLeast"/>
        </w:trPr>
        <w:tc>
          <w:tcPr>
            <w:tcW w:w="7471"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4"/>
                <w:szCs w:val="24"/>
              </w:rPr>
            </w:pPr>
            <w:r>
              <w:rPr>
                <w:rFonts w:hint="default" w:ascii="Times New Roman" w:hAnsi="Times New Roman" w:cs="Times New Roman"/>
                <w:sz w:val="21"/>
                <w:szCs w:val="21"/>
              </w:rPr>
              <w:t>公开单位：</w:t>
            </w:r>
            <w:r>
              <w:rPr>
                <w:rFonts w:hint="default" w:ascii="Times New Roman" w:hAnsi="Times New Roman" w:cs="Times New Roman"/>
                <w:sz w:val="21"/>
                <w:szCs w:val="28"/>
                <w:u w:color="auto"/>
              </w:rPr>
              <w:t>重庆市荣昌区广顺街道建设环保服务中心</w:t>
            </w:r>
          </w:p>
        </w:tc>
        <w:tc>
          <w:tcPr>
            <w:tcW w:w="140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jc w:val="right"/>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r>
              <w:rPr>
                <w:rFonts w:hint="default" w:ascii="Times New Roman" w:hAnsi="Times New Roman" w:cs="Times New Roman"/>
                <w:sz w:val="21"/>
                <w:szCs w:val="21"/>
              </w:rPr>
              <w:t>万元</w:t>
            </w:r>
          </w:p>
        </w:tc>
      </w:tr>
      <w:tr>
        <w:tblPrEx>
          <w:tblLayout w:type="fixed"/>
          <w:tblCellMar>
            <w:top w:w="0" w:type="dxa"/>
            <w:left w:w="0" w:type="dxa"/>
            <w:bottom w:w="0" w:type="dxa"/>
            <w:right w:w="0" w:type="dxa"/>
          </w:tblCellMar>
        </w:tblPrEx>
        <w:trPr>
          <w:trHeight w:val="269" w:hRule="atLeast"/>
        </w:trPr>
        <w:tc>
          <w:tcPr>
            <w:tcW w:w="38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收入</w:t>
            </w:r>
          </w:p>
        </w:tc>
        <w:tc>
          <w:tcPr>
            <w:tcW w:w="505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支出</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决算数</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功能分类科目</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决算数</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一、一般公共预算财政拨款收入</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291.06</w:t>
            </w: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一、一般公共服务支出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二、政府性基金预算财政拨款收入</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二、外交支出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三、国有资本经营预算财政拨款收入</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三、国防支出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四、上级补助收入</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四、公共安全支出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五、事业收入</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五、教育支出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六、经营收入</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六、科学技术支出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七、附属单位上缴收入</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七、文化旅游体育与传媒支出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八、其他收入</w:t>
            </w:r>
          </w:p>
        </w:tc>
        <w:tc>
          <w:tcPr>
            <w:tcW w:w="134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八、社会保障和就业支出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40.82</w:t>
            </w: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6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九、卫生健康支出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12.65</w:t>
            </w: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6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十、节能环保支出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6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十一、城乡社区支出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223.99</w:t>
            </w: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6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十二、农林水支出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6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十三、交通运输支出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十四、资源勘探工业信息等支出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十五、商业服务业等支出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十六、金融支出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十七、援助其他地区支出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十八、自然资源海洋气象等支出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十九、住房保障支出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13.59</w:t>
            </w: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二十、粮油物资储备支出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二十一、国有资本经营预算支出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二十二、灾害防治及应急管理支出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二十三、其他支出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二十四、债务还本支出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二十五、债务付息支出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1"/>
                <w:szCs w:val="21"/>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1"/>
                <w:szCs w:val="21"/>
              </w:rPr>
            </w:pP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二十六、抗疫特别国债安排的支出</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本年收入合计</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291.06</w:t>
            </w: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本年支出合计</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291.06</w:t>
            </w: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使用非财政拨款结余和专用结余</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结余分配</w:t>
            </w:r>
          </w:p>
        </w:tc>
        <w:tc>
          <w:tcPr>
            <w:tcW w:w="1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5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年初结转和结余</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年末结转和结余</w:t>
            </w:r>
          </w:p>
        </w:tc>
        <w:tc>
          <w:tcPr>
            <w:tcW w:w="140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8"/>
                <w:u w:color="auto"/>
              </w:rPr>
              <w:t xml:space="preserve"> </w:t>
            </w:r>
          </w:p>
        </w:tc>
      </w:tr>
      <w:tr>
        <w:tblPrEx>
          <w:tblLayout w:type="fixed"/>
          <w:tblCellMar>
            <w:top w:w="0" w:type="dxa"/>
            <w:left w:w="0" w:type="dxa"/>
            <w:bottom w:w="0" w:type="dxa"/>
            <w:right w:w="0" w:type="dxa"/>
          </w:tblCellMar>
        </w:tblPrEx>
        <w:trPr>
          <w:trHeight w:val="289" w:hRule="atLeast"/>
        </w:trPr>
        <w:tc>
          <w:tcPr>
            <w:tcW w:w="24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总计</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291.06</w:t>
            </w:r>
            <w:r>
              <w:rPr>
                <w:rFonts w:hint="default" w:ascii="Times New Roman" w:hAnsi="Times New Roman" w:cs="Times New Roman"/>
                <w:color w:val="000000"/>
                <w:sz w:val="21"/>
                <w:szCs w:val="28"/>
                <w:u w:color="auto"/>
              </w:rPr>
              <w:t xml:space="preserve"> </w:t>
            </w:r>
          </w:p>
        </w:tc>
        <w:tc>
          <w:tcPr>
            <w:tcW w:w="365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总计</w:t>
            </w:r>
          </w:p>
        </w:tc>
        <w:tc>
          <w:tcPr>
            <w:tcW w:w="1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291.06</w:t>
            </w:r>
            <w:r>
              <w:rPr>
                <w:rFonts w:hint="default" w:ascii="Times New Roman" w:hAnsi="Times New Roman" w:cs="Times New Roman"/>
                <w:color w:val="000000"/>
                <w:sz w:val="21"/>
                <w:szCs w:val="2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1"/>
          <w:szCs w:val="21"/>
        </w:rPr>
        <w:t>备注：1.本表反映单位本年度的总收支和年末结转结余情况。</w:t>
      </w:r>
      <w:r>
        <w:rPr>
          <w:rFonts w:hint="default" w:ascii="Times New Roman" w:hAnsi="Times New Roman" w:cs="Times New Roman"/>
          <w:sz w:val="21"/>
          <w:szCs w:val="21"/>
        </w:rPr>
        <w:br w:type="textWrapping"/>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2.本套报表金额单位转换时可能存在尾数误差。</w:t>
      </w:r>
      <w:r>
        <w:rPr>
          <w:rFonts w:hint="default" w:ascii="Times New Roman" w:hAnsi="Times New Roman" w:cs="Times New Roman"/>
          <w:sz w:val="21"/>
          <w:szCs w:val="21"/>
        </w:rPr>
        <w:br w:type="textWrapping"/>
      </w:r>
      <w:r>
        <w:rPr>
          <w:rFonts w:hint="default" w:ascii="Times New Roman" w:hAnsi="Times New Roman" w:cs="Times New Roman"/>
          <w:sz w:val="21"/>
          <w:szCs w:val="21"/>
        </w:rPr>
        <w:br w:type="textWrapping"/>
      </w:r>
    </w:p>
    <w:p>
      <w:pPr>
        <w:spacing w:line="240" w:lineRule="exact"/>
        <w:rPr>
          <w:rFonts w:hint="default" w:ascii="Times New Roman" w:hAnsi="Times New Roman" w:cs="Times New Roman"/>
          <w:sz w:val="20"/>
          <w:szCs w:val="20"/>
        </w:rPr>
      </w:pPr>
    </w:p>
    <w:tbl>
      <w:tblPr>
        <w:tblStyle w:val="8"/>
        <w:tblW w:w="8876" w:type="dxa"/>
        <w:tblInd w:w="0" w:type="dxa"/>
        <w:shd w:val="clear" w:color="auto" w:fill="auto"/>
        <w:tblLayout w:type="fixed"/>
        <w:tblCellMar>
          <w:top w:w="0" w:type="dxa"/>
          <w:left w:w="0" w:type="dxa"/>
          <w:bottom w:w="0" w:type="dxa"/>
          <w:right w:w="0" w:type="dxa"/>
        </w:tblCellMar>
      </w:tblPr>
      <w:tblGrid>
        <w:gridCol w:w="822"/>
        <w:gridCol w:w="2073"/>
        <w:gridCol w:w="791"/>
        <w:gridCol w:w="736"/>
        <w:gridCol w:w="614"/>
        <w:gridCol w:w="546"/>
        <w:gridCol w:w="1417"/>
        <w:gridCol w:w="710"/>
        <w:gridCol w:w="600"/>
        <w:gridCol w:w="567"/>
      </w:tblGrid>
      <w:tr>
        <w:tblPrEx>
          <w:shd w:val="clear" w:color="auto" w:fill="auto"/>
          <w:tblLayout w:type="fixed"/>
          <w:tblCellMar>
            <w:top w:w="0" w:type="dxa"/>
            <w:left w:w="0" w:type="dxa"/>
            <w:bottom w:w="0" w:type="dxa"/>
            <w:right w:w="0" w:type="dxa"/>
          </w:tblCellMar>
        </w:tblPrEx>
        <w:trPr>
          <w:trHeight w:val="641" w:hRule="atLeast"/>
        </w:trPr>
        <w:tc>
          <w:tcPr>
            <w:tcW w:w="8876"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036" w:type="dxa"/>
            <w:gridSpan w:val="5"/>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77" w:type="dxa"/>
            <w:gridSpan w:val="3"/>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036" w:type="dxa"/>
            <w:gridSpan w:val="5"/>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重庆市荣昌区广顺街道建设环保服务中心</w:t>
            </w:r>
          </w:p>
        </w:tc>
        <w:tc>
          <w:tcPr>
            <w:tcW w:w="5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77" w:type="dxa"/>
            <w:gridSpan w:val="3"/>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289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财政拨款收入</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上级补助收入</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事业收入</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经营收入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附属单位上缴收入</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其他收入</w:t>
            </w:r>
          </w:p>
        </w:tc>
      </w:tr>
      <w:tr>
        <w:tblPrEx>
          <w:tblLayout w:type="fixed"/>
          <w:tblCellMar>
            <w:top w:w="0" w:type="dxa"/>
            <w:left w:w="0" w:type="dxa"/>
            <w:bottom w:w="0" w:type="dxa"/>
            <w:right w:w="0" w:type="dxa"/>
          </w:tblCellMar>
        </w:tblPrEx>
        <w:trPr>
          <w:trHeight w:val="334" w:hRule="atLeast"/>
        </w:trPr>
        <w:tc>
          <w:tcPr>
            <w:tcW w:w="82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功能分类科目编码</w:t>
            </w:r>
          </w:p>
        </w:tc>
        <w:tc>
          <w:tcPr>
            <w:tcW w:w="20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项目（按“项”级功能分类科目）</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18"/>
                <w:szCs w:val="18"/>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18"/>
                <w:szCs w:val="18"/>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其中：教育收费</w:t>
            </w: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334" w:hRule="atLeast"/>
        </w:trPr>
        <w:tc>
          <w:tcPr>
            <w:tcW w:w="82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0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82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0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12" w:hRule="atLeast"/>
        </w:trPr>
        <w:tc>
          <w:tcPr>
            <w:tcW w:w="82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0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599"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291.0</w:t>
            </w:r>
            <w:r>
              <w:rPr>
                <w:rFonts w:hint="default" w:ascii="Times New Roman" w:hAnsi="Times New Roman" w:cs="Times New Roman"/>
                <w:b/>
                <w:bCs/>
                <w:color w:val="000000"/>
                <w:sz w:val="20"/>
                <w:szCs w:val="20"/>
                <w:lang w:val="en-US" w:eastAsia="zh-CN"/>
              </w:rPr>
              <w:t>6</w:t>
            </w:r>
            <w:r>
              <w:rPr>
                <w:rFonts w:hint="default" w:ascii="Times New Roman" w:hAnsi="Times New Roman" w:cs="Times New Roman"/>
                <w:b/>
                <w:color w:val="000000"/>
                <w:sz w:val="20"/>
                <w:u w:color="auto"/>
              </w:rPr>
              <w:t xml:space="preserve"> </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291.06</w:t>
            </w:r>
            <w:r>
              <w:rPr>
                <w:rFonts w:hint="default" w:ascii="Times New Roman" w:hAnsi="Times New Roman" w:cs="Times New Roman"/>
                <w:b/>
                <w:color w:val="000000"/>
                <w:sz w:val="20"/>
                <w:u w:color="auto"/>
              </w:rPr>
              <w:t xml:space="preserve"> </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16.99</w:t>
            </w:r>
            <w:r>
              <w:rPr>
                <w:rFonts w:hint="default" w:ascii="Times New Roman" w:hAnsi="Times New Roman" w:cs="Times New Roman"/>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16.99</w:t>
            </w:r>
            <w:r>
              <w:rPr>
                <w:rFonts w:hint="default" w:ascii="Times New Roman" w:hAnsi="Times New Roman" w:cs="Times New Roman"/>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21.48</w:t>
            </w:r>
            <w:r>
              <w:rPr>
                <w:rFonts w:hint="default" w:ascii="Times New Roman" w:hAnsi="Times New Roman" w:cs="Times New Roman"/>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21.48</w:t>
            </w:r>
            <w:r>
              <w:rPr>
                <w:rFonts w:hint="default" w:ascii="Times New Roman" w:hAnsi="Times New Roman" w:cs="Times New Roman"/>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223.99</w:t>
            </w:r>
            <w:r>
              <w:rPr>
                <w:rFonts w:hint="default" w:ascii="Times New Roman" w:hAnsi="Times New Roman" w:cs="Times New Roman"/>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223.99</w:t>
            </w:r>
            <w:r>
              <w:rPr>
                <w:rFonts w:hint="default" w:ascii="Times New Roman" w:hAnsi="Times New Roman" w:cs="Times New Roman"/>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line="400" w:lineRule="exact"/>
        <w:ind w:left="600" w:hanging="600" w:hangingChars="300"/>
        <w:textAlignment w:val="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page"/>
      </w:r>
    </w:p>
    <w:p>
      <w:pPr>
        <w:rPr>
          <w:rFonts w:hint="default" w:ascii="Times New Roman" w:hAnsi="Times New Roman" w:cs="Times New Roman"/>
          <w:sz w:val="20"/>
          <w:szCs w:val="20"/>
        </w:rPr>
      </w:pPr>
    </w:p>
    <w:tbl>
      <w:tblPr>
        <w:tblStyle w:val="8"/>
        <w:tblW w:w="8876" w:type="dxa"/>
        <w:tblInd w:w="0" w:type="dxa"/>
        <w:shd w:val="clear" w:color="auto" w:fill="auto"/>
        <w:tblLayout w:type="fixed"/>
        <w:tblCellMar>
          <w:top w:w="0" w:type="dxa"/>
          <w:left w:w="0" w:type="dxa"/>
          <w:bottom w:w="0" w:type="dxa"/>
          <w:right w:w="0" w:type="dxa"/>
        </w:tblCellMar>
      </w:tblPr>
      <w:tblGrid>
        <w:gridCol w:w="1715"/>
        <w:gridCol w:w="2078"/>
        <w:gridCol w:w="774"/>
        <w:gridCol w:w="864"/>
        <w:gridCol w:w="1059"/>
        <w:gridCol w:w="619"/>
        <w:gridCol w:w="490"/>
        <w:gridCol w:w="1277"/>
      </w:tblGrid>
      <w:tr>
        <w:tblPrEx>
          <w:shd w:val="clear" w:color="auto" w:fill="auto"/>
          <w:tblLayout w:type="fixed"/>
          <w:tblCellMar>
            <w:top w:w="0" w:type="dxa"/>
            <w:left w:w="0" w:type="dxa"/>
            <w:bottom w:w="0" w:type="dxa"/>
            <w:right w:w="0" w:type="dxa"/>
          </w:tblCellMar>
        </w:tblPrEx>
        <w:trPr>
          <w:trHeight w:val="654"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490" w:type="dxa"/>
            <w:gridSpan w:val="5"/>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6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7"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431" w:type="dxa"/>
            <w:gridSpan w:val="4"/>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重庆市荣昌区广顺街道建设环保服务中心 </w:t>
            </w:r>
          </w:p>
        </w:tc>
        <w:tc>
          <w:tcPr>
            <w:tcW w:w="105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6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7"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1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07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1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07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1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07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12" w:hRule="atLeast"/>
        </w:trPr>
        <w:tc>
          <w:tcPr>
            <w:tcW w:w="171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07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291.06</w:t>
            </w:r>
            <w:r>
              <w:rPr>
                <w:rFonts w:hint="default" w:ascii="Times New Roman" w:hAnsi="Times New Roman" w:cs="Times New Roman"/>
                <w:b/>
                <w:color w:val="000000"/>
                <w:sz w:val="20"/>
                <w:u w:color="auto"/>
              </w:rPr>
              <w:t xml:space="preserve"> </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291.06</w:t>
            </w:r>
            <w:r>
              <w:rPr>
                <w:rFonts w:hint="default" w:ascii="Times New Roman" w:hAnsi="Times New Roman" w:cs="Times New Roman"/>
                <w:b/>
                <w:color w:val="000000"/>
                <w:sz w:val="20"/>
                <w:u w:color="auto"/>
              </w:rPr>
              <w:t xml:space="preserve"> </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16.99</w:t>
            </w:r>
            <w:r>
              <w:rPr>
                <w:rFonts w:hint="default" w:ascii="Times New Roman" w:hAnsi="Times New Roman" w:cs="Times New Roman"/>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16.99</w:t>
            </w:r>
            <w:r>
              <w:rPr>
                <w:rFonts w:hint="default" w:ascii="Times New Roman" w:hAnsi="Times New Roman" w:cs="Times New Roman"/>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21.48</w:t>
            </w:r>
            <w:r>
              <w:rPr>
                <w:rFonts w:hint="default" w:ascii="Times New Roman" w:hAnsi="Times New Roman" w:cs="Times New Roman"/>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21.48</w:t>
            </w:r>
            <w:r>
              <w:rPr>
                <w:rFonts w:hint="default" w:ascii="Times New Roman" w:hAnsi="Times New Roman" w:cs="Times New Roman"/>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223.99</w:t>
            </w:r>
            <w:r>
              <w:rPr>
                <w:rFonts w:hint="default" w:ascii="Times New Roman" w:hAnsi="Times New Roman" w:cs="Times New Roman"/>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223.99</w:t>
            </w:r>
            <w:r>
              <w:rPr>
                <w:rFonts w:hint="default" w:ascii="Times New Roman" w:hAnsi="Times New Roman" w:cs="Times New Roman"/>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8876" w:type="dxa"/>
        <w:tblInd w:w="0" w:type="dxa"/>
        <w:shd w:val="clear" w:color="auto" w:fill="auto"/>
        <w:tblLayout w:type="fixed"/>
        <w:tblCellMar>
          <w:top w:w="0" w:type="dxa"/>
          <w:left w:w="0" w:type="dxa"/>
          <w:bottom w:w="0" w:type="dxa"/>
          <w:right w:w="0" w:type="dxa"/>
        </w:tblCellMar>
      </w:tblPr>
      <w:tblGrid>
        <w:gridCol w:w="1494"/>
        <w:gridCol w:w="747"/>
        <w:gridCol w:w="2602"/>
        <w:gridCol w:w="1"/>
        <w:gridCol w:w="748"/>
        <w:gridCol w:w="1"/>
        <w:gridCol w:w="1029"/>
        <w:gridCol w:w="1"/>
        <w:gridCol w:w="1170"/>
        <w:gridCol w:w="1083"/>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10"/>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844" w:type="dxa"/>
            <w:gridSpan w:val="4"/>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49"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3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253" w:type="dxa"/>
            <w:gridSpan w:val="2"/>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844" w:type="dxa"/>
            <w:gridSpan w:val="4"/>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重庆市荣昌区广顺街道建设环保服务中心</w:t>
            </w:r>
          </w:p>
        </w:tc>
        <w:tc>
          <w:tcPr>
            <w:tcW w:w="749"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3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253"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663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26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40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291.06</w:t>
            </w:r>
            <w:r>
              <w:rPr>
                <w:rFonts w:hint="default" w:ascii="Times New Roman" w:hAnsi="Times New Roman" w:cs="Times New Roman"/>
                <w:color w:val="000000"/>
                <w:sz w:val="18"/>
                <w:u w:color="auto"/>
              </w:rPr>
              <w:t xml:space="preserve"> </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40.82</w:t>
            </w: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40.82</w:t>
            </w: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12.65</w:t>
            </w: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12.65</w:t>
            </w: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223.99</w:t>
            </w: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223.99</w:t>
            </w: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13.59</w:t>
            </w: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13.59</w:t>
            </w: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291.06</w:t>
            </w:r>
            <w:r>
              <w:rPr>
                <w:rFonts w:hint="default" w:ascii="Times New Roman" w:hAnsi="Times New Roman" w:cs="Times New Roman"/>
                <w:color w:val="000000"/>
                <w:sz w:val="18"/>
                <w:u w:color="auto"/>
              </w:rPr>
              <w:t xml:space="preserve"> </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291.06</w:t>
            </w: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291.06</w:t>
            </w: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291.06</w:t>
            </w:r>
            <w:r>
              <w:rPr>
                <w:rFonts w:hint="default" w:ascii="Times New Roman" w:hAnsi="Times New Roman" w:cs="Times New Roman"/>
                <w:color w:val="000000"/>
                <w:sz w:val="18"/>
                <w:u w:color="auto"/>
              </w:rPr>
              <w:t xml:space="preserve"> </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291.06</w:t>
            </w:r>
            <w:r>
              <w:rPr>
                <w:rFonts w:hint="default" w:ascii="Times New Roman" w:hAnsi="Times New Roman" w:cs="Times New Roman"/>
                <w:color w:val="000000"/>
                <w:sz w:val="18"/>
                <w:u w:color="auto"/>
              </w:rPr>
              <w:t xml:space="preserve">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291.06</w:t>
            </w:r>
            <w:r>
              <w:rPr>
                <w:rFonts w:hint="default" w:ascii="Times New Roman" w:hAnsi="Times New Roman" w:cs="Times New Roman"/>
                <w:color w:val="000000"/>
                <w:sz w:val="18"/>
                <w:u w:color="auto"/>
              </w:rPr>
              <w:t xml:space="preserve"> </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p>
      <w:pPr>
        <w:spacing w:line="240" w:lineRule="exact"/>
        <w:rPr>
          <w:rFonts w:hint="default" w:ascii="Times New Roman" w:hAnsi="Times New Roman" w:cs="Times New Roman"/>
          <w:sz w:val="21"/>
          <w:szCs w:val="21"/>
        </w:rPr>
      </w:pPr>
    </w:p>
    <w:tbl>
      <w:tblPr>
        <w:tblStyle w:val="8"/>
        <w:tblW w:w="8876" w:type="dxa"/>
        <w:tblInd w:w="0" w:type="dxa"/>
        <w:shd w:val="clear" w:color="auto" w:fill="auto"/>
        <w:tblLayout w:type="fixed"/>
        <w:tblCellMar>
          <w:top w:w="0" w:type="dxa"/>
          <w:left w:w="0" w:type="dxa"/>
          <w:bottom w:w="0" w:type="dxa"/>
          <w:right w:w="0" w:type="dxa"/>
        </w:tblCellMar>
      </w:tblPr>
      <w:tblGrid>
        <w:gridCol w:w="1132"/>
        <w:gridCol w:w="2508"/>
        <w:gridCol w:w="1226"/>
        <w:gridCol w:w="1"/>
        <w:gridCol w:w="2199"/>
        <w:gridCol w:w="1"/>
        <w:gridCol w:w="1809"/>
      </w:tblGrid>
      <w:tr>
        <w:tblPrEx>
          <w:shd w:val="clear" w:color="auto" w:fill="auto"/>
          <w:tblLayout w:type="fixed"/>
          <w:tblCellMar>
            <w:top w:w="0" w:type="dxa"/>
            <w:left w:w="0" w:type="dxa"/>
            <w:bottom w:w="0" w:type="dxa"/>
            <w:right w:w="0" w:type="dxa"/>
          </w:tblCellMar>
        </w:tblPrEx>
        <w:trPr>
          <w:trHeight w:val="510" w:hRule="atLeast"/>
        </w:trPr>
        <w:tc>
          <w:tcPr>
            <w:tcW w:w="8876"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4867" w:type="dxa"/>
            <w:gridSpan w:val="4"/>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20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0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4867" w:type="dxa"/>
            <w:gridSpan w:val="4"/>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重庆市荣昌区广顺街道建设环保服务中心</w:t>
            </w:r>
          </w:p>
        </w:tc>
        <w:tc>
          <w:tcPr>
            <w:tcW w:w="220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0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2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1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5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22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81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1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5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2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1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1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5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2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1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364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291.06</w:t>
            </w:r>
            <w:r>
              <w:rPr>
                <w:rFonts w:hint="default" w:ascii="Times New Roman" w:hAnsi="Times New Roman" w:cs="Times New Roman"/>
                <w:b/>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291.06</w:t>
            </w:r>
            <w:r>
              <w:rPr>
                <w:rFonts w:hint="default" w:ascii="Times New Roman" w:hAnsi="Times New Roman" w:cs="Times New Roman"/>
                <w:b/>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40.82</w:t>
            </w:r>
            <w:r>
              <w:rPr>
                <w:rFonts w:hint="default" w:ascii="Times New Roman" w:hAnsi="Times New Roman" w:cs="Times New Roman"/>
                <w:b/>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16.99</w:t>
            </w:r>
            <w:r>
              <w:rPr>
                <w:rFonts w:hint="default" w:ascii="Times New Roman" w:hAnsi="Times New Roman" w:cs="Times New Roman"/>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16.99</w:t>
            </w:r>
            <w:r>
              <w:rPr>
                <w:rFonts w:hint="default" w:ascii="Times New Roman" w:hAnsi="Times New Roman" w:cs="Times New Roman"/>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21.48</w:t>
            </w:r>
            <w:r>
              <w:rPr>
                <w:rFonts w:hint="default" w:ascii="Times New Roman" w:hAnsi="Times New Roman" w:cs="Times New Roman"/>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21.48</w:t>
            </w:r>
            <w:r>
              <w:rPr>
                <w:rFonts w:hint="default" w:ascii="Times New Roman" w:hAnsi="Times New Roman" w:cs="Times New Roman"/>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2.35</w:t>
            </w:r>
            <w:r>
              <w:rPr>
                <w:rFonts w:hint="default" w:ascii="Times New Roman" w:hAnsi="Times New Roman" w:cs="Times New Roman"/>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12.65</w:t>
            </w:r>
            <w:r>
              <w:rPr>
                <w:rFonts w:hint="default" w:ascii="Times New Roman" w:hAnsi="Times New Roman" w:cs="Times New Roman"/>
                <w:b/>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3.67</w:t>
            </w:r>
            <w:r>
              <w:rPr>
                <w:rFonts w:hint="default" w:ascii="Times New Roman" w:hAnsi="Times New Roman" w:cs="Times New Roman"/>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223.99</w:t>
            </w:r>
            <w:r>
              <w:rPr>
                <w:rFonts w:hint="default" w:ascii="Times New Roman" w:hAnsi="Times New Roman" w:cs="Times New Roman"/>
                <w:b/>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223.99</w:t>
            </w:r>
            <w:r>
              <w:rPr>
                <w:rFonts w:hint="default" w:ascii="Times New Roman" w:hAnsi="Times New Roman" w:cs="Times New Roman"/>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223.99</w:t>
            </w:r>
            <w:r>
              <w:rPr>
                <w:rFonts w:hint="default" w:ascii="Times New Roman" w:hAnsi="Times New Roman" w:cs="Times New Roman"/>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22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18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822"/>
        <w:gridCol w:w="1814"/>
        <w:gridCol w:w="723"/>
        <w:gridCol w:w="709"/>
        <w:gridCol w:w="1377"/>
        <w:gridCol w:w="668"/>
        <w:gridCol w:w="818"/>
        <w:gridCol w:w="1481"/>
        <w:gridCol w:w="464"/>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6113" w:type="dxa"/>
            <w:gridSpan w:val="6"/>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45"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445" w:type="dxa"/>
            <w:gridSpan w:val="5"/>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重庆市荣昌区广顺街道建设环保服务中心</w:t>
            </w:r>
          </w:p>
        </w:tc>
        <w:tc>
          <w:tcPr>
            <w:tcW w:w="66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45"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33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5517"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8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7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3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1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1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258.02</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30.84</w:t>
            </w: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54.93</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2.38</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133.25</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w:t>
            </w: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16.99</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20.87</w:t>
            </w: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21.48</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8.99</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13.59</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1.93</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w:t>
            </w: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25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32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31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31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3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28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8.11</w:t>
            </w: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31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32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32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7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260.22</w:t>
            </w:r>
            <w:r>
              <w:rPr>
                <w:rFonts w:hint="default" w:ascii="Times New Roman" w:hAnsi="Times New Roman" w:cs="Times New Roman"/>
                <w:color w:val="000000"/>
                <w:sz w:val="18"/>
                <w:u w:color="auto"/>
              </w:rPr>
              <w:t xml:space="preserve"> </w:t>
            </w:r>
          </w:p>
        </w:tc>
        <w:tc>
          <w:tcPr>
            <w:tcW w:w="505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30.84</w:t>
            </w:r>
            <w:r>
              <w:rPr>
                <w:rFonts w:hint="default" w:ascii="Times New Roman" w:hAnsi="Times New Roman" w:cs="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p>
      <w:pPr>
        <w:spacing w:line="280" w:lineRule="exact"/>
        <w:rPr>
          <w:rFonts w:hint="default" w:ascii="Times New Roman" w:hAnsi="Times New Roman" w:cs="Times New Roman"/>
          <w:sz w:val="21"/>
          <w:szCs w:val="21"/>
        </w:rPr>
      </w:pPr>
    </w:p>
    <w:tbl>
      <w:tblPr>
        <w:tblStyle w:val="8"/>
        <w:tblW w:w="8876" w:type="dxa"/>
        <w:tblInd w:w="0" w:type="dxa"/>
        <w:shd w:val="clear" w:color="auto" w:fill="auto"/>
        <w:tblLayout w:type="fixed"/>
        <w:tblCellMar>
          <w:top w:w="0" w:type="dxa"/>
          <w:left w:w="0" w:type="dxa"/>
          <w:bottom w:w="0" w:type="dxa"/>
          <w:right w:w="0" w:type="dxa"/>
        </w:tblCellMar>
      </w:tblPr>
      <w:tblGrid>
        <w:gridCol w:w="1079"/>
        <w:gridCol w:w="1304"/>
        <w:gridCol w:w="1130"/>
        <w:gridCol w:w="1129"/>
        <w:gridCol w:w="1129"/>
        <w:gridCol w:w="2"/>
        <w:gridCol w:w="1128"/>
        <w:gridCol w:w="1"/>
        <w:gridCol w:w="1171"/>
        <w:gridCol w:w="803"/>
      </w:tblGrid>
      <w:tr>
        <w:tblPrEx>
          <w:shd w:val="clear" w:color="auto" w:fill="auto"/>
          <w:tblLayout w:type="fixed"/>
          <w:tblCellMar>
            <w:top w:w="0" w:type="dxa"/>
            <w:left w:w="0" w:type="dxa"/>
            <w:bottom w:w="0" w:type="dxa"/>
            <w:right w:w="0" w:type="dxa"/>
          </w:tblCellMar>
        </w:tblPrEx>
        <w:trPr>
          <w:trHeight w:val="644" w:hRule="atLeast"/>
        </w:trPr>
        <w:tc>
          <w:tcPr>
            <w:tcW w:w="8876"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771" w:type="dxa"/>
            <w:gridSpan w:val="5"/>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3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75" w:type="dxa"/>
            <w:gridSpan w:val="3"/>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5771" w:type="dxa"/>
            <w:gridSpan w:val="5"/>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重庆市荣昌区广顺街道建设环保服务中心</w:t>
            </w:r>
          </w:p>
        </w:tc>
        <w:tc>
          <w:tcPr>
            <w:tcW w:w="113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75" w:type="dxa"/>
            <w:gridSpan w:val="3"/>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13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343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1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2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238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8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8876" w:type="dxa"/>
        <w:tblInd w:w="0" w:type="dxa"/>
        <w:shd w:val="clear" w:color="auto" w:fill="auto"/>
        <w:tblLayout w:type="fixed"/>
        <w:tblCellMar>
          <w:top w:w="0" w:type="dxa"/>
          <w:left w:w="0" w:type="dxa"/>
          <w:bottom w:w="0" w:type="dxa"/>
          <w:right w:w="0" w:type="dxa"/>
        </w:tblCellMar>
      </w:tblPr>
      <w:tblGrid>
        <w:gridCol w:w="1014"/>
        <w:gridCol w:w="1271"/>
        <w:gridCol w:w="2200"/>
        <w:gridCol w:w="134"/>
        <w:gridCol w:w="2334"/>
        <w:gridCol w:w="53"/>
        <w:gridCol w:w="1870"/>
      </w:tblGrid>
      <w:tr>
        <w:tblPrEx>
          <w:shd w:val="clear" w:color="auto" w:fill="auto"/>
          <w:tblLayout w:type="fixed"/>
          <w:tblCellMar>
            <w:top w:w="0" w:type="dxa"/>
            <w:left w:w="0" w:type="dxa"/>
            <w:bottom w:w="0" w:type="dxa"/>
            <w:right w:w="0" w:type="dxa"/>
          </w:tblCellMar>
        </w:tblPrEx>
        <w:trPr>
          <w:trHeight w:val="650" w:hRule="atLeast"/>
        </w:trPr>
        <w:tc>
          <w:tcPr>
            <w:tcW w:w="8876"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48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重庆市荣昌区广顺街道建设环保服务中心</w:t>
            </w:r>
          </w:p>
        </w:tc>
        <w:tc>
          <w:tcPr>
            <w:tcW w:w="252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4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52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01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2334"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2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92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0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33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2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0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33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2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0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33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2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23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2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8876" w:type="dxa"/>
        <w:tblInd w:w="0" w:type="dxa"/>
        <w:shd w:val="clear" w:color="auto" w:fill="auto"/>
        <w:tblLayout w:type="fixed"/>
        <w:tblCellMar>
          <w:top w:w="0" w:type="dxa"/>
          <w:left w:w="0" w:type="dxa"/>
          <w:bottom w:w="0" w:type="dxa"/>
          <w:right w:w="0" w:type="dxa"/>
        </w:tblCellMar>
      </w:tblPr>
      <w:tblGrid>
        <w:gridCol w:w="3020"/>
        <w:gridCol w:w="976"/>
        <w:gridCol w:w="797"/>
        <w:gridCol w:w="3341"/>
        <w:gridCol w:w="742"/>
      </w:tblGrid>
      <w:tr>
        <w:tblPrEx>
          <w:shd w:val="clear" w:color="auto" w:fill="auto"/>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3020"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97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083"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793" w:type="dxa"/>
            <w:gridSpan w:val="3"/>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lef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重庆市荣昌区广顺街道建设环保服务中心</w:t>
            </w:r>
          </w:p>
        </w:tc>
        <w:tc>
          <w:tcPr>
            <w:tcW w:w="408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30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sectPr>
      <w:headerReference r:id="rId4" w:type="default"/>
      <w:pgSz w:w="11907" w:h="16839"/>
      <w:pgMar w:top="2098" w:right="1474" w:bottom="1984" w:left="1587" w:header="850" w:footer="1474"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文鼎CS魏碑">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sz w:val="18"/>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B0A61"/>
    <w:multiLevelType w:val="singleLevel"/>
    <w:tmpl w:val="9E7B0A61"/>
    <w:lvl w:ilvl="0" w:tentative="0">
      <w:start w:val="3"/>
      <w:numFmt w:val="chineseCounting"/>
      <w:suff w:val="nothing"/>
      <w:lvlText w:val="（%1）"/>
      <w:lvlJc w:val="left"/>
      <w:rPr>
        <w:rFonts w:hint="eastAsia"/>
      </w:rPr>
    </w:lvl>
  </w:abstractNum>
  <w:abstractNum w:abstractNumId="1">
    <w:nsid w:val="01D710FC"/>
    <w:multiLevelType w:val="singleLevel"/>
    <w:tmpl w:val="01D710F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A27D92"/>
    <w:rsid w:val="01AF2EB7"/>
    <w:rsid w:val="01F3521E"/>
    <w:rsid w:val="033C66C3"/>
    <w:rsid w:val="03B87EA0"/>
    <w:rsid w:val="03E3214F"/>
    <w:rsid w:val="03E43A34"/>
    <w:rsid w:val="044C50BA"/>
    <w:rsid w:val="055245DD"/>
    <w:rsid w:val="05BC6D49"/>
    <w:rsid w:val="06194FF1"/>
    <w:rsid w:val="06A2550B"/>
    <w:rsid w:val="06F80EE2"/>
    <w:rsid w:val="07001CCA"/>
    <w:rsid w:val="075678DB"/>
    <w:rsid w:val="079D7CC7"/>
    <w:rsid w:val="08051BCA"/>
    <w:rsid w:val="086B4443"/>
    <w:rsid w:val="086C12F4"/>
    <w:rsid w:val="08705944"/>
    <w:rsid w:val="08BA052C"/>
    <w:rsid w:val="08DB07BA"/>
    <w:rsid w:val="0969353F"/>
    <w:rsid w:val="098305D0"/>
    <w:rsid w:val="0A223CA8"/>
    <w:rsid w:val="0A3317EA"/>
    <w:rsid w:val="0A5C4B69"/>
    <w:rsid w:val="0A86124A"/>
    <w:rsid w:val="0AB54CC0"/>
    <w:rsid w:val="0ACB3A8A"/>
    <w:rsid w:val="0B9335CE"/>
    <w:rsid w:val="0B9D02D1"/>
    <w:rsid w:val="0BB64E28"/>
    <w:rsid w:val="0BF2311A"/>
    <w:rsid w:val="0C7927C4"/>
    <w:rsid w:val="0C9B098C"/>
    <w:rsid w:val="0D673E11"/>
    <w:rsid w:val="0DDA3308"/>
    <w:rsid w:val="0DDA54E4"/>
    <w:rsid w:val="0E185668"/>
    <w:rsid w:val="0E3A5F83"/>
    <w:rsid w:val="0F836721"/>
    <w:rsid w:val="0FA25D96"/>
    <w:rsid w:val="107B59E5"/>
    <w:rsid w:val="10EC0126"/>
    <w:rsid w:val="10F70B9A"/>
    <w:rsid w:val="111445C7"/>
    <w:rsid w:val="114278C6"/>
    <w:rsid w:val="1158083A"/>
    <w:rsid w:val="115A19B9"/>
    <w:rsid w:val="11643A4B"/>
    <w:rsid w:val="11ED0F98"/>
    <w:rsid w:val="11F03528"/>
    <w:rsid w:val="12C921C4"/>
    <w:rsid w:val="13871C70"/>
    <w:rsid w:val="13A71CB4"/>
    <w:rsid w:val="13AF1D43"/>
    <w:rsid w:val="13CE1647"/>
    <w:rsid w:val="13FD55AB"/>
    <w:rsid w:val="14200702"/>
    <w:rsid w:val="163A6CEE"/>
    <w:rsid w:val="16BC57DA"/>
    <w:rsid w:val="173708E3"/>
    <w:rsid w:val="17554469"/>
    <w:rsid w:val="17C374FC"/>
    <w:rsid w:val="182E4AB6"/>
    <w:rsid w:val="189079DC"/>
    <w:rsid w:val="18910015"/>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15198C"/>
    <w:rsid w:val="23956441"/>
    <w:rsid w:val="24B92327"/>
    <w:rsid w:val="24C14514"/>
    <w:rsid w:val="2533755C"/>
    <w:rsid w:val="25791755"/>
    <w:rsid w:val="26396DF4"/>
    <w:rsid w:val="27167136"/>
    <w:rsid w:val="271B442C"/>
    <w:rsid w:val="27B23302"/>
    <w:rsid w:val="29310A5F"/>
    <w:rsid w:val="29C37A35"/>
    <w:rsid w:val="2A076083"/>
    <w:rsid w:val="2A73162E"/>
    <w:rsid w:val="2ACB433F"/>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1429C2"/>
    <w:rsid w:val="342D7BC6"/>
    <w:rsid w:val="349666AE"/>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48485D"/>
    <w:rsid w:val="41E0734B"/>
    <w:rsid w:val="426C1EA8"/>
    <w:rsid w:val="42736402"/>
    <w:rsid w:val="42E86A87"/>
    <w:rsid w:val="43307B09"/>
    <w:rsid w:val="439A3EB9"/>
    <w:rsid w:val="43BB152F"/>
    <w:rsid w:val="44C37687"/>
    <w:rsid w:val="45CB699A"/>
    <w:rsid w:val="465B470D"/>
    <w:rsid w:val="46625D85"/>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796F6A"/>
    <w:rsid w:val="53C0244D"/>
    <w:rsid w:val="53DD4D4E"/>
    <w:rsid w:val="53E578CE"/>
    <w:rsid w:val="540E10B3"/>
    <w:rsid w:val="541330F0"/>
    <w:rsid w:val="54272666"/>
    <w:rsid w:val="543B029D"/>
    <w:rsid w:val="54861779"/>
    <w:rsid w:val="548A11BE"/>
    <w:rsid w:val="552256E1"/>
    <w:rsid w:val="554E5773"/>
    <w:rsid w:val="555A3CBC"/>
    <w:rsid w:val="5582012B"/>
    <w:rsid w:val="558E4E05"/>
    <w:rsid w:val="55BE2E85"/>
    <w:rsid w:val="56530F5D"/>
    <w:rsid w:val="567700D3"/>
    <w:rsid w:val="56FF7E9E"/>
    <w:rsid w:val="578867FC"/>
    <w:rsid w:val="58215442"/>
    <w:rsid w:val="5842572D"/>
    <w:rsid w:val="5A3B59D6"/>
    <w:rsid w:val="5AD134D8"/>
    <w:rsid w:val="5C263CE4"/>
    <w:rsid w:val="5C5D2777"/>
    <w:rsid w:val="5CF66BF3"/>
    <w:rsid w:val="5D290C69"/>
    <w:rsid w:val="5DD56922"/>
    <w:rsid w:val="5DDF6754"/>
    <w:rsid w:val="5F2D4A41"/>
    <w:rsid w:val="5FF5483B"/>
    <w:rsid w:val="60C74F6C"/>
    <w:rsid w:val="61025A59"/>
    <w:rsid w:val="613D5BBC"/>
    <w:rsid w:val="61536C39"/>
    <w:rsid w:val="62944DD7"/>
    <w:rsid w:val="6319381F"/>
    <w:rsid w:val="637D13BA"/>
    <w:rsid w:val="63C25DC5"/>
    <w:rsid w:val="63C62057"/>
    <w:rsid w:val="64571EF5"/>
    <w:rsid w:val="64FB113D"/>
    <w:rsid w:val="656152C6"/>
    <w:rsid w:val="6587477F"/>
    <w:rsid w:val="658C3A08"/>
    <w:rsid w:val="65C031CA"/>
    <w:rsid w:val="65CE6852"/>
    <w:rsid w:val="66267C04"/>
    <w:rsid w:val="663F505A"/>
    <w:rsid w:val="66EE5541"/>
    <w:rsid w:val="67924660"/>
    <w:rsid w:val="67EE5AB7"/>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7D0676"/>
    <w:rsid w:val="708F6F7F"/>
    <w:rsid w:val="70D94BD3"/>
    <w:rsid w:val="71C34D91"/>
    <w:rsid w:val="72C9664B"/>
    <w:rsid w:val="72DB435C"/>
    <w:rsid w:val="72E2613A"/>
    <w:rsid w:val="72F771F4"/>
    <w:rsid w:val="73934AD2"/>
    <w:rsid w:val="74BA59C2"/>
    <w:rsid w:val="750837F0"/>
    <w:rsid w:val="754758CF"/>
    <w:rsid w:val="764F62AB"/>
    <w:rsid w:val="765C45EC"/>
    <w:rsid w:val="768A7619"/>
    <w:rsid w:val="772E1EBA"/>
    <w:rsid w:val="781926BC"/>
    <w:rsid w:val="784A02FA"/>
    <w:rsid w:val="796D60A4"/>
    <w:rsid w:val="79A031D5"/>
    <w:rsid w:val="7A1525F7"/>
    <w:rsid w:val="7B420052"/>
    <w:rsid w:val="7BD06A28"/>
    <w:rsid w:val="7C3A7C0B"/>
    <w:rsid w:val="7C5248E4"/>
    <w:rsid w:val="7C566698"/>
    <w:rsid w:val="7C5866A3"/>
    <w:rsid w:val="7D7406BB"/>
    <w:rsid w:val="7DE94331"/>
    <w:rsid w:val="7F446A19"/>
    <w:rsid w:val="7F7452B9"/>
    <w:rsid w:val="7FB469BF"/>
    <w:rsid w:val="7FCB6205"/>
    <w:rsid w:val="7FFF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26"/>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3</TotalTime>
  <ScaleCrop>false</ScaleCrop>
  <LinksUpToDate>false</LinksUpToDate>
  <CharactersWithSpaces>26776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2024-10-09T09:30:35Z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