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720" w:lineRule="atLeas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重庆市荣昌区广顺街道农业服务中心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720" w:lineRule="atLeast"/>
        <w:jc w:val="center"/>
        <w:textAlignment w:val="auto"/>
        <w:rPr>
          <w:rFonts w:hint="eastAsia"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rPr>
        <w:t>2023年度</w:t>
      </w:r>
      <w:r>
        <w:rPr>
          <w:rFonts w:hint="eastAsia" w:ascii="Times New Roman" w:hAnsi="Times New Roman" w:eastAsia="方正小标宋_GBK" w:cs="Times New Roman"/>
          <w:color w:val="auto"/>
          <w:sz w:val="44"/>
          <w:szCs w:val="44"/>
          <w:lang w:val="en-US" w:eastAsia="zh-CN"/>
        </w:rPr>
        <w:t>单位</w:t>
      </w:r>
      <w:r>
        <w:rPr>
          <w:rFonts w:hint="default" w:ascii="Times New Roman" w:hAnsi="Times New Roman" w:eastAsia="方正小标宋_GBK" w:cs="Times New Roman"/>
          <w:color w:val="auto"/>
          <w:sz w:val="44"/>
          <w:szCs w:val="44"/>
        </w:rPr>
        <w:t>决算公开</w:t>
      </w:r>
      <w:r>
        <w:rPr>
          <w:rFonts w:hint="eastAsia" w:ascii="Times New Roman" w:hAnsi="Times New Roman" w:eastAsia="方正小标宋_GBK" w:cs="Times New Roman"/>
          <w:color w:val="auto"/>
          <w:sz w:val="44"/>
          <w:szCs w:val="44"/>
          <w:lang w:val="en-US" w:eastAsia="zh-CN"/>
        </w:rPr>
        <w:t>报告</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720" w:lineRule="atLeast"/>
        <w:jc w:val="center"/>
        <w:textAlignment w:val="auto"/>
        <w:rPr>
          <w:rFonts w:hint="eastAsia" w:ascii="Times New Roman" w:hAnsi="Times New Roman" w:eastAsia="方正小标宋_GBK" w:cs="Times New Roman"/>
          <w:color w:val="auto"/>
          <w:sz w:val="44"/>
          <w:szCs w:val="44"/>
          <w:lang w:val="en-US" w:eastAsia="zh-CN"/>
        </w:rPr>
      </w:pPr>
    </w:p>
    <w:p>
      <w:pPr>
        <w:pStyle w:val="6"/>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黑体_GBK" w:cs="Times New Roman"/>
          <w:b w:val="0"/>
          <w:bCs/>
          <w:color w:val="auto"/>
          <w:sz w:val="32"/>
          <w:szCs w:val="32"/>
        </w:rPr>
      </w:pPr>
      <w:r>
        <w:rPr>
          <w:rStyle w:val="11"/>
          <w:rFonts w:hint="default" w:ascii="Times New Roman" w:hAnsi="Times New Roman" w:eastAsia="方正黑体_GBK" w:cs="Times New Roman"/>
          <w:b w:val="0"/>
          <w:bCs/>
          <w:color w:val="auto"/>
          <w:sz w:val="32"/>
          <w:szCs w:val="32"/>
          <w:shd w:val="clear" w:color="auto" w:fill="FFFFFF"/>
        </w:rPr>
        <w:t>一、单位基本情况</w:t>
      </w:r>
    </w:p>
    <w:p>
      <w:pPr>
        <w:pStyle w:val="6"/>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楷体_GBK" w:cs="Times New Roman"/>
          <w:b w:val="0"/>
          <w:bCs/>
          <w:color w:val="auto"/>
          <w:sz w:val="32"/>
          <w:szCs w:val="32"/>
          <w:lang w:eastAsia="zh-CN"/>
        </w:rPr>
      </w:pPr>
      <w:r>
        <w:rPr>
          <w:rStyle w:val="11"/>
          <w:rFonts w:hint="default" w:ascii="Times New Roman" w:hAnsi="Times New Roman" w:eastAsia="方正楷体_GBK" w:cs="Times New Roman"/>
          <w:b w:val="0"/>
          <w:bCs/>
          <w:color w:val="auto"/>
          <w:sz w:val="32"/>
          <w:szCs w:val="32"/>
          <w:shd w:val="clear" w:color="auto" w:fill="FFFFFF"/>
        </w:rPr>
        <w:t>（一）职能职责</w:t>
      </w:r>
      <w:r>
        <w:rPr>
          <w:rStyle w:val="11"/>
          <w:rFonts w:hint="eastAsia" w:ascii="Times New Roman" w:hAnsi="Times New Roman" w:eastAsia="方正楷体_GBK" w:cs="Times New Roman"/>
          <w:b w:val="0"/>
          <w:bCs/>
          <w:color w:val="auto"/>
          <w:sz w:val="32"/>
          <w:szCs w:val="32"/>
          <w:shd w:val="clear" w:color="auto" w:fill="FFFFFF"/>
          <w:lang w:eastAsia="zh-CN"/>
        </w:rPr>
        <w:t>。</w:t>
      </w:r>
      <w:bookmarkStart w:id="0" w:name="_GoBack"/>
      <w:bookmarkEnd w:id="0"/>
    </w:p>
    <w:p>
      <w:pPr>
        <w:pStyle w:val="6"/>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b w:val="0"/>
          <w:color w:val="auto"/>
          <w:kern w:val="0"/>
          <w:sz w:val="32"/>
          <w:szCs w:val="32"/>
        </w:rPr>
      </w:pPr>
      <w:r>
        <w:rPr>
          <w:rFonts w:hint="default" w:ascii="Times New Roman" w:hAnsi="Times New Roman" w:eastAsia="方正仿宋_GBK" w:cs="Times New Roman"/>
          <w:b w:val="0"/>
          <w:color w:val="auto"/>
          <w:kern w:val="0"/>
          <w:sz w:val="32"/>
          <w:szCs w:val="32"/>
        </w:rPr>
        <w:t>根据《中共重庆市委办公厅重庆市人民政府办公厅印发〈关进一步优化完善乡镇机构设置的指导意见〉的通知》（渝委办发2018〕10号）和《中共重庆市荣昌区委办公室重庆市荣昌区人民政府办公室关于印发〈重庆市荣昌区优化完善乡镇机构设置实方案〉的通知》（荣委办发〔2019〕44号）精神，广顺街道农业服务中心主要负责农技、农机、林业、水利水保、水产等方面的重大技术推广、信息服务、资源环境保护、灾害防治、土地规模经营管理、农产品质量安全监管公共服务等工作。实施动物疫病的防疫、强制免疫，协助做好动物、动物产品检疫、兽药、饲料等养殖业投入品及畜产品的技术服务等工作；负责动物疫情调查、监测、报告，畜牧生产指导，畜牧兽医技术推广和畜牧业生产信息统计等工作；负责辖区内的水资源管理、防汛抗旱、农田水利建设和水利科技推广、水文监测、洪旱预警预报等工作；承担农村水利工程建设、管理与运行维护的技术指导；指导农民用水合作组织建设，协调农村涉水事务等工作。</w:t>
      </w:r>
    </w:p>
    <w:p>
      <w:pPr>
        <w:pStyle w:val="6"/>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11"/>
          <w:rFonts w:hint="eastAsia" w:ascii="Times New Roman" w:hAnsi="Times New Roman" w:eastAsia="方正楷体_GBK" w:cs="Times New Roman"/>
          <w:b w:val="0"/>
          <w:bCs/>
          <w:color w:val="auto"/>
          <w:sz w:val="32"/>
          <w:szCs w:val="32"/>
          <w:shd w:val="clear" w:color="auto" w:fill="FFFFFF"/>
          <w:lang w:eastAsia="zh-CN"/>
        </w:rPr>
      </w:pPr>
      <w:r>
        <w:rPr>
          <w:rStyle w:val="11"/>
          <w:rFonts w:hint="default" w:ascii="Times New Roman" w:hAnsi="Times New Roman" w:eastAsia="方正楷体_GBK" w:cs="Times New Roman"/>
          <w:b w:val="0"/>
          <w:bCs/>
          <w:color w:val="auto"/>
          <w:sz w:val="32"/>
          <w:szCs w:val="32"/>
          <w:shd w:val="clear" w:color="auto" w:fill="FFFFFF"/>
        </w:rPr>
        <w:t>（二）机构设置</w:t>
      </w:r>
      <w:r>
        <w:rPr>
          <w:rStyle w:val="11"/>
          <w:rFonts w:hint="eastAsia" w:ascii="Times New Roman" w:hAnsi="Times New Roman" w:eastAsia="方正楷体_GBK" w:cs="Times New Roman"/>
          <w:b w:val="0"/>
          <w:bCs/>
          <w:color w:val="auto"/>
          <w:sz w:val="32"/>
          <w:szCs w:val="32"/>
          <w:shd w:val="clear" w:color="auto" w:fill="FFFFFF"/>
          <w:lang w:eastAsia="zh-CN"/>
        </w:rPr>
        <w:t>。</w:t>
      </w:r>
    </w:p>
    <w:p>
      <w:pPr>
        <w:keepNext w:val="0"/>
        <w:keepLines w:val="0"/>
        <w:pageBreakBefore w:val="0"/>
        <w:widowControl w:val="0"/>
        <w:suppressLineNumbers w:val="0"/>
        <w:kinsoku/>
        <w:wordWrap/>
        <w:overflowPunct/>
        <w:topLinePunct w:val="0"/>
        <w:autoSpaceDE w:val="0"/>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本单位</w:t>
      </w:r>
      <w:r>
        <w:rPr>
          <w:rFonts w:hint="eastAsia" w:ascii="Times New Roman" w:hAnsi="Times New Roman" w:eastAsia="方正仿宋_GBK" w:cs="Times New Roman"/>
          <w:color w:val="auto"/>
          <w:kern w:val="0"/>
          <w:sz w:val="32"/>
          <w:szCs w:val="32"/>
          <w:lang w:val="en-US" w:eastAsia="zh-CN"/>
        </w:rPr>
        <w:t>为广顺街道办事处二级预算单位，无内设科室</w:t>
      </w:r>
      <w:r>
        <w:rPr>
          <w:rFonts w:hint="default" w:ascii="Times New Roman" w:hAnsi="Times New Roman" w:eastAsia="方正仿宋_GBK" w:cs="Times New Roman"/>
          <w:color w:val="auto"/>
          <w:kern w:val="0"/>
          <w:sz w:val="32"/>
          <w:szCs w:val="32"/>
        </w:rPr>
        <w:t>。</w:t>
      </w:r>
    </w:p>
    <w:p>
      <w:pPr>
        <w:pStyle w:val="6"/>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11"/>
          <w:rFonts w:hint="default" w:ascii="Times New Roman" w:hAnsi="Times New Roman" w:eastAsia="方正黑体_GBK" w:cs="Times New Roman"/>
          <w:b w:val="0"/>
          <w:bCs/>
          <w:color w:val="auto"/>
          <w:sz w:val="32"/>
          <w:szCs w:val="32"/>
          <w:shd w:val="clear" w:color="auto" w:fill="FFFFFF"/>
        </w:rPr>
      </w:pPr>
      <w:r>
        <w:rPr>
          <w:rStyle w:val="11"/>
          <w:rFonts w:hint="default" w:ascii="Times New Roman" w:hAnsi="Times New Roman" w:eastAsia="方正黑体_GBK" w:cs="Times New Roman"/>
          <w:b w:val="0"/>
          <w:bCs/>
          <w:color w:val="auto"/>
          <w:sz w:val="32"/>
          <w:szCs w:val="32"/>
          <w:shd w:val="clear" w:color="auto" w:fill="FFFFFF"/>
        </w:rPr>
        <w:t>二、单位决算情况说明</w:t>
      </w:r>
    </w:p>
    <w:p>
      <w:pPr>
        <w:pStyle w:val="6"/>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11"/>
          <w:rFonts w:hint="default" w:ascii="Times New Roman" w:hAnsi="Times New Roman" w:eastAsia="方正楷体_GBK" w:cs="Times New Roman"/>
          <w:b w:val="0"/>
          <w:bCs/>
          <w:color w:val="auto"/>
          <w:sz w:val="32"/>
          <w:szCs w:val="32"/>
          <w:shd w:val="clear" w:color="auto" w:fill="FFFFFF"/>
        </w:rPr>
      </w:pPr>
      <w:r>
        <w:rPr>
          <w:rStyle w:val="11"/>
          <w:rFonts w:hint="default" w:ascii="Times New Roman" w:hAnsi="Times New Roman" w:eastAsia="方正楷体_GBK" w:cs="Times New Roman"/>
          <w:b w:val="0"/>
          <w:bCs/>
          <w:color w:val="auto"/>
          <w:sz w:val="32"/>
          <w:szCs w:val="32"/>
          <w:shd w:val="clear" w:color="auto" w:fill="FFFFFF"/>
        </w:rPr>
        <w:t>（一）收入支出决算总体情况说明。</w:t>
      </w:r>
    </w:p>
    <w:p>
      <w:pPr>
        <w:pStyle w:val="6"/>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b w:val="0"/>
          <w:bCs/>
          <w:color w:val="auto"/>
          <w:sz w:val="32"/>
          <w:szCs w:val="32"/>
        </w:rPr>
      </w:pPr>
      <w:r>
        <w:rPr>
          <w:rStyle w:val="11"/>
          <w:rFonts w:hint="default" w:ascii="Times New Roman" w:hAnsi="Times New Roman" w:eastAsia="方正仿宋_GBK" w:cs="Times New Roman"/>
          <w:b w:val="0"/>
          <w:bCs/>
          <w:color w:val="auto"/>
          <w:sz w:val="32"/>
          <w:szCs w:val="32"/>
          <w:shd w:val="clear" w:color="auto" w:fill="FFFFFF"/>
        </w:rPr>
        <w:t>1.</w:t>
      </w:r>
      <w:r>
        <w:rPr>
          <w:rStyle w:val="11"/>
          <w:rFonts w:hint="eastAsia" w:ascii="Times New Roman" w:hAnsi="Times New Roman" w:eastAsia="方正仿宋_GBK" w:cs="Times New Roman"/>
          <w:b w:val="0"/>
          <w:bCs/>
          <w:color w:val="auto"/>
          <w:sz w:val="32"/>
          <w:szCs w:val="32"/>
          <w:shd w:val="clear" w:color="auto" w:fill="FFFFFF"/>
          <w:lang w:val="en-US" w:eastAsia="zh-CN"/>
        </w:rPr>
        <w:t xml:space="preserve"> </w:t>
      </w:r>
      <w:r>
        <w:rPr>
          <w:rStyle w:val="11"/>
          <w:rFonts w:hint="default" w:ascii="Times New Roman" w:hAnsi="Times New Roman" w:eastAsia="方正仿宋_GBK" w:cs="Times New Roman"/>
          <w:b w:val="0"/>
          <w:bCs/>
          <w:color w:val="auto"/>
          <w:sz w:val="32"/>
          <w:szCs w:val="32"/>
          <w:shd w:val="clear" w:color="auto" w:fill="FFFFFF"/>
        </w:rPr>
        <w:t>总体情况。</w:t>
      </w:r>
      <w:r>
        <w:rPr>
          <w:rFonts w:hint="default" w:ascii="Times New Roman" w:hAnsi="Times New Roman" w:eastAsia="方正仿宋_GBK" w:cs="Times New Roman"/>
          <w:b w:val="0"/>
          <w:bCs/>
          <w:color w:val="auto"/>
          <w:sz w:val="32"/>
          <w:szCs w:val="32"/>
          <w:shd w:val="clear" w:color="auto" w:fill="FFFFFF"/>
        </w:rPr>
        <w:t>2023年度收入总计907.03万元，支出总计</w:t>
      </w:r>
      <w:r>
        <w:rPr>
          <w:rFonts w:hint="default" w:ascii="Times New Roman" w:hAnsi="Times New Roman" w:eastAsia="方正仿宋_GBK" w:cs="Times New Roman"/>
          <w:b w:val="0"/>
          <w:bCs/>
          <w:color w:val="auto"/>
          <w:sz w:val="32"/>
          <w:szCs w:val="32"/>
        </w:rPr>
        <w:t>907.03</w:t>
      </w:r>
      <w:r>
        <w:rPr>
          <w:rFonts w:hint="default" w:ascii="Times New Roman" w:hAnsi="Times New Roman" w:eastAsia="方正仿宋_GBK" w:cs="Times New Roman"/>
          <w:b w:val="0"/>
          <w:bCs/>
          <w:color w:val="auto"/>
          <w:sz w:val="32"/>
          <w:szCs w:val="32"/>
          <w:shd w:val="clear" w:color="auto" w:fill="FFFFFF"/>
        </w:rPr>
        <w:t>万元。收支较上年决算数增加85.70万元，增长10.43%，主要原因是</w:t>
      </w:r>
      <w:r>
        <w:rPr>
          <w:rFonts w:hint="default" w:ascii="Times New Roman" w:hAnsi="Times New Roman" w:eastAsia="方正仿宋_GBK" w:cs="Times New Roman"/>
          <w:b w:val="0"/>
          <w:bCs/>
          <w:color w:val="auto"/>
          <w:sz w:val="32"/>
          <w:szCs w:val="32"/>
          <w:shd w:val="clear" w:color="auto" w:fill="FFFFFF"/>
          <w:lang w:val="en-US" w:eastAsia="zh-CN"/>
        </w:rPr>
        <w:t>职工工资调整，社保等基数增加</w:t>
      </w:r>
      <w:r>
        <w:rPr>
          <w:rFonts w:hint="default" w:ascii="Times New Roman" w:hAnsi="Times New Roman" w:eastAsia="方正仿宋_GBK" w:cs="Times New Roman"/>
          <w:b w:val="0"/>
          <w:bCs/>
          <w:color w:val="auto"/>
          <w:sz w:val="32"/>
          <w:szCs w:val="32"/>
          <w:shd w:val="clear" w:color="auto" w:fill="FFFFFF"/>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Style w:val="11"/>
          <w:rFonts w:hint="default" w:ascii="Times New Roman" w:hAnsi="Times New Roman" w:eastAsia="方正仿宋_GBK" w:cs="Times New Roman"/>
          <w:b w:val="0"/>
          <w:bCs/>
          <w:color w:val="auto"/>
          <w:sz w:val="32"/>
          <w:szCs w:val="32"/>
          <w:shd w:val="clear" w:color="auto" w:fill="FFFFFF"/>
        </w:rPr>
        <w:t>2.</w:t>
      </w:r>
      <w:r>
        <w:rPr>
          <w:rStyle w:val="11"/>
          <w:rFonts w:hint="eastAsia" w:ascii="Times New Roman" w:hAnsi="Times New Roman" w:eastAsia="方正仿宋_GBK" w:cs="Times New Roman"/>
          <w:b w:val="0"/>
          <w:bCs/>
          <w:color w:val="auto"/>
          <w:sz w:val="32"/>
          <w:szCs w:val="32"/>
          <w:shd w:val="clear" w:color="auto" w:fill="FFFFFF"/>
          <w:lang w:val="en-US" w:eastAsia="zh-CN"/>
        </w:rPr>
        <w:t xml:space="preserve"> </w:t>
      </w:r>
      <w:r>
        <w:rPr>
          <w:rStyle w:val="11"/>
          <w:rFonts w:hint="default" w:ascii="Times New Roman" w:hAnsi="Times New Roman" w:eastAsia="方正仿宋_GBK" w:cs="Times New Roman"/>
          <w:b w:val="0"/>
          <w:bCs/>
          <w:color w:val="auto"/>
          <w:sz w:val="32"/>
          <w:szCs w:val="32"/>
          <w:shd w:val="clear" w:color="auto" w:fill="FFFFFF"/>
        </w:rPr>
        <w:t>收入情况。</w:t>
      </w:r>
      <w:r>
        <w:rPr>
          <w:rFonts w:hint="default" w:ascii="Times New Roman" w:hAnsi="Times New Roman" w:eastAsia="方正仿宋_GBK" w:cs="Times New Roman"/>
          <w:b w:val="0"/>
          <w:bCs/>
          <w:color w:val="auto"/>
          <w:sz w:val="32"/>
          <w:szCs w:val="32"/>
          <w:shd w:val="clear" w:color="auto" w:fill="FFFFFF"/>
        </w:rPr>
        <w:t>2023年度收入合计907.03万元，较上年决算数增加85.70万元，增长10.43%，主要原因是</w:t>
      </w:r>
      <w:r>
        <w:rPr>
          <w:rFonts w:hint="default" w:ascii="Times New Roman" w:hAnsi="Times New Roman" w:eastAsia="方正仿宋_GBK" w:cs="Times New Roman"/>
          <w:b w:val="0"/>
          <w:bCs/>
          <w:color w:val="auto"/>
          <w:sz w:val="32"/>
          <w:szCs w:val="32"/>
          <w:shd w:val="clear" w:color="auto" w:fill="FFFFFF"/>
          <w:lang w:val="en-US" w:eastAsia="zh-CN"/>
        </w:rPr>
        <w:t>职工工资调整，社保等基数增加</w:t>
      </w:r>
      <w:r>
        <w:rPr>
          <w:rFonts w:hint="default" w:ascii="Times New Roman" w:hAnsi="Times New Roman" w:eastAsia="方正仿宋_GBK" w:cs="Times New Roman"/>
          <w:b w:val="0"/>
          <w:bCs/>
          <w:color w:val="auto"/>
          <w:sz w:val="32"/>
          <w:szCs w:val="32"/>
          <w:shd w:val="clear" w:color="auto" w:fill="FFFFFF"/>
        </w:rPr>
        <w:t>。其中：财政拨款收入</w:t>
      </w:r>
      <w:r>
        <w:rPr>
          <w:rFonts w:hint="default" w:ascii="Times New Roman" w:hAnsi="Times New Roman" w:eastAsia="方正仿宋_GBK" w:cs="Times New Roman"/>
          <w:b w:val="0"/>
          <w:bCs/>
          <w:color w:val="auto"/>
          <w:sz w:val="32"/>
          <w:szCs w:val="32"/>
        </w:rPr>
        <w:t>907.03</w:t>
      </w:r>
      <w:r>
        <w:rPr>
          <w:rFonts w:hint="default" w:ascii="Times New Roman" w:hAnsi="Times New Roman" w:eastAsia="方正仿宋_GBK" w:cs="Times New Roman"/>
          <w:b w:val="0"/>
          <w:bCs/>
          <w:color w:val="auto"/>
          <w:sz w:val="32"/>
          <w:szCs w:val="32"/>
          <w:shd w:val="clear" w:color="auto" w:fill="FFFFFF"/>
        </w:rPr>
        <w:t>万元，占</w:t>
      </w:r>
      <w:r>
        <w:rPr>
          <w:rFonts w:hint="default" w:ascii="Times New Roman" w:hAnsi="Times New Roman" w:eastAsia="方正仿宋_GBK" w:cs="Times New Roman"/>
          <w:b w:val="0"/>
          <w:bCs/>
          <w:color w:val="auto"/>
          <w:sz w:val="32"/>
          <w:szCs w:val="32"/>
        </w:rPr>
        <w:t>100.00</w:t>
      </w:r>
      <w:r>
        <w:rPr>
          <w:rFonts w:hint="default" w:ascii="Times New Roman" w:hAnsi="Times New Roman" w:eastAsia="方正仿宋_GBK" w:cs="Times New Roman"/>
          <w:b w:val="0"/>
          <w:bCs/>
          <w:color w:val="auto"/>
          <w:sz w:val="32"/>
          <w:szCs w:val="32"/>
          <w:shd w:val="clear" w:color="auto" w:fill="FFFFFF"/>
        </w:rPr>
        <w:t>%；事业收入</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万元，占0.00%；经营收入</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万元，占0.00%；其他收入</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万元，占0.00%。此外，使用非财政拨款结余和专用结余</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万元，年初结转和结余</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Style w:val="11"/>
          <w:rFonts w:hint="default" w:ascii="Times New Roman" w:hAnsi="Times New Roman" w:eastAsia="方正仿宋_GBK" w:cs="Times New Roman"/>
          <w:b w:val="0"/>
          <w:bCs/>
          <w:color w:val="auto"/>
          <w:sz w:val="32"/>
          <w:szCs w:val="32"/>
          <w:shd w:val="clear" w:color="auto" w:fill="FFFFFF"/>
        </w:rPr>
        <w:t>3.</w:t>
      </w:r>
      <w:r>
        <w:rPr>
          <w:rStyle w:val="11"/>
          <w:rFonts w:hint="eastAsia" w:ascii="Times New Roman" w:hAnsi="Times New Roman" w:eastAsia="方正仿宋_GBK" w:cs="Times New Roman"/>
          <w:b w:val="0"/>
          <w:bCs/>
          <w:color w:val="auto"/>
          <w:sz w:val="32"/>
          <w:szCs w:val="32"/>
          <w:shd w:val="clear" w:color="auto" w:fill="FFFFFF"/>
          <w:lang w:val="en-US" w:eastAsia="zh-CN"/>
        </w:rPr>
        <w:t xml:space="preserve"> </w:t>
      </w:r>
      <w:r>
        <w:rPr>
          <w:rStyle w:val="11"/>
          <w:rFonts w:hint="default" w:ascii="Times New Roman" w:hAnsi="Times New Roman" w:eastAsia="方正仿宋_GBK" w:cs="Times New Roman"/>
          <w:b w:val="0"/>
          <w:bCs/>
          <w:color w:val="auto"/>
          <w:sz w:val="32"/>
          <w:szCs w:val="32"/>
          <w:shd w:val="clear" w:color="auto" w:fill="FFFFFF"/>
        </w:rPr>
        <w:t>支出情况。</w:t>
      </w:r>
      <w:r>
        <w:rPr>
          <w:rFonts w:hint="default" w:ascii="Times New Roman" w:hAnsi="Times New Roman" w:eastAsia="方正仿宋_GBK" w:cs="Times New Roman"/>
          <w:b w:val="0"/>
          <w:bCs/>
          <w:color w:val="auto"/>
          <w:sz w:val="32"/>
          <w:szCs w:val="32"/>
          <w:shd w:val="clear" w:color="auto" w:fill="FFFFFF"/>
        </w:rPr>
        <w:t>2023年度支出合计</w:t>
      </w:r>
      <w:r>
        <w:rPr>
          <w:rFonts w:hint="default" w:ascii="Times New Roman" w:hAnsi="Times New Roman" w:eastAsia="方正仿宋_GBK" w:cs="Times New Roman"/>
          <w:b w:val="0"/>
          <w:bCs/>
          <w:color w:val="auto"/>
          <w:sz w:val="32"/>
          <w:szCs w:val="32"/>
        </w:rPr>
        <w:t>907.03</w:t>
      </w:r>
      <w:r>
        <w:rPr>
          <w:rFonts w:hint="default" w:ascii="Times New Roman" w:hAnsi="Times New Roman" w:eastAsia="方正仿宋_GBK" w:cs="Times New Roman"/>
          <w:b w:val="0"/>
          <w:bCs/>
          <w:color w:val="auto"/>
          <w:sz w:val="32"/>
          <w:szCs w:val="32"/>
          <w:shd w:val="clear" w:color="auto" w:fill="FFFFFF"/>
        </w:rPr>
        <w:t>万元，较上年决算数增加85.70万元，增长10.43%，主要原因是</w:t>
      </w:r>
      <w:r>
        <w:rPr>
          <w:rFonts w:hint="default" w:ascii="Times New Roman" w:hAnsi="Times New Roman" w:eastAsia="方正仿宋_GBK" w:cs="Times New Roman"/>
          <w:b w:val="0"/>
          <w:bCs/>
          <w:color w:val="auto"/>
          <w:sz w:val="32"/>
          <w:szCs w:val="32"/>
          <w:shd w:val="clear" w:color="auto" w:fill="FFFFFF"/>
          <w:lang w:val="en-US" w:eastAsia="zh-CN"/>
        </w:rPr>
        <w:t>职工工资调整，社保等基数增加</w:t>
      </w:r>
      <w:r>
        <w:rPr>
          <w:rFonts w:hint="default" w:ascii="Times New Roman" w:hAnsi="Times New Roman" w:eastAsia="方正仿宋_GBK" w:cs="Times New Roman"/>
          <w:b w:val="0"/>
          <w:bCs/>
          <w:color w:val="auto"/>
          <w:sz w:val="32"/>
          <w:szCs w:val="32"/>
          <w:shd w:val="clear" w:color="auto" w:fill="FFFFFF"/>
        </w:rPr>
        <w:t>。其中：基本支出</w:t>
      </w:r>
      <w:r>
        <w:rPr>
          <w:rFonts w:hint="default" w:ascii="Times New Roman" w:hAnsi="Times New Roman" w:eastAsia="方正仿宋_GBK" w:cs="Times New Roman"/>
          <w:b w:val="0"/>
          <w:bCs/>
          <w:color w:val="auto"/>
          <w:sz w:val="32"/>
          <w:szCs w:val="32"/>
        </w:rPr>
        <w:t>907.03</w:t>
      </w:r>
      <w:r>
        <w:rPr>
          <w:rFonts w:hint="default" w:ascii="Times New Roman" w:hAnsi="Times New Roman" w:eastAsia="方正仿宋_GBK" w:cs="Times New Roman"/>
          <w:b w:val="0"/>
          <w:bCs/>
          <w:color w:val="auto"/>
          <w:sz w:val="32"/>
          <w:szCs w:val="32"/>
          <w:shd w:val="clear" w:color="auto" w:fill="FFFFFF"/>
        </w:rPr>
        <w:t>万元，占100.00%；项目支出</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万元，占0.00%；经营支出</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万元，占0.00%。此外，结余分配</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1"/>
          <w:rFonts w:hint="default" w:ascii="Times New Roman" w:hAnsi="Times New Roman" w:eastAsia="方正仿宋_GBK" w:cs="Times New Roman"/>
          <w:b w:val="0"/>
          <w:bCs/>
          <w:color w:val="auto"/>
          <w:sz w:val="32"/>
          <w:szCs w:val="32"/>
          <w:shd w:val="clear" w:color="auto" w:fill="FFFFFF"/>
        </w:rPr>
        <w:t>4.</w:t>
      </w:r>
      <w:r>
        <w:rPr>
          <w:rStyle w:val="11"/>
          <w:rFonts w:hint="eastAsia" w:ascii="Times New Roman" w:hAnsi="Times New Roman" w:eastAsia="方正仿宋_GBK" w:cs="Times New Roman"/>
          <w:b w:val="0"/>
          <w:bCs/>
          <w:color w:val="auto"/>
          <w:sz w:val="32"/>
          <w:szCs w:val="32"/>
          <w:shd w:val="clear" w:color="auto" w:fill="FFFFFF"/>
          <w:lang w:val="en-US" w:eastAsia="zh-CN"/>
        </w:rPr>
        <w:t xml:space="preserve"> </w:t>
      </w:r>
      <w:r>
        <w:rPr>
          <w:rStyle w:val="11"/>
          <w:rFonts w:hint="default" w:ascii="Times New Roman" w:hAnsi="Times New Roman" w:eastAsia="方正仿宋_GBK" w:cs="Times New Roman"/>
          <w:b w:val="0"/>
          <w:bCs/>
          <w:color w:val="auto"/>
          <w:sz w:val="32"/>
          <w:szCs w:val="32"/>
          <w:shd w:val="clear" w:color="auto" w:fill="FFFFFF"/>
        </w:rPr>
        <w:t>结转结余情况。</w:t>
      </w:r>
      <w:r>
        <w:rPr>
          <w:rFonts w:hint="default" w:ascii="Times New Roman" w:hAnsi="Times New Roman" w:eastAsia="方正仿宋_GBK" w:cs="Times New Roman"/>
          <w:b w:val="0"/>
          <w:bCs/>
          <w:color w:val="auto"/>
          <w:sz w:val="32"/>
          <w:szCs w:val="32"/>
          <w:shd w:val="clear" w:color="auto" w:fill="FFFFFF"/>
        </w:rPr>
        <w:t>2023年度年末结转和结余</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万元，较上年决算数无增减，主要原因是</w:t>
      </w:r>
      <w:r>
        <w:rPr>
          <w:rFonts w:hint="default" w:ascii="Times New Roman" w:hAnsi="Times New Roman" w:eastAsia="方正仿宋_GBK" w:cs="Times New Roman"/>
          <w:b w:val="0"/>
          <w:bCs/>
          <w:color w:val="auto"/>
          <w:sz w:val="32"/>
          <w:szCs w:val="32"/>
          <w:shd w:val="clear" w:color="auto" w:fill="FFFFFF"/>
          <w:lang w:val="en-US" w:eastAsia="zh-CN"/>
        </w:rPr>
        <w:t>本单位严格按预算执行无结转结余</w:t>
      </w:r>
      <w:r>
        <w:rPr>
          <w:rFonts w:hint="default" w:ascii="Times New Roman" w:hAnsi="Times New Roman" w:eastAsia="方正仿宋_GBK" w:cs="Times New Roman"/>
          <w:b w:val="0"/>
          <w:bCs/>
          <w:color w:val="auto"/>
          <w:sz w:val="32"/>
          <w:szCs w:val="32"/>
          <w:shd w:val="clear" w:color="auto" w:fill="FFFFFF"/>
        </w:rPr>
        <w:t>。</w:t>
      </w:r>
    </w:p>
    <w:p>
      <w:pPr>
        <w:pStyle w:val="6"/>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11"/>
          <w:rFonts w:hint="eastAsia" w:ascii="Times New Roman" w:hAnsi="Times New Roman" w:eastAsia="方正楷体_GBK" w:cs="Times New Roman"/>
          <w:b w:val="0"/>
          <w:bCs/>
          <w:color w:val="auto"/>
          <w:sz w:val="32"/>
          <w:szCs w:val="32"/>
          <w:shd w:val="clear" w:color="auto" w:fill="FFFFFF"/>
          <w:lang w:eastAsia="zh-CN"/>
        </w:rPr>
      </w:pPr>
      <w:r>
        <w:rPr>
          <w:rStyle w:val="11"/>
          <w:rFonts w:hint="default" w:ascii="Times New Roman" w:hAnsi="Times New Roman" w:eastAsia="方正楷体_GBK" w:cs="Times New Roman"/>
          <w:b w:val="0"/>
          <w:bCs/>
          <w:color w:val="auto"/>
          <w:sz w:val="32"/>
          <w:szCs w:val="32"/>
          <w:shd w:val="clear" w:color="auto" w:fill="FFFFFF"/>
        </w:rPr>
        <w:t>（二）财政拨款收入支出决算总体情况说明</w:t>
      </w:r>
      <w:r>
        <w:rPr>
          <w:rStyle w:val="11"/>
          <w:rFonts w:hint="eastAsia" w:ascii="Times New Roman" w:hAnsi="Times New Roman" w:eastAsia="方正楷体_GBK" w:cs="Times New Roman"/>
          <w:b w:val="0"/>
          <w:bCs/>
          <w:color w:val="auto"/>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2023年度财政拨款收、支总计907.03万元。与2022年相比，财政拨款收、支总计各增加85.70万元，增长10.43%。主要原因是</w:t>
      </w:r>
      <w:r>
        <w:rPr>
          <w:rFonts w:hint="default" w:ascii="Times New Roman" w:hAnsi="Times New Roman" w:eastAsia="方正仿宋_GBK" w:cs="Times New Roman"/>
          <w:color w:val="auto"/>
          <w:sz w:val="32"/>
          <w:szCs w:val="32"/>
          <w:shd w:val="clear" w:color="auto" w:fill="FFFFFF"/>
          <w:lang w:val="en-US" w:eastAsia="zh-CN"/>
        </w:rPr>
        <w:t>职工工资调整，社保等基数增加，用于保障基本运转</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11"/>
          <w:rFonts w:hint="eastAsia" w:ascii="Times New Roman" w:hAnsi="Times New Roman" w:eastAsia="方正楷体_GBK" w:cs="Times New Roman"/>
          <w:b w:val="0"/>
          <w:bCs/>
          <w:color w:val="auto"/>
          <w:sz w:val="32"/>
          <w:szCs w:val="32"/>
          <w:shd w:val="clear" w:color="auto" w:fill="FFFFFF"/>
          <w:lang w:eastAsia="zh-CN"/>
        </w:rPr>
      </w:pPr>
      <w:r>
        <w:rPr>
          <w:rStyle w:val="11"/>
          <w:rFonts w:hint="default" w:ascii="Times New Roman" w:hAnsi="Times New Roman" w:eastAsia="方正楷体_GBK" w:cs="Times New Roman"/>
          <w:b w:val="0"/>
          <w:bCs/>
          <w:color w:val="auto"/>
          <w:sz w:val="32"/>
          <w:szCs w:val="32"/>
          <w:shd w:val="clear" w:color="auto" w:fill="FFFFFF"/>
        </w:rPr>
        <w:t>（三）一般公共预算财政拨款收入支出决算情况说明</w:t>
      </w:r>
      <w:r>
        <w:rPr>
          <w:rStyle w:val="11"/>
          <w:rFonts w:hint="eastAsia" w:ascii="Times New Roman" w:hAnsi="Times New Roman" w:eastAsia="方正楷体_GBK" w:cs="Times New Roman"/>
          <w:b w:val="0"/>
          <w:bCs/>
          <w:color w:val="auto"/>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1"/>
          <w:rFonts w:hint="default" w:ascii="Times New Roman" w:hAnsi="Times New Roman" w:eastAsia="方正仿宋_GBK" w:cs="Times New Roman"/>
          <w:b w:val="0"/>
          <w:bCs/>
          <w:color w:val="auto"/>
          <w:sz w:val="32"/>
          <w:szCs w:val="32"/>
          <w:shd w:val="clear" w:color="auto" w:fill="FFFFFF"/>
        </w:rPr>
        <w:t>1.</w:t>
      </w:r>
      <w:r>
        <w:rPr>
          <w:rStyle w:val="11"/>
          <w:rFonts w:hint="eastAsia" w:ascii="Times New Roman" w:hAnsi="Times New Roman" w:eastAsia="方正仿宋_GBK" w:cs="Times New Roman"/>
          <w:b w:val="0"/>
          <w:bCs/>
          <w:color w:val="auto"/>
          <w:sz w:val="32"/>
          <w:szCs w:val="32"/>
          <w:shd w:val="clear" w:color="auto" w:fill="FFFFFF"/>
          <w:lang w:val="en-US" w:eastAsia="zh-CN"/>
        </w:rPr>
        <w:t xml:space="preserve"> </w:t>
      </w:r>
      <w:r>
        <w:rPr>
          <w:rStyle w:val="11"/>
          <w:rFonts w:hint="default" w:ascii="Times New Roman" w:hAnsi="Times New Roman" w:eastAsia="方正仿宋_GBK" w:cs="Times New Roman"/>
          <w:b w:val="0"/>
          <w:bCs/>
          <w:color w:val="auto"/>
          <w:sz w:val="32"/>
          <w:szCs w:val="32"/>
          <w:shd w:val="clear" w:color="auto" w:fill="FFFFFF"/>
        </w:rPr>
        <w:t>收入情况。</w:t>
      </w:r>
      <w:r>
        <w:rPr>
          <w:rFonts w:hint="default" w:ascii="Times New Roman" w:hAnsi="Times New Roman" w:eastAsia="方正仿宋_GBK" w:cs="Times New Roman"/>
          <w:b w:val="0"/>
          <w:bCs/>
          <w:color w:val="auto"/>
          <w:sz w:val="32"/>
          <w:szCs w:val="32"/>
          <w:shd w:val="clear" w:color="auto" w:fill="FFFFFF"/>
        </w:rPr>
        <w:t>2023年度一般公共预算财政拨款收入</w:t>
      </w:r>
      <w:r>
        <w:rPr>
          <w:rFonts w:hint="default" w:ascii="Times New Roman" w:hAnsi="Times New Roman" w:eastAsia="方正仿宋_GBK" w:cs="Times New Roman"/>
          <w:b w:val="0"/>
          <w:bCs/>
          <w:color w:val="auto"/>
          <w:sz w:val="32"/>
          <w:szCs w:val="32"/>
        </w:rPr>
        <w:t>907.03</w:t>
      </w:r>
      <w:r>
        <w:rPr>
          <w:rFonts w:hint="default" w:ascii="Times New Roman" w:hAnsi="Times New Roman" w:eastAsia="方正仿宋_GBK" w:cs="Times New Roman"/>
          <w:b w:val="0"/>
          <w:bCs/>
          <w:color w:val="auto"/>
          <w:sz w:val="32"/>
          <w:szCs w:val="32"/>
          <w:shd w:val="clear" w:color="auto" w:fill="FFFFFF"/>
        </w:rPr>
        <w:t>万元，较上年决算数增加85.70万元，增长10.43%。主要原因是</w:t>
      </w:r>
      <w:r>
        <w:rPr>
          <w:rFonts w:hint="default" w:ascii="Times New Roman" w:hAnsi="Times New Roman" w:eastAsia="方正仿宋_GBK" w:cs="Times New Roman"/>
          <w:b w:val="0"/>
          <w:bCs/>
          <w:color w:val="auto"/>
          <w:sz w:val="32"/>
          <w:szCs w:val="32"/>
          <w:shd w:val="clear" w:color="auto" w:fill="FFFFFF"/>
          <w:lang w:val="en-US" w:eastAsia="zh-CN"/>
        </w:rPr>
        <w:t>职工工资调整，社保等基数增加</w:t>
      </w:r>
      <w:r>
        <w:rPr>
          <w:rFonts w:hint="default" w:ascii="Times New Roman" w:hAnsi="Times New Roman" w:eastAsia="方正仿宋_GBK" w:cs="Times New Roman"/>
          <w:b w:val="0"/>
          <w:bCs/>
          <w:color w:val="auto"/>
          <w:sz w:val="32"/>
          <w:szCs w:val="32"/>
          <w:shd w:val="clear" w:color="auto" w:fill="FFFFFF"/>
        </w:rPr>
        <w:t>。较年初预算数增加13.90万元，增长1.56%。主要原因是</w:t>
      </w:r>
      <w:r>
        <w:rPr>
          <w:rFonts w:hint="default" w:ascii="Times New Roman" w:hAnsi="Times New Roman" w:eastAsia="方正仿宋_GBK" w:cs="Times New Roman"/>
          <w:b w:val="0"/>
          <w:bCs/>
          <w:color w:val="auto"/>
          <w:sz w:val="32"/>
          <w:szCs w:val="32"/>
          <w:shd w:val="clear" w:color="auto" w:fill="FFFFFF"/>
          <w:lang w:val="en-US" w:eastAsia="zh-CN"/>
        </w:rPr>
        <w:t>职工工资调整，社保等基数增加</w:t>
      </w:r>
      <w:r>
        <w:rPr>
          <w:rFonts w:hint="default" w:ascii="Times New Roman" w:hAnsi="Times New Roman" w:eastAsia="方正仿宋_GBK" w:cs="Times New Roman"/>
          <w:b w:val="0"/>
          <w:bCs/>
          <w:color w:val="auto"/>
          <w:sz w:val="32"/>
          <w:szCs w:val="32"/>
          <w:shd w:val="clear" w:color="auto" w:fill="FFFFFF"/>
        </w:rPr>
        <w:t>。此外，年初财政拨款结转和结余</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1"/>
          <w:rFonts w:hint="default" w:ascii="Times New Roman" w:hAnsi="Times New Roman" w:eastAsia="方正仿宋_GBK" w:cs="Times New Roman"/>
          <w:b w:val="0"/>
          <w:bCs/>
          <w:color w:val="auto"/>
          <w:sz w:val="32"/>
          <w:szCs w:val="32"/>
          <w:shd w:val="clear" w:color="auto" w:fill="FFFFFF"/>
        </w:rPr>
        <w:t>2.</w:t>
      </w:r>
      <w:r>
        <w:rPr>
          <w:rStyle w:val="11"/>
          <w:rFonts w:hint="eastAsia" w:ascii="Times New Roman" w:hAnsi="Times New Roman" w:eastAsia="方正仿宋_GBK" w:cs="Times New Roman"/>
          <w:b w:val="0"/>
          <w:bCs/>
          <w:color w:val="auto"/>
          <w:sz w:val="32"/>
          <w:szCs w:val="32"/>
          <w:shd w:val="clear" w:color="auto" w:fill="FFFFFF"/>
          <w:lang w:val="en-US" w:eastAsia="zh-CN"/>
        </w:rPr>
        <w:t xml:space="preserve"> </w:t>
      </w:r>
      <w:r>
        <w:rPr>
          <w:rStyle w:val="11"/>
          <w:rFonts w:hint="default" w:ascii="Times New Roman" w:hAnsi="Times New Roman" w:eastAsia="方正仿宋_GBK" w:cs="Times New Roman"/>
          <w:b w:val="0"/>
          <w:bCs/>
          <w:color w:val="auto"/>
          <w:sz w:val="32"/>
          <w:szCs w:val="32"/>
          <w:shd w:val="clear" w:color="auto" w:fill="FFFFFF"/>
        </w:rPr>
        <w:t>支出情况。</w:t>
      </w:r>
      <w:r>
        <w:rPr>
          <w:rFonts w:hint="default" w:ascii="Times New Roman" w:hAnsi="Times New Roman" w:eastAsia="方正仿宋_GBK" w:cs="Times New Roman"/>
          <w:b w:val="0"/>
          <w:bCs/>
          <w:color w:val="auto"/>
          <w:sz w:val="32"/>
          <w:szCs w:val="32"/>
          <w:shd w:val="clear" w:color="auto" w:fill="FFFFFF"/>
        </w:rPr>
        <w:t>2023年度一般公共预算财政拨款支出</w:t>
      </w:r>
      <w:r>
        <w:rPr>
          <w:rFonts w:hint="default" w:ascii="Times New Roman" w:hAnsi="Times New Roman" w:eastAsia="方正仿宋_GBK" w:cs="Times New Roman"/>
          <w:b w:val="0"/>
          <w:bCs/>
          <w:color w:val="auto"/>
          <w:sz w:val="32"/>
          <w:szCs w:val="32"/>
        </w:rPr>
        <w:t>907.03</w:t>
      </w:r>
      <w:r>
        <w:rPr>
          <w:rFonts w:hint="default" w:ascii="Times New Roman" w:hAnsi="Times New Roman" w:eastAsia="方正仿宋_GBK" w:cs="Times New Roman"/>
          <w:b w:val="0"/>
          <w:bCs/>
          <w:color w:val="auto"/>
          <w:sz w:val="32"/>
          <w:szCs w:val="32"/>
          <w:shd w:val="clear" w:color="auto" w:fill="FFFFFF"/>
        </w:rPr>
        <w:t>万元，较上年决算数增加85.70万元，增长10.43%。主要原因是</w:t>
      </w:r>
      <w:r>
        <w:rPr>
          <w:rFonts w:hint="default" w:ascii="Times New Roman" w:hAnsi="Times New Roman" w:eastAsia="方正仿宋_GBK" w:cs="Times New Roman"/>
          <w:b w:val="0"/>
          <w:bCs/>
          <w:color w:val="auto"/>
          <w:sz w:val="32"/>
          <w:szCs w:val="32"/>
          <w:shd w:val="clear" w:color="auto" w:fill="FFFFFF"/>
          <w:lang w:val="en-US" w:eastAsia="zh-CN"/>
        </w:rPr>
        <w:t>职工工资调整，社保等基数增加，基本支出增加</w:t>
      </w:r>
      <w:r>
        <w:rPr>
          <w:rFonts w:hint="default" w:ascii="Times New Roman" w:hAnsi="Times New Roman" w:eastAsia="方正仿宋_GBK" w:cs="Times New Roman"/>
          <w:b w:val="0"/>
          <w:bCs/>
          <w:color w:val="auto"/>
          <w:sz w:val="32"/>
          <w:szCs w:val="32"/>
          <w:shd w:val="clear" w:color="auto" w:fill="FFFFFF"/>
        </w:rPr>
        <w:t>。较年初预算数增加13.90万元，增长1.56%。主要原因是</w:t>
      </w:r>
      <w:r>
        <w:rPr>
          <w:rFonts w:hint="default" w:ascii="Times New Roman" w:hAnsi="Times New Roman" w:eastAsia="方正仿宋_GBK" w:cs="Times New Roman"/>
          <w:b w:val="0"/>
          <w:bCs/>
          <w:color w:val="auto"/>
          <w:sz w:val="32"/>
          <w:szCs w:val="32"/>
          <w:shd w:val="clear" w:color="auto" w:fill="FFFFFF"/>
          <w:lang w:val="en-US" w:eastAsia="zh-CN"/>
        </w:rPr>
        <w:t>职工工资调整，社保等基数增加，基本支出增加</w:t>
      </w:r>
      <w:r>
        <w:rPr>
          <w:rFonts w:hint="default" w:ascii="Times New Roman" w:hAnsi="Times New Roman" w:eastAsia="方正仿宋_GBK" w:cs="Times New Roman"/>
          <w:b w:val="0"/>
          <w:bCs/>
          <w:color w:val="auto"/>
          <w:sz w:val="32"/>
          <w:szCs w:val="32"/>
          <w:shd w:val="clear" w:color="auto" w:fill="FFFFFF"/>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1"/>
          <w:rFonts w:hint="default" w:ascii="Times New Roman" w:hAnsi="Times New Roman" w:eastAsia="方正仿宋_GBK" w:cs="Times New Roman"/>
          <w:b w:val="0"/>
          <w:bCs/>
          <w:color w:val="auto"/>
          <w:sz w:val="32"/>
          <w:szCs w:val="32"/>
          <w:shd w:val="clear" w:color="auto" w:fill="FFFFFF"/>
        </w:rPr>
        <w:t>3.</w:t>
      </w:r>
      <w:r>
        <w:rPr>
          <w:rStyle w:val="11"/>
          <w:rFonts w:hint="eastAsia" w:ascii="Times New Roman" w:hAnsi="Times New Roman" w:eastAsia="方正仿宋_GBK" w:cs="Times New Roman"/>
          <w:b w:val="0"/>
          <w:bCs/>
          <w:color w:val="auto"/>
          <w:sz w:val="32"/>
          <w:szCs w:val="32"/>
          <w:shd w:val="clear" w:color="auto" w:fill="FFFFFF"/>
          <w:lang w:val="en-US" w:eastAsia="zh-CN"/>
        </w:rPr>
        <w:t xml:space="preserve"> </w:t>
      </w:r>
      <w:r>
        <w:rPr>
          <w:rStyle w:val="11"/>
          <w:rFonts w:hint="default" w:ascii="Times New Roman" w:hAnsi="Times New Roman" w:eastAsia="方正仿宋_GBK" w:cs="Times New Roman"/>
          <w:b w:val="0"/>
          <w:bCs/>
          <w:color w:val="auto"/>
          <w:sz w:val="32"/>
          <w:szCs w:val="32"/>
          <w:shd w:val="clear" w:color="auto" w:fill="FFFFFF"/>
        </w:rPr>
        <w:t>结转结余情况。</w:t>
      </w:r>
      <w:r>
        <w:rPr>
          <w:rFonts w:hint="default" w:ascii="Times New Roman" w:hAnsi="Times New Roman" w:eastAsia="方正仿宋_GBK" w:cs="Times New Roman"/>
          <w:b w:val="0"/>
          <w:bCs/>
          <w:color w:val="auto"/>
          <w:sz w:val="32"/>
          <w:szCs w:val="32"/>
          <w:shd w:val="clear" w:color="auto" w:fill="FFFFFF"/>
        </w:rPr>
        <w:t>2023年度年末一般公共预算财政拨款结转和结余</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万元，较上年决算数无增减，主要原因是</w:t>
      </w:r>
      <w:r>
        <w:rPr>
          <w:rFonts w:hint="default" w:ascii="Times New Roman" w:hAnsi="Times New Roman" w:eastAsia="方正仿宋_GBK" w:cs="Times New Roman"/>
          <w:b w:val="0"/>
          <w:bCs/>
          <w:color w:val="auto"/>
          <w:sz w:val="32"/>
          <w:szCs w:val="32"/>
          <w:shd w:val="clear" w:color="auto" w:fill="FFFFFF"/>
          <w:lang w:val="en-US" w:eastAsia="zh-CN"/>
        </w:rPr>
        <w:t>本单位严格按预算执行无结转结余</w:t>
      </w:r>
      <w:r>
        <w:rPr>
          <w:rFonts w:hint="default" w:ascii="Times New Roman" w:hAnsi="Times New Roman" w:eastAsia="方正仿宋_GBK" w:cs="Times New Roman"/>
          <w:b w:val="0"/>
          <w:bCs/>
          <w:color w:val="auto"/>
          <w:sz w:val="32"/>
          <w:szCs w:val="32"/>
          <w:shd w:val="clear" w:color="auto" w:fill="FFFFFF"/>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b w:val="0"/>
          <w:bCs/>
          <w:color w:val="auto"/>
          <w:sz w:val="32"/>
          <w:szCs w:val="32"/>
          <w:shd w:val="clear" w:color="auto" w:fill="FFFFFF"/>
        </w:rPr>
        <w:t>4.</w:t>
      </w:r>
      <w:r>
        <w:rPr>
          <w:rStyle w:val="11"/>
          <w:rFonts w:hint="eastAsia" w:ascii="Times New Roman" w:hAnsi="Times New Roman" w:eastAsia="方正仿宋_GBK" w:cs="Times New Roman"/>
          <w:b w:val="0"/>
          <w:bCs/>
          <w:color w:val="auto"/>
          <w:sz w:val="32"/>
          <w:szCs w:val="32"/>
          <w:shd w:val="clear" w:color="auto" w:fill="FFFFFF"/>
          <w:lang w:val="en-US" w:eastAsia="zh-CN"/>
        </w:rPr>
        <w:t xml:space="preserve"> </w:t>
      </w:r>
      <w:r>
        <w:rPr>
          <w:rStyle w:val="11"/>
          <w:rFonts w:hint="default" w:ascii="Times New Roman" w:hAnsi="Times New Roman" w:eastAsia="方正仿宋_GBK" w:cs="Times New Roman"/>
          <w:b w:val="0"/>
          <w:bCs/>
          <w:color w:val="auto"/>
          <w:sz w:val="32"/>
          <w:szCs w:val="32"/>
          <w:shd w:val="clear" w:color="auto" w:fill="FFFFFF"/>
        </w:rPr>
        <w:t>比较情况。</w:t>
      </w:r>
      <w:r>
        <w:rPr>
          <w:rFonts w:hint="default" w:ascii="Times New Roman" w:hAnsi="Times New Roman" w:eastAsia="方正仿宋_GBK" w:cs="Times New Roman"/>
          <w:color w:val="auto"/>
          <w:sz w:val="32"/>
          <w:szCs w:val="32"/>
          <w:shd w:val="clear" w:color="auto" w:fill="FFFFFF"/>
        </w:rPr>
        <w:t>本单位2023年度一般公共预算财政拨款支出主要用于以下几个方面：</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rPr>
        <w:t>）社会保障与就业支出</w:t>
      </w:r>
      <w:r>
        <w:rPr>
          <w:rFonts w:hint="default" w:ascii="Times New Roman" w:hAnsi="Times New Roman" w:eastAsia="方正仿宋_GBK" w:cs="Times New Roman"/>
          <w:color w:val="auto"/>
          <w:sz w:val="32"/>
          <w:szCs w:val="32"/>
        </w:rPr>
        <w:t>175.51</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19.35</w:t>
      </w:r>
      <w:r>
        <w:rPr>
          <w:rFonts w:hint="default" w:ascii="Times New Roman" w:hAnsi="Times New Roman" w:eastAsia="方正仿宋_GBK" w:cs="Times New Roman"/>
          <w:color w:val="auto"/>
          <w:sz w:val="32"/>
          <w:szCs w:val="32"/>
          <w:shd w:val="clear" w:color="auto" w:fill="FFFFFF"/>
        </w:rPr>
        <w:t>%，较年初预算数减少20.15万元，下降10.30%，主要原因是</w:t>
      </w:r>
      <w:r>
        <w:rPr>
          <w:rFonts w:hint="default" w:ascii="Times New Roman" w:hAnsi="Times New Roman" w:eastAsia="方正仿宋_GBK" w:cs="Times New Roman"/>
          <w:color w:val="auto"/>
          <w:sz w:val="32"/>
          <w:szCs w:val="32"/>
          <w:shd w:val="clear" w:color="auto" w:fill="FFFFFF"/>
          <w:lang w:val="en-US" w:eastAsia="zh-CN"/>
        </w:rPr>
        <w:t>本单位本年度退休5人、调出1人，新进3人，</w:t>
      </w:r>
      <w:r>
        <w:rPr>
          <w:rFonts w:hint="default" w:ascii="Times New Roman" w:hAnsi="Times New Roman" w:eastAsia="方正仿宋_GBK" w:cs="Times New Roman"/>
          <w:b w:val="0"/>
          <w:bCs w:val="0"/>
          <w:color w:val="auto"/>
          <w:sz w:val="32"/>
          <w:szCs w:val="32"/>
          <w:shd w:val="clear" w:color="auto" w:fill="FFFFFF"/>
          <w:lang w:val="en-US" w:eastAsia="zh-CN"/>
        </w:rPr>
        <w:t>且新进人员社保缴费基数低</w:t>
      </w:r>
      <w:r>
        <w:rPr>
          <w:rFonts w:hint="default" w:ascii="Times New Roman" w:hAnsi="Times New Roman" w:eastAsia="方正仿宋_GBK" w:cs="Times New Roman"/>
          <w:color w:val="auto"/>
          <w:sz w:val="32"/>
          <w:szCs w:val="32"/>
          <w:shd w:val="clear" w:color="auto" w:fill="FFFFFF"/>
          <w:lang w:val="en-US" w:eastAsia="zh-CN"/>
        </w:rPr>
        <w:t>，职工社保缴费减少</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rPr>
        <w:t>31.62</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3.49</w:t>
      </w:r>
      <w:r>
        <w:rPr>
          <w:rFonts w:hint="default" w:ascii="Times New Roman" w:hAnsi="Times New Roman" w:eastAsia="方正仿宋_GBK" w:cs="Times New Roman"/>
          <w:color w:val="auto"/>
          <w:sz w:val="32"/>
          <w:szCs w:val="32"/>
          <w:shd w:val="clear" w:color="auto" w:fill="FFFFFF"/>
        </w:rPr>
        <w:t>%，较年初预算数减少3.85万元，下降10.85%，主要原因是</w:t>
      </w:r>
      <w:r>
        <w:rPr>
          <w:rFonts w:hint="default" w:ascii="Times New Roman" w:hAnsi="Times New Roman" w:eastAsia="方正仿宋_GBK" w:cs="Times New Roman"/>
          <w:color w:val="auto"/>
          <w:sz w:val="32"/>
          <w:szCs w:val="32"/>
          <w:shd w:val="clear" w:color="auto" w:fill="FFFFFF"/>
          <w:lang w:val="en-US" w:eastAsia="zh-CN"/>
        </w:rPr>
        <w:t>本单位本年度退休5人、调出1人，新进3人，</w:t>
      </w:r>
      <w:r>
        <w:rPr>
          <w:rFonts w:hint="default" w:ascii="Times New Roman" w:hAnsi="Times New Roman" w:eastAsia="方正仿宋_GBK" w:cs="Times New Roman"/>
          <w:b w:val="0"/>
          <w:bCs w:val="0"/>
          <w:color w:val="auto"/>
          <w:sz w:val="32"/>
          <w:szCs w:val="32"/>
          <w:shd w:val="clear" w:color="auto" w:fill="FFFFFF"/>
          <w:lang w:val="en-US" w:eastAsia="zh-CN"/>
        </w:rPr>
        <w:t>且新进人员社保缴费基数低</w:t>
      </w:r>
      <w:r>
        <w:rPr>
          <w:rFonts w:hint="default" w:ascii="Times New Roman" w:hAnsi="Times New Roman" w:eastAsia="方正仿宋_GBK" w:cs="Times New Roman"/>
          <w:color w:val="auto"/>
          <w:sz w:val="32"/>
          <w:szCs w:val="32"/>
          <w:shd w:val="clear" w:color="auto" w:fill="FFFFFF"/>
          <w:lang w:val="en-US" w:eastAsia="zh-CN"/>
        </w:rPr>
        <w:t>，职工医保缴费减少</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）农林水支出</w:t>
      </w:r>
      <w:r>
        <w:rPr>
          <w:rFonts w:hint="default" w:ascii="Times New Roman" w:hAnsi="Times New Roman" w:eastAsia="方正仿宋_GBK" w:cs="Times New Roman"/>
          <w:color w:val="auto"/>
          <w:sz w:val="32"/>
          <w:szCs w:val="32"/>
        </w:rPr>
        <w:t>662.60</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73.05</w:t>
      </w:r>
      <w:r>
        <w:rPr>
          <w:rFonts w:hint="default" w:ascii="Times New Roman" w:hAnsi="Times New Roman" w:eastAsia="方正仿宋_GBK" w:cs="Times New Roman"/>
          <w:color w:val="auto"/>
          <w:sz w:val="32"/>
          <w:szCs w:val="32"/>
          <w:shd w:val="clear" w:color="auto" w:fill="FFFFFF"/>
        </w:rPr>
        <w:t>%，较年初预算数增加36.84万元，增长5.89%，主要原因是</w:t>
      </w:r>
      <w:r>
        <w:rPr>
          <w:rFonts w:hint="default" w:ascii="Times New Roman" w:hAnsi="Times New Roman" w:eastAsia="仿宋" w:cs="Times New Roman"/>
          <w:color w:val="auto"/>
          <w:sz w:val="30"/>
          <w:szCs w:val="30"/>
          <w:lang w:val="en-US" w:eastAsia="zh-CN"/>
        </w:rPr>
        <w:t>职工绩效发放方式工资调整</w:t>
      </w:r>
      <w:r>
        <w:rPr>
          <w:rFonts w:hint="default" w:ascii="Times New Roman" w:hAnsi="Times New Roman" w:eastAsia="方正仿宋_GBK" w:cs="Times New Roman"/>
          <w:color w:val="auto"/>
          <w:sz w:val="32"/>
          <w:szCs w:val="32"/>
          <w:shd w:val="clear" w:color="auto" w:fill="FFFFFF"/>
        </w:rPr>
        <w:t>。</w:t>
      </w:r>
    </w:p>
    <w:p>
      <w:pPr>
        <w:keepNext w:val="0"/>
        <w:keepLines w:val="0"/>
        <w:pageBreakBefore w:val="0"/>
        <w:widowControl w:val="0"/>
        <w:kinsoku/>
        <w:wordWrap/>
        <w:overflowPunct/>
        <w:topLinePunct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住房保障支出37.30</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4.11</w:t>
      </w:r>
      <w:r>
        <w:rPr>
          <w:rFonts w:hint="default" w:ascii="Times New Roman" w:hAnsi="Times New Roman" w:eastAsia="方正仿宋_GBK" w:cs="Times New Roman"/>
          <w:color w:val="auto"/>
          <w:sz w:val="32"/>
          <w:szCs w:val="32"/>
          <w:shd w:val="clear" w:color="auto" w:fill="FFFFFF"/>
        </w:rPr>
        <w:t>%，较年初预算数增加1.07万元，增长2.95%，主要原因是</w:t>
      </w:r>
      <w:r>
        <w:rPr>
          <w:rFonts w:hint="default" w:ascii="Times New Roman" w:hAnsi="Times New Roman" w:eastAsia="仿宋" w:cs="Times New Roman"/>
          <w:color w:val="auto"/>
          <w:sz w:val="30"/>
          <w:szCs w:val="30"/>
          <w:lang w:val="en-US" w:eastAsia="zh-CN"/>
        </w:rPr>
        <w:t>职工工资调整，住房公积金缴费基数增加</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11"/>
          <w:rFonts w:hint="eastAsia" w:ascii="Times New Roman" w:hAnsi="Times New Roman" w:eastAsia="方正楷体_GBK" w:cs="Times New Roman"/>
          <w:b w:val="0"/>
          <w:bCs/>
          <w:color w:val="auto"/>
          <w:sz w:val="32"/>
          <w:szCs w:val="32"/>
          <w:shd w:val="clear" w:color="auto" w:fill="FFFFFF"/>
          <w:lang w:eastAsia="zh-CN"/>
        </w:rPr>
      </w:pPr>
      <w:r>
        <w:rPr>
          <w:rStyle w:val="11"/>
          <w:rFonts w:hint="default" w:ascii="Times New Roman" w:hAnsi="Times New Roman" w:eastAsia="方正楷体_GBK" w:cs="Times New Roman"/>
          <w:b w:val="0"/>
          <w:bCs/>
          <w:color w:val="auto"/>
          <w:sz w:val="32"/>
          <w:szCs w:val="32"/>
          <w:shd w:val="clear" w:color="auto" w:fill="FFFFFF"/>
        </w:rPr>
        <w:t>（四）一般公共预算财政拨款基本支出决算情况说明</w:t>
      </w:r>
      <w:r>
        <w:rPr>
          <w:rStyle w:val="11"/>
          <w:rFonts w:hint="eastAsia" w:ascii="Times New Roman" w:hAnsi="Times New Roman" w:eastAsia="方正楷体_GBK" w:cs="Times New Roman"/>
          <w:b w:val="0"/>
          <w:bCs/>
          <w:color w:val="auto"/>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2023年度一般公共财政拨款基本支出</w:t>
      </w:r>
      <w:r>
        <w:rPr>
          <w:rFonts w:hint="default" w:ascii="Times New Roman" w:hAnsi="Times New Roman" w:eastAsia="方正仿宋_GBK" w:cs="Times New Roman"/>
          <w:color w:val="auto"/>
          <w:sz w:val="32"/>
          <w:szCs w:val="32"/>
        </w:rPr>
        <w:t>907.03</w:t>
      </w:r>
      <w:r>
        <w:rPr>
          <w:rFonts w:hint="default" w:ascii="Times New Roman" w:hAnsi="Times New Roman" w:eastAsia="方正仿宋_GBK" w:cs="Times New Roman"/>
          <w:color w:val="auto"/>
          <w:sz w:val="32"/>
          <w:szCs w:val="32"/>
          <w:shd w:val="clear" w:color="auto" w:fill="FFFFFF"/>
        </w:rPr>
        <w:t>万元。其中：人员经费</w:t>
      </w:r>
      <w:r>
        <w:rPr>
          <w:rFonts w:hint="default" w:ascii="Times New Roman" w:hAnsi="Times New Roman" w:eastAsia="方正仿宋_GBK" w:cs="Times New Roman"/>
          <w:color w:val="auto"/>
          <w:sz w:val="32"/>
          <w:szCs w:val="32"/>
        </w:rPr>
        <w:t>787.01</w:t>
      </w:r>
      <w:r>
        <w:rPr>
          <w:rFonts w:hint="default" w:ascii="Times New Roman" w:hAnsi="Times New Roman" w:eastAsia="方正仿宋_GBK" w:cs="Times New Roman"/>
          <w:color w:val="auto"/>
          <w:sz w:val="32"/>
          <w:szCs w:val="32"/>
          <w:shd w:val="clear" w:color="auto" w:fill="FFFFFF"/>
        </w:rPr>
        <w:t>万元，较上年决算数增加95.33万元，增长13.78%，主要原因是</w:t>
      </w:r>
      <w:r>
        <w:rPr>
          <w:rFonts w:hint="default" w:ascii="Times New Roman" w:hAnsi="Times New Roman" w:eastAsia="方正仿宋_GBK" w:cs="Times New Roman"/>
          <w:color w:val="auto"/>
          <w:sz w:val="32"/>
          <w:szCs w:val="32"/>
          <w:shd w:val="clear" w:color="auto" w:fill="FFFFFF"/>
          <w:lang w:val="en-US" w:eastAsia="zh-CN"/>
        </w:rPr>
        <w:t>职工工资调整，社保等基本支出增加，用于保障基本运转</w:t>
      </w:r>
      <w:r>
        <w:rPr>
          <w:rFonts w:hint="default" w:ascii="Times New Roman" w:hAnsi="Times New Roman" w:eastAsia="方正仿宋_GBK" w:cs="Times New Roman"/>
          <w:color w:val="auto"/>
          <w:sz w:val="32"/>
          <w:szCs w:val="32"/>
          <w:shd w:val="clear" w:color="auto" w:fill="FFFFFF"/>
        </w:rPr>
        <w:t>。人员经费用途主要包括基本工资、津贴补贴、绩效工资、社会保障缴费、住房公积金。公用经费</w:t>
      </w:r>
      <w:r>
        <w:rPr>
          <w:rFonts w:hint="default" w:ascii="Times New Roman" w:hAnsi="Times New Roman" w:eastAsia="方正仿宋_GBK" w:cs="Times New Roman"/>
          <w:color w:val="auto"/>
          <w:sz w:val="32"/>
          <w:szCs w:val="32"/>
        </w:rPr>
        <w:t>120.02</w:t>
      </w:r>
      <w:r>
        <w:rPr>
          <w:rFonts w:hint="default" w:ascii="Times New Roman" w:hAnsi="Times New Roman" w:eastAsia="方正仿宋_GBK" w:cs="Times New Roman"/>
          <w:color w:val="auto"/>
          <w:sz w:val="32"/>
          <w:szCs w:val="32"/>
          <w:shd w:val="clear" w:color="auto" w:fill="FFFFFF"/>
        </w:rPr>
        <w:t>万元，较上年决算数减少9.62万元，下降7.42%，主要原因是</w:t>
      </w:r>
      <w:r>
        <w:rPr>
          <w:rFonts w:hint="default" w:ascii="Times New Roman" w:hAnsi="Times New Roman" w:eastAsia="方正仿宋_GBK" w:cs="Times New Roman"/>
          <w:color w:val="auto"/>
          <w:sz w:val="32"/>
          <w:szCs w:val="32"/>
          <w:shd w:val="clear" w:color="auto" w:fill="FFFFFF"/>
          <w:lang w:val="en-US" w:eastAsia="zh-CN"/>
        </w:rPr>
        <w:t>厉行节约，减少公用经费支出</w:t>
      </w:r>
      <w:r>
        <w:rPr>
          <w:rFonts w:hint="default" w:ascii="Times New Roman" w:hAnsi="Times New Roman" w:eastAsia="方正仿宋_GBK" w:cs="Times New Roman"/>
          <w:color w:val="auto"/>
          <w:sz w:val="32"/>
          <w:szCs w:val="32"/>
          <w:shd w:val="clear" w:color="auto" w:fill="FFFFFF"/>
        </w:rPr>
        <w:t>。公用经费用途主要包括</w:t>
      </w:r>
      <w:r>
        <w:rPr>
          <w:rFonts w:hint="default" w:ascii="Times New Roman" w:hAnsi="Times New Roman" w:eastAsia="方正仿宋_GBK" w:cs="Times New Roman"/>
          <w:b w:val="0"/>
          <w:color w:val="auto"/>
          <w:kern w:val="0"/>
          <w:sz w:val="32"/>
          <w:szCs w:val="32"/>
          <w:shd w:val="clear" w:fill="FFFFFF"/>
        </w:rPr>
        <w:t>办公费、</w:t>
      </w:r>
      <w:r>
        <w:rPr>
          <w:rFonts w:hint="default" w:ascii="Times New Roman" w:hAnsi="Times New Roman" w:eastAsia="方正仿宋_GBK" w:cs="Times New Roman"/>
          <w:b w:val="0"/>
          <w:color w:val="auto"/>
          <w:kern w:val="0"/>
          <w:sz w:val="32"/>
          <w:szCs w:val="32"/>
          <w:shd w:val="clear" w:fill="FFFFFF"/>
          <w:lang w:val="en-US" w:eastAsia="zh-CN"/>
        </w:rPr>
        <w:t>水费、</w:t>
      </w:r>
      <w:r>
        <w:rPr>
          <w:rFonts w:hint="default" w:ascii="Times New Roman" w:hAnsi="Times New Roman" w:eastAsia="方正仿宋_GBK" w:cs="Times New Roman"/>
          <w:b w:val="0"/>
          <w:color w:val="auto"/>
          <w:kern w:val="0"/>
          <w:sz w:val="32"/>
          <w:szCs w:val="32"/>
          <w:shd w:val="clear" w:fill="FFFFFF"/>
        </w:rPr>
        <w:t>电费、</w:t>
      </w:r>
      <w:r>
        <w:rPr>
          <w:rFonts w:hint="default" w:ascii="Times New Roman" w:hAnsi="Times New Roman" w:eastAsia="方正仿宋_GBK" w:cs="Times New Roman"/>
          <w:b w:val="0"/>
          <w:color w:val="auto"/>
          <w:kern w:val="0"/>
          <w:sz w:val="32"/>
          <w:szCs w:val="32"/>
          <w:shd w:val="clear" w:fill="FFFFFF"/>
          <w:lang w:val="en-US" w:eastAsia="zh-CN"/>
        </w:rPr>
        <w:t>培训费</w:t>
      </w:r>
      <w:r>
        <w:rPr>
          <w:rFonts w:hint="default" w:ascii="Times New Roman" w:hAnsi="Times New Roman" w:eastAsia="方正仿宋_GBK" w:cs="Times New Roman"/>
          <w:b w:val="0"/>
          <w:color w:val="auto"/>
          <w:kern w:val="0"/>
          <w:sz w:val="32"/>
          <w:szCs w:val="32"/>
          <w:shd w:val="clear" w:fill="FFFFFF"/>
        </w:rPr>
        <w:t>、工会经费</w:t>
      </w:r>
      <w:r>
        <w:rPr>
          <w:rFonts w:hint="default" w:ascii="Times New Roman" w:hAnsi="Times New Roman" w:eastAsia="方正仿宋_GBK" w:cs="Times New Roman"/>
          <w:b w:val="0"/>
          <w:color w:val="auto"/>
          <w:kern w:val="0"/>
          <w:sz w:val="32"/>
          <w:szCs w:val="32"/>
          <w:shd w:val="clear" w:fill="FFFFFF"/>
          <w:lang w:eastAsia="zh-CN"/>
        </w:rPr>
        <w:t>、</w:t>
      </w:r>
      <w:r>
        <w:rPr>
          <w:rFonts w:hint="default" w:ascii="Times New Roman" w:hAnsi="Times New Roman" w:eastAsia="方正仿宋_GBK" w:cs="Times New Roman"/>
          <w:b w:val="0"/>
          <w:color w:val="auto"/>
          <w:kern w:val="0"/>
          <w:sz w:val="32"/>
          <w:szCs w:val="32"/>
          <w:shd w:val="clear" w:fill="FFFFFF"/>
          <w:lang w:val="en-US" w:eastAsia="zh-CN"/>
        </w:rPr>
        <w:t>差旅费、维修（护）费、租赁费、会议费、劳务费、公务接待费、福利费</w:t>
      </w:r>
      <w:r>
        <w:rPr>
          <w:rFonts w:hint="default" w:ascii="Times New Roman" w:hAnsi="Times New Roman" w:eastAsia="方正仿宋_GBK" w:cs="Times New Roman"/>
          <w:b w:val="0"/>
          <w:color w:val="auto"/>
          <w:kern w:val="0"/>
          <w:sz w:val="32"/>
          <w:szCs w:val="32"/>
          <w:shd w:val="clear" w:fill="FFFFFF"/>
        </w:rPr>
        <w:t>和其他商品和服务支出</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11"/>
          <w:rFonts w:hint="eastAsia" w:ascii="Times New Roman" w:hAnsi="Times New Roman" w:eastAsia="方正楷体_GBK" w:cs="Times New Roman"/>
          <w:b w:val="0"/>
          <w:bCs/>
          <w:color w:val="auto"/>
          <w:sz w:val="32"/>
          <w:szCs w:val="32"/>
          <w:shd w:val="clear" w:color="auto" w:fill="FFFFFF"/>
          <w:lang w:eastAsia="zh-CN"/>
        </w:rPr>
      </w:pPr>
      <w:r>
        <w:rPr>
          <w:rStyle w:val="11"/>
          <w:rFonts w:hint="default" w:ascii="Times New Roman" w:hAnsi="Times New Roman" w:eastAsia="方正楷体_GBK" w:cs="Times New Roman"/>
          <w:b w:val="0"/>
          <w:bCs/>
          <w:color w:val="auto"/>
          <w:sz w:val="32"/>
          <w:szCs w:val="32"/>
          <w:shd w:val="clear" w:color="auto" w:fill="FFFFFF"/>
        </w:rPr>
        <w:t>（五）政府性基金预算收支决算情况说明</w:t>
      </w:r>
      <w:r>
        <w:rPr>
          <w:rStyle w:val="11"/>
          <w:rFonts w:hint="eastAsia" w:ascii="Times New Roman" w:hAnsi="Times New Roman" w:eastAsia="方正楷体_GBK" w:cs="Times New Roman"/>
          <w:b w:val="0"/>
          <w:bCs/>
          <w:color w:val="auto"/>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本单位2023年度无政府性基金预算财政拨款收支。</w:t>
      </w:r>
    </w:p>
    <w:p>
      <w:pPr>
        <w:pStyle w:val="6"/>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11"/>
          <w:rFonts w:hint="eastAsia" w:ascii="Times New Roman" w:hAnsi="Times New Roman" w:eastAsia="方正楷体_GBK" w:cs="Times New Roman"/>
          <w:b w:val="0"/>
          <w:bCs/>
          <w:color w:val="auto"/>
          <w:sz w:val="32"/>
          <w:szCs w:val="32"/>
          <w:shd w:val="clear" w:color="auto" w:fill="FFFFFF"/>
          <w:lang w:eastAsia="zh-CN"/>
        </w:rPr>
      </w:pPr>
      <w:r>
        <w:rPr>
          <w:rStyle w:val="11"/>
          <w:rFonts w:hint="default" w:ascii="Times New Roman" w:hAnsi="Times New Roman" w:eastAsia="方正楷体_GBK" w:cs="Times New Roman"/>
          <w:b w:val="0"/>
          <w:bCs/>
          <w:color w:val="auto"/>
          <w:sz w:val="32"/>
          <w:szCs w:val="32"/>
          <w:shd w:val="clear" w:color="auto" w:fill="FFFFFF"/>
        </w:rPr>
        <w:t>（六）国有资本经营预算财政拨款支出决算情况说明</w:t>
      </w:r>
      <w:r>
        <w:rPr>
          <w:rStyle w:val="11"/>
          <w:rFonts w:hint="eastAsia" w:ascii="Times New Roman" w:hAnsi="Times New Roman" w:eastAsia="方正楷体_GBK" w:cs="Times New Roman"/>
          <w:b w:val="0"/>
          <w:bCs/>
          <w:color w:val="auto"/>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本单位2023年度无国有资本经营预算财政拨款支出。</w:t>
      </w:r>
    </w:p>
    <w:p>
      <w:pPr>
        <w:pStyle w:val="6"/>
        <w:keepNext w:val="0"/>
        <w:keepLines w:val="0"/>
        <w:pageBreakBefore w:val="0"/>
        <w:widowControl w:val="0"/>
        <w:numPr>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1"/>
          <w:rFonts w:hint="default" w:ascii="Times New Roman" w:hAnsi="Times New Roman" w:eastAsia="方正黑体_GBK" w:cs="Times New Roman"/>
          <w:b w:val="0"/>
          <w:bCs/>
          <w:color w:val="auto"/>
          <w:sz w:val="32"/>
          <w:szCs w:val="32"/>
          <w:shd w:val="clear" w:color="auto" w:fill="FFFFFF"/>
        </w:rPr>
      </w:pPr>
      <w:r>
        <w:rPr>
          <w:rStyle w:val="11"/>
          <w:rFonts w:hint="eastAsia" w:ascii="Times New Roman" w:hAnsi="Times New Roman" w:eastAsia="方正黑体_GBK" w:cs="Times New Roman"/>
          <w:b w:val="0"/>
          <w:bCs/>
          <w:color w:val="auto"/>
          <w:sz w:val="32"/>
          <w:szCs w:val="32"/>
          <w:shd w:val="clear" w:color="auto" w:fill="FFFFFF"/>
          <w:lang w:eastAsia="zh-CN"/>
        </w:rPr>
        <w:t>三、</w:t>
      </w:r>
      <w:r>
        <w:rPr>
          <w:rStyle w:val="11"/>
          <w:rFonts w:hint="default" w:ascii="Times New Roman" w:hAnsi="Times New Roman" w:eastAsia="方正黑体_GBK" w:cs="Times New Roman"/>
          <w:b w:val="0"/>
          <w:bCs/>
          <w:color w:val="auto"/>
          <w:sz w:val="32"/>
          <w:szCs w:val="32"/>
          <w:shd w:val="clear" w:color="auto" w:fill="FFFFFF"/>
        </w:rPr>
        <w:t>“三公”经费情况说明</w:t>
      </w:r>
    </w:p>
    <w:p>
      <w:pPr>
        <w:pStyle w:val="6"/>
        <w:keepNext w:val="0"/>
        <w:keepLines w:val="0"/>
        <w:pageBreakBefore w:val="0"/>
        <w:widowControl w:val="0"/>
        <w:numPr>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1"/>
          <w:rFonts w:hint="eastAsia" w:ascii="Times New Roman" w:hAnsi="Times New Roman" w:eastAsia="方正楷体_GBK" w:cs="Times New Roman"/>
          <w:b w:val="0"/>
          <w:bCs/>
          <w:color w:val="auto"/>
          <w:sz w:val="32"/>
          <w:szCs w:val="32"/>
          <w:shd w:val="clear" w:color="auto" w:fill="FFFFFF"/>
          <w:lang w:eastAsia="zh-CN"/>
        </w:rPr>
      </w:pPr>
      <w:r>
        <w:rPr>
          <w:rStyle w:val="11"/>
          <w:rFonts w:hint="default" w:ascii="Times New Roman" w:hAnsi="Times New Roman" w:eastAsia="方正楷体_GBK" w:cs="Times New Roman"/>
          <w:b w:val="0"/>
          <w:bCs/>
          <w:color w:val="auto"/>
          <w:sz w:val="32"/>
          <w:szCs w:val="32"/>
          <w:shd w:val="clear" w:color="auto" w:fill="FFFFFF"/>
        </w:rPr>
        <w:t>（一）“三公”经费支出总体情况说明</w:t>
      </w:r>
      <w:r>
        <w:rPr>
          <w:rStyle w:val="11"/>
          <w:rFonts w:hint="eastAsia" w:ascii="Times New Roman" w:hAnsi="Times New Roman" w:eastAsia="方正楷体_GBK" w:cs="Times New Roman"/>
          <w:b w:val="0"/>
          <w:bCs/>
          <w:color w:val="auto"/>
          <w:sz w:val="32"/>
          <w:szCs w:val="32"/>
          <w:shd w:val="clear" w:color="auto" w:fill="FFFFFF"/>
          <w:lang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2023年度“三公”经费支出共计</w:t>
      </w:r>
      <w:r>
        <w:rPr>
          <w:rFonts w:hint="default" w:ascii="Times New Roman" w:hAnsi="Times New Roman" w:eastAsia="方正仿宋_GBK" w:cs="Times New Roman"/>
          <w:color w:val="auto"/>
          <w:sz w:val="32"/>
          <w:szCs w:val="32"/>
        </w:rPr>
        <w:t>1.74</w:t>
      </w:r>
      <w:r>
        <w:rPr>
          <w:rFonts w:hint="default" w:ascii="Times New Roman" w:hAnsi="Times New Roman" w:eastAsia="方正仿宋_GBK" w:cs="Times New Roman"/>
          <w:color w:val="auto"/>
          <w:sz w:val="32"/>
          <w:szCs w:val="32"/>
          <w:shd w:val="clear" w:color="auto" w:fill="FFFFFF"/>
        </w:rPr>
        <w:t>万元，较年初预算数减少0.71万元，下降28.98%，主要原因是</w:t>
      </w:r>
      <w:r>
        <w:rPr>
          <w:rFonts w:hint="default" w:ascii="Times New Roman" w:hAnsi="Times New Roman" w:eastAsia="方正仿宋_GBK" w:cs="Times New Roman"/>
          <w:color w:val="auto"/>
          <w:sz w:val="32"/>
          <w:szCs w:val="32"/>
          <w:shd w:val="clear" w:color="auto" w:fill="FFFFFF"/>
          <w:lang w:val="en-US" w:eastAsia="zh-CN"/>
        </w:rPr>
        <w:t>厉行节约，减少</w:t>
      </w:r>
      <w:r>
        <w:rPr>
          <w:rFonts w:hint="default" w:ascii="Times New Roman" w:hAnsi="Times New Roman" w:eastAsia="方正仿宋_GBK" w:cs="Times New Roman"/>
          <w:color w:val="auto"/>
          <w:sz w:val="32"/>
          <w:szCs w:val="32"/>
          <w:shd w:val="clear" w:color="auto" w:fill="FFFFFF"/>
        </w:rPr>
        <w:t>“三公”经费支出。较上年支出数增加1.74万元，增长100.00%，主要原因是</w:t>
      </w:r>
      <w:r>
        <w:rPr>
          <w:rFonts w:hint="default" w:ascii="Times New Roman" w:hAnsi="Times New Roman" w:eastAsia="方正仿宋_GBK" w:cs="Times New Roman"/>
          <w:color w:val="auto"/>
          <w:sz w:val="32"/>
          <w:szCs w:val="32"/>
          <w:shd w:val="clear" w:color="auto" w:fill="FFFFFF"/>
          <w:lang w:val="en-US" w:eastAsia="zh-CN"/>
        </w:rPr>
        <w:t>根据上年度三公经费实际支出情况，年初预算本单位三公经费</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560" w:lineRule="exact"/>
        <w:ind w:firstLine="420"/>
        <w:textAlignment w:val="auto"/>
        <w:rPr>
          <w:rStyle w:val="11"/>
          <w:rFonts w:hint="eastAsia" w:ascii="Times New Roman" w:hAnsi="Times New Roman" w:eastAsia="方正楷体_GBK" w:cs="Times New Roman"/>
          <w:b w:val="0"/>
          <w:bCs/>
          <w:color w:val="auto"/>
          <w:sz w:val="32"/>
          <w:szCs w:val="32"/>
          <w:shd w:val="clear" w:color="auto" w:fill="FFFFFF"/>
          <w:lang w:eastAsia="zh-CN"/>
        </w:rPr>
      </w:pPr>
      <w:r>
        <w:rPr>
          <w:rStyle w:val="11"/>
          <w:rFonts w:hint="default" w:ascii="Times New Roman" w:hAnsi="Times New Roman" w:eastAsia="方正楷体_GBK" w:cs="Times New Roman"/>
          <w:b w:val="0"/>
          <w:bCs/>
          <w:color w:val="auto"/>
          <w:sz w:val="32"/>
          <w:szCs w:val="32"/>
          <w:shd w:val="clear" w:color="auto" w:fill="FFFFFF"/>
        </w:rPr>
        <w:t>（二）“三公”经费分项支出情况</w:t>
      </w:r>
      <w:r>
        <w:rPr>
          <w:rStyle w:val="11"/>
          <w:rFonts w:hint="eastAsia" w:ascii="Times New Roman" w:hAnsi="Times New Roman" w:eastAsia="方正楷体_GBK" w:cs="Times New Roman"/>
          <w:b w:val="0"/>
          <w:bCs/>
          <w:color w:val="auto"/>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2023年度本单位因公出国（境）费用</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本单位2023年度无</w:t>
      </w:r>
      <w:r>
        <w:rPr>
          <w:rFonts w:hint="default" w:ascii="Times New Roman" w:hAnsi="Times New Roman" w:eastAsia="方正仿宋_GBK" w:cs="Times New Roman"/>
          <w:color w:val="auto"/>
          <w:sz w:val="32"/>
          <w:szCs w:val="32"/>
          <w:shd w:val="clear" w:color="auto" w:fill="FFFFFF"/>
        </w:rPr>
        <w:t>因公出国（境）</w:t>
      </w:r>
      <w:r>
        <w:rPr>
          <w:rFonts w:hint="default" w:ascii="Times New Roman" w:hAnsi="Times New Roman" w:eastAsia="方正仿宋_GBK" w:cs="Times New Roman"/>
          <w:color w:val="auto"/>
          <w:sz w:val="32"/>
          <w:szCs w:val="32"/>
          <w:shd w:val="clear" w:color="auto" w:fill="FFFFFF"/>
          <w:lang w:val="en-US" w:eastAsia="zh-CN"/>
        </w:rPr>
        <w:t>支出</w:t>
      </w:r>
      <w:r>
        <w:rPr>
          <w:rFonts w:hint="default" w:ascii="Times New Roman" w:hAnsi="Times New Roman" w:eastAsia="方正仿宋_GBK" w:cs="Times New Roman"/>
          <w:color w:val="auto"/>
          <w:sz w:val="32"/>
          <w:szCs w:val="32"/>
          <w:shd w:val="clear" w:color="auto" w:fill="FFFFFF"/>
        </w:rPr>
        <w:t>。较上年支出数无增减，主要原因是</w:t>
      </w:r>
      <w:r>
        <w:rPr>
          <w:rFonts w:hint="default" w:ascii="Times New Roman" w:hAnsi="Times New Roman" w:eastAsia="方正仿宋_GBK" w:cs="Times New Roman"/>
          <w:color w:val="auto"/>
          <w:sz w:val="32"/>
          <w:szCs w:val="32"/>
          <w:shd w:val="clear" w:color="auto" w:fill="FFFFFF"/>
          <w:lang w:val="en-US" w:eastAsia="zh-CN"/>
        </w:rPr>
        <w:t>本单位无</w:t>
      </w:r>
      <w:r>
        <w:rPr>
          <w:rFonts w:hint="default" w:ascii="Times New Roman" w:hAnsi="Times New Roman" w:eastAsia="方正仿宋_GBK" w:cs="Times New Roman"/>
          <w:color w:val="auto"/>
          <w:sz w:val="32"/>
          <w:szCs w:val="32"/>
          <w:shd w:val="clear" w:color="auto" w:fill="FFFFFF"/>
        </w:rPr>
        <w:t>因公出国（境）</w:t>
      </w:r>
      <w:r>
        <w:rPr>
          <w:rFonts w:hint="default" w:ascii="Times New Roman" w:hAnsi="Times New Roman" w:eastAsia="方正仿宋_GBK" w:cs="Times New Roman"/>
          <w:color w:val="auto"/>
          <w:sz w:val="32"/>
          <w:szCs w:val="32"/>
          <w:shd w:val="clear" w:color="auto" w:fill="FFFFFF"/>
          <w:lang w:val="en-US" w:eastAsia="zh-CN"/>
        </w:rPr>
        <w:t>支出</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公务车购置费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万元。费用支出较年初预算数无增减，主要原因是</w:t>
      </w:r>
      <w:r>
        <w:rPr>
          <w:rFonts w:hint="default" w:ascii="Times New Roman" w:hAnsi="Times New Roman" w:eastAsia="方正仿宋_GBK" w:cs="Times New Roman"/>
          <w:b w:val="0"/>
          <w:color w:val="auto"/>
          <w:kern w:val="0"/>
          <w:sz w:val="32"/>
          <w:szCs w:val="32"/>
          <w:shd w:val="clear" w:fill="FFFFFF"/>
        </w:rPr>
        <w:t>本单位202</w:t>
      </w:r>
      <w:r>
        <w:rPr>
          <w:rFonts w:hint="default" w:ascii="Times New Roman" w:hAnsi="Times New Roman" w:eastAsia="方正仿宋_GBK" w:cs="Times New Roman"/>
          <w:b w:val="0"/>
          <w:color w:val="auto"/>
          <w:kern w:val="0"/>
          <w:sz w:val="32"/>
          <w:szCs w:val="32"/>
          <w:shd w:val="clear" w:fill="FFFFFF"/>
          <w:lang w:val="en-US" w:eastAsia="zh-CN"/>
        </w:rPr>
        <w:t>3</w:t>
      </w:r>
      <w:r>
        <w:rPr>
          <w:rFonts w:hint="default" w:ascii="Times New Roman" w:hAnsi="Times New Roman" w:eastAsia="方正仿宋_GBK" w:cs="Times New Roman"/>
          <w:b w:val="0"/>
          <w:color w:val="auto"/>
          <w:kern w:val="0"/>
          <w:sz w:val="32"/>
          <w:szCs w:val="32"/>
          <w:shd w:val="clear" w:fill="FFFFFF"/>
        </w:rPr>
        <w:t>年度未发生公务车购置费用</w:t>
      </w:r>
      <w:r>
        <w:rPr>
          <w:rFonts w:hint="default" w:ascii="Times New Roman" w:hAnsi="Times New Roman" w:eastAsia="方正仿宋_GBK" w:cs="Times New Roman"/>
          <w:color w:val="auto"/>
          <w:sz w:val="32"/>
          <w:szCs w:val="32"/>
          <w:shd w:val="clear" w:color="auto" w:fill="FFFFFF"/>
        </w:rPr>
        <w:t>。较上年支出数无增减，主要原因是</w:t>
      </w:r>
      <w:r>
        <w:rPr>
          <w:rFonts w:hint="default" w:ascii="Times New Roman" w:hAnsi="Times New Roman" w:eastAsia="方正仿宋_GBK" w:cs="Times New Roman"/>
          <w:b w:val="0"/>
          <w:color w:val="auto"/>
          <w:kern w:val="0"/>
          <w:sz w:val="32"/>
          <w:szCs w:val="32"/>
          <w:shd w:val="clear" w:fill="FFFFFF"/>
        </w:rPr>
        <w:t>本单位</w:t>
      </w:r>
      <w:r>
        <w:rPr>
          <w:rFonts w:hint="default" w:ascii="Times New Roman" w:hAnsi="Times New Roman" w:eastAsia="方正仿宋_GBK" w:cs="Times New Roman"/>
          <w:b w:val="0"/>
          <w:color w:val="auto"/>
          <w:kern w:val="0"/>
          <w:sz w:val="32"/>
          <w:szCs w:val="32"/>
          <w:shd w:val="clear" w:fill="FFFFFF"/>
          <w:lang w:val="en-US" w:eastAsia="zh-CN"/>
        </w:rPr>
        <w:t>无</w:t>
      </w:r>
      <w:r>
        <w:rPr>
          <w:rFonts w:hint="default" w:ascii="Times New Roman" w:hAnsi="Times New Roman" w:eastAsia="方正仿宋_GBK" w:cs="Times New Roman"/>
          <w:b w:val="0"/>
          <w:color w:val="auto"/>
          <w:kern w:val="0"/>
          <w:sz w:val="32"/>
          <w:szCs w:val="32"/>
          <w:shd w:val="clear" w:fill="FFFFFF"/>
        </w:rPr>
        <w:t>公务车购置费用</w:t>
      </w:r>
      <w:r>
        <w:rPr>
          <w:rFonts w:hint="default" w:ascii="Times New Roman" w:hAnsi="Times New Roman" w:eastAsia="方正仿宋_GBK" w:cs="Times New Roman"/>
          <w:b w:val="0"/>
          <w:color w:val="auto"/>
          <w:kern w:val="0"/>
          <w:sz w:val="32"/>
          <w:szCs w:val="32"/>
          <w:shd w:val="clear" w:fill="FFFFFF"/>
          <w:lang w:eastAsia="zh-CN"/>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公务车运行维护费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万元。费用支出较年初预算数无增减，主要原因是</w:t>
      </w:r>
      <w:r>
        <w:rPr>
          <w:rFonts w:hint="default" w:ascii="Times New Roman" w:hAnsi="Times New Roman" w:eastAsia="方正仿宋_GBK" w:cs="Times New Roman"/>
          <w:b w:val="0"/>
          <w:color w:val="auto"/>
          <w:kern w:val="0"/>
          <w:sz w:val="32"/>
          <w:szCs w:val="32"/>
          <w:shd w:val="clear" w:fill="FFFFFF"/>
        </w:rPr>
        <w:t>本单位202</w:t>
      </w:r>
      <w:r>
        <w:rPr>
          <w:rFonts w:hint="default" w:ascii="Times New Roman" w:hAnsi="Times New Roman" w:eastAsia="方正仿宋_GBK" w:cs="Times New Roman"/>
          <w:b w:val="0"/>
          <w:color w:val="auto"/>
          <w:kern w:val="0"/>
          <w:sz w:val="32"/>
          <w:szCs w:val="32"/>
          <w:shd w:val="clear" w:fill="FFFFFF"/>
          <w:lang w:val="en-US" w:eastAsia="zh-CN"/>
        </w:rPr>
        <w:t>3</w:t>
      </w:r>
      <w:r>
        <w:rPr>
          <w:rFonts w:hint="default" w:ascii="Times New Roman" w:hAnsi="Times New Roman" w:eastAsia="方正仿宋_GBK" w:cs="Times New Roman"/>
          <w:b w:val="0"/>
          <w:color w:val="auto"/>
          <w:kern w:val="0"/>
          <w:sz w:val="32"/>
          <w:szCs w:val="32"/>
          <w:shd w:val="clear" w:fill="FFFFFF"/>
        </w:rPr>
        <w:t>年度未发生</w:t>
      </w:r>
      <w:r>
        <w:rPr>
          <w:rFonts w:hint="default" w:ascii="Times New Roman" w:hAnsi="Times New Roman" w:eastAsia="方正仿宋_GBK" w:cs="Times New Roman"/>
          <w:color w:val="auto"/>
          <w:sz w:val="32"/>
          <w:szCs w:val="32"/>
          <w:shd w:val="clear" w:color="auto" w:fill="FFFFFF"/>
        </w:rPr>
        <w:t>公务车运行维护费。较上年支出数无增减，主要原因是</w:t>
      </w:r>
      <w:r>
        <w:rPr>
          <w:rFonts w:hint="default" w:ascii="Times New Roman" w:hAnsi="Times New Roman" w:eastAsia="方正仿宋_GBK" w:cs="Times New Roman"/>
          <w:b w:val="0"/>
          <w:color w:val="auto"/>
          <w:kern w:val="0"/>
          <w:sz w:val="32"/>
          <w:szCs w:val="32"/>
          <w:shd w:val="clear" w:fill="FFFFFF"/>
        </w:rPr>
        <w:t>本单位</w:t>
      </w:r>
      <w:r>
        <w:rPr>
          <w:rFonts w:hint="default" w:ascii="Times New Roman" w:hAnsi="Times New Roman" w:eastAsia="方正仿宋_GBK" w:cs="Times New Roman"/>
          <w:b w:val="0"/>
          <w:color w:val="auto"/>
          <w:kern w:val="0"/>
          <w:sz w:val="32"/>
          <w:szCs w:val="32"/>
          <w:shd w:val="clear" w:fill="FFFFFF"/>
          <w:lang w:val="en-US" w:eastAsia="zh-CN"/>
        </w:rPr>
        <w:t>无</w:t>
      </w:r>
      <w:r>
        <w:rPr>
          <w:rFonts w:hint="default" w:ascii="Times New Roman" w:hAnsi="Times New Roman" w:eastAsia="方正仿宋_GBK" w:cs="Times New Roman"/>
          <w:color w:val="auto"/>
          <w:sz w:val="32"/>
          <w:szCs w:val="32"/>
          <w:shd w:val="clear" w:color="auto" w:fill="FFFFFF"/>
        </w:rPr>
        <w:t>公务车运行维护费。</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color w:val="auto"/>
          <w:sz w:val="32"/>
          <w:szCs w:val="32"/>
          <w:shd w:val="clear" w:color="auto" w:fill="FFFFFF"/>
        </w:rPr>
        <w:t>公务接待费</w:t>
      </w:r>
      <w:r>
        <w:rPr>
          <w:rFonts w:hint="default" w:ascii="Times New Roman" w:hAnsi="Times New Roman" w:eastAsia="方正仿宋_GBK" w:cs="Times New Roman"/>
          <w:color w:val="auto"/>
          <w:sz w:val="32"/>
          <w:szCs w:val="32"/>
        </w:rPr>
        <w:t>1.74</w:t>
      </w:r>
      <w:r>
        <w:rPr>
          <w:rFonts w:hint="default" w:ascii="Times New Roman" w:hAnsi="Times New Roman" w:eastAsia="方正仿宋_GBK" w:cs="Times New Roman"/>
          <w:color w:val="auto"/>
          <w:sz w:val="32"/>
          <w:szCs w:val="32"/>
          <w:shd w:val="clear" w:color="auto" w:fill="FFFFFF"/>
        </w:rPr>
        <w:t>万元，主要用于</w:t>
      </w:r>
      <w:r>
        <w:rPr>
          <w:rFonts w:hint="default" w:ascii="Times New Roman" w:hAnsi="Times New Roman" w:eastAsia="方正仿宋_GBK" w:cs="Times New Roman"/>
          <w:b w:val="0"/>
          <w:color w:val="auto"/>
          <w:kern w:val="0"/>
          <w:sz w:val="32"/>
          <w:szCs w:val="32"/>
          <w:shd w:val="clear" w:fill="FFFFFF"/>
        </w:rPr>
        <w:t>区各部门到街道检查与指导工作</w:t>
      </w:r>
      <w:r>
        <w:rPr>
          <w:rFonts w:hint="default" w:ascii="Times New Roman" w:hAnsi="Times New Roman" w:eastAsia="方正仿宋_GBK" w:cs="Times New Roman"/>
          <w:b w:val="0"/>
          <w:color w:val="auto"/>
          <w:kern w:val="0"/>
          <w:sz w:val="32"/>
          <w:szCs w:val="32"/>
          <w:shd w:val="clear" w:fill="FFFFFF"/>
          <w:lang w:val="en-US" w:eastAsia="zh-CN"/>
        </w:rPr>
        <w:t>接待费</w:t>
      </w:r>
      <w:r>
        <w:rPr>
          <w:rFonts w:hint="default" w:ascii="Times New Roman" w:hAnsi="Times New Roman" w:eastAsia="方正仿宋_GBK" w:cs="Times New Roman"/>
          <w:b w:val="0"/>
          <w:color w:val="auto"/>
          <w:kern w:val="0"/>
          <w:sz w:val="32"/>
          <w:szCs w:val="32"/>
          <w:shd w:val="clear" w:fill="FFFFFF"/>
          <w:lang w:eastAsia="zh-CN"/>
        </w:rPr>
        <w:t>、</w:t>
      </w:r>
      <w:r>
        <w:rPr>
          <w:rFonts w:hint="default" w:ascii="Times New Roman" w:hAnsi="Times New Roman" w:eastAsia="方正仿宋_GBK" w:cs="Times New Roman"/>
          <w:b w:val="0"/>
          <w:color w:val="auto"/>
          <w:kern w:val="0"/>
          <w:sz w:val="32"/>
          <w:szCs w:val="32"/>
          <w:shd w:val="clear" w:fill="FFFFFF"/>
        </w:rPr>
        <w:t>招商引资接待费</w:t>
      </w:r>
      <w:r>
        <w:rPr>
          <w:rFonts w:hint="default" w:ascii="Times New Roman" w:hAnsi="Times New Roman" w:eastAsia="方正仿宋_GBK" w:cs="Times New Roman"/>
          <w:color w:val="auto"/>
          <w:sz w:val="32"/>
          <w:szCs w:val="32"/>
          <w:shd w:val="clear" w:color="auto" w:fill="FFFFFF"/>
        </w:rPr>
        <w:t>。费用支出较年初预算数减少0.71万元，下降28.98%，主要原因</w:t>
      </w:r>
      <w:r>
        <w:rPr>
          <w:rFonts w:hint="default" w:ascii="Times New Roman" w:hAnsi="Times New Roman" w:eastAsia="方正仿宋_GBK" w:cs="Times New Roman"/>
          <w:color w:val="auto"/>
          <w:sz w:val="32"/>
          <w:szCs w:val="32"/>
          <w:shd w:val="clear" w:color="auto" w:fill="FFFFFF"/>
          <w:lang w:val="en-US" w:eastAsia="zh-CN"/>
        </w:rPr>
        <w:t>厉行节约，严控三公经费支出</w:t>
      </w:r>
      <w:r>
        <w:rPr>
          <w:rFonts w:hint="default" w:ascii="Times New Roman" w:hAnsi="Times New Roman" w:eastAsia="方正仿宋_GBK" w:cs="Times New Roman"/>
          <w:color w:val="auto"/>
          <w:sz w:val="32"/>
          <w:szCs w:val="32"/>
          <w:shd w:val="clear" w:color="auto" w:fill="FFFFFF"/>
        </w:rPr>
        <w:t>。较上年支出数增加1.74万元，增长100.00%，主要原因是</w:t>
      </w:r>
      <w:r>
        <w:rPr>
          <w:rFonts w:hint="default" w:ascii="Times New Roman" w:hAnsi="Times New Roman" w:eastAsia="方正仿宋_GBK" w:cs="Times New Roman"/>
          <w:color w:val="auto"/>
          <w:sz w:val="32"/>
          <w:szCs w:val="32"/>
          <w:shd w:val="clear" w:color="auto" w:fill="FFFFFF"/>
          <w:lang w:val="en-US" w:eastAsia="zh-CN"/>
        </w:rPr>
        <w:t>本单位根据上年度三公经费实际支出情况，年初预算了公务接待</w:t>
      </w:r>
      <w:r>
        <w:rPr>
          <w:rFonts w:hint="default" w:ascii="Times New Roman" w:hAnsi="Times New Roman" w:eastAsia="方正仿宋_GBK" w:cs="Times New Roman"/>
          <w:b w:val="0"/>
          <w:bCs w:val="0"/>
          <w:color w:val="auto"/>
          <w:sz w:val="32"/>
          <w:szCs w:val="32"/>
          <w:shd w:val="clear" w:color="auto" w:fill="FFFFFF"/>
          <w:lang w:val="en-US" w:eastAsia="zh-CN"/>
        </w:rPr>
        <w:t>费</w:t>
      </w:r>
      <w:r>
        <w:rPr>
          <w:rFonts w:hint="default" w:ascii="Times New Roman" w:hAnsi="Times New Roman" w:eastAsia="方正仿宋_GBK" w:cs="Times New Roman"/>
          <w:b w:val="0"/>
          <w:bCs w:val="0"/>
          <w:color w:val="auto"/>
          <w:sz w:val="32"/>
          <w:szCs w:val="32"/>
          <w:shd w:val="clear" w:color="auto" w:fill="FFFFFF"/>
        </w:rPr>
        <w:t>。</w:t>
      </w:r>
    </w:p>
    <w:p>
      <w:pPr>
        <w:pStyle w:val="6"/>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11"/>
          <w:rFonts w:hint="eastAsia" w:ascii="Times New Roman" w:hAnsi="Times New Roman" w:eastAsia="方正楷体_GBK" w:cs="Times New Roman"/>
          <w:b w:val="0"/>
          <w:bCs w:val="0"/>
          <w:color w:val="auto"/>
          <w:sz w:val="32"/>
          <w:szCs w:val="32"/>
          <w:shd w:val="clear" w:color="auto" w:fill="FFFFFF"/>
          <w:lang w:eastAsia="zh-CN"/>
        </w:rPr>
      </w:pPr>
      <w:r>
        <w:rPr>
          <w:rStyle w:val="11"/>
          <w:rFonts w:hint="default" w:ascii="Times New Roman" w:hAnsi="Times New Roman" w:eastAsia="方正楷体_GBK" w:cs="Times New Roman"/>
          <w:b w:val="0"/>
          <w:bCs w:val="0"/>
          <w:color w:val="auto"/>
          <w:sz w:val="32"/>
          <w:szCs w:val="32"/>
          <w:shd w:val="clear" w:color="auto" w:fill="FFFFFF"/>
        </w:rPr>
        <w:t>（三）“三公”经费实物量情况</w:t>
      </w:r>
      <w:r>
        <w:rPr>
          <w:rStyle w:val="11"/>
          <w:rFonts w:hint="eastAsia" w:ascii="Times New Roman" w:hAnsi="Times New Roman" w:eastAsia="方正楷体_GBK" w:cs="Times New Roman"/>
          <w:b w:val="0"/>
          <w:bCs w:val="0"/>
          <w:color w:val="auto"/>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2023年度本单位因公出国（境）共计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个团组，</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人；公务用车购置</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辆，公务车保有量为</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辆；国内公务接待</w:t>
      </w:r>
      <w:r>
        <w:rPr>
          <w:rFonts w:hint="default" w:ascii="Times New Roman" w:hAnsi="Times New Roman" w:eastAsia="方正仿宋_GBK" w:cs="Times New Roman"/>
          <w:color w:val="auto"/>
          <w:sz w:val="32"/>
          <w:szCs w:val="32"/>
        </w:rPr>
        <w:t>25</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218</w:t>
      </w:r>
      <w:r>
        <w:rPr>
          <w:rFonts w:hint="default" w:ascii="Times New Roman" w:hAnsi="Times New Roman" w:eastAsia="方正仿宋_GBK" w:cs="Times New Roman"/>
          <w:color w:val="auto"/>
          <w:sz w:val="32"/>
          <w:szCs w:val="32"/>
          <w:shd w:val="clear" w:color="auto" w:fill="FFFFFF"/>
        </w:rPr>
        <w:t>人，其中：国内外事接待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人；国（境）外公务接待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人。2023年本单位人均接待费</w:t>
      </w:r>
      <w:r>
        <w:rPr>
          <w:rFonts w:hint="default" w:ascii="Times New Roman" w:hAnsi="Times New Roman" w:eastAsia="方正仿宋_GBK" w:cs="Times New Roman"/>
          <w:color w:val="auto"/>
          <w:sz w:val="32"/>
          <w:szCs w:val="32"/>
        </w:rPr>
        <w:t>79.82</w:t>
      </w:r>
      <w:r>
        <w:rPr>
          <w:rFonts w:hint="default" w:ascii="Times New Roman" w:hAnsi="Times New Roman" w:eastAsia="方正仿宋_GBK" w:cs="Times New Roman"/>
          <w:color w:val="auto"/>
          <w:sz w:val="32"/>
          <w:szCs w:val="32"/>
          <w:shd w:val="clear" w:color="auto" w:fill="FFFFFF"/>
        </w:rPr>
        <w:t>元，车均购置费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万元，车均维护费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11"/>
          <w:rFonts w:hint="default" w:ascii="Times New Roman" w:hAnsi="Times New Roman" w:eastAsia="方正黑体_GBK" w:cs="Times New Roman"/>
          <w:b w:val="0"/>
          <w:bCs/>
          <w:color w:val="auto"/>
          <w:sz w:val="32"/>
          <w:szCs w:val="32"/>
          <w:shd w:val="clear" w:color="auto" w:fill="FFFFFF"/>
        </w:rPr>
      </w:pPr>
      <w:r>
        <w:rPr>
          <w:rStyle w:val="11"/>
          <w:rFonts w:hint="default" w:ascii="Times New Roman" w:hAnsi="Times New Roman" w:eastAsia="方正黑体_GBK" w:cs="Times New Roman"/>
          <w:b w:val="0"/>
          <w:bCs/>
          <w:color w:val="auto"/>
          <w:sz w:val="32"/>
          <w:szCs w:val="32"/>
          <w:shd w:val="clear" w:color="auto" w:fill="FFFFFF"/>
        </w:rPr>
        <w:t>四、其他需要说明的事项</w:t>
      </w:r>
    </w:p>
    <w:p>
      <w:pPr>
        <w:pStyle w:val="6"/>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11"/>
          <w:rFonts w:hint="eastAsia" w:ascii="Times New Roman" w:hAnsi="Times New Roman" w:eastAsia="方正楷体_GBK" w:cs="Times New Roman"/>
          <w:b w:val="0"/>
          <w:bCs/>
          <w:color w:val="auto"/>
          <w:sz w:val="32"/>
          <w:szCs w:val="32"/>
          <w:shd w:val="clear" w:color="auto" w:fill="FFFFFF"/>
          <w:lang w:eastAsia="zh-CN"/>
        </w:rPr>
      </w:pPr>
      <w:r>
        <w:rPr>
          <w:rStyle w:val="11"/>
          <w:rFonts w:hint="default" w:ascii="Times New Roman" w:hAnsi="Times New Roman" w:eastAsia="方正楷体_GBK" w:cs="Times New Roman"/>
          <w:b w:val="0"/>
          <w:bCs/>
          <w:color w:val="auto"/>
          <w:sz w:val="32"/>
          <w:szCs w:val="32"/>
          <w:shd w:val="clear" w:color="auto" w:fill="FFFFFF"/>
        </w:rPr>
        <w:t>（一）财政拨款会议费和培训费情况说明</w:t>
      </w:r>
      <w:r>
        <w:rPr>
          <w:rStyle w:val="11"/>
          <w:rFonts w:hint="eastAsia" w:ascii="Times New Roman" w:hAnsi="Times New Roman" w:eastAsia="方正楷体_GBK" w:cs="Times New Roman"/>
          <w:b w:val="0"/>
          <w:bCs/>
          <w:color w:val="auto"/>
          <w:sz w:val="32"/>
          <w:szCs w:val="32"/>
          <w:shd w:val="clear" w:color="auto" w:fill="FFFFFF"/>
          <w:lang w:eastAsia="zh-CN"/>
        </w:rPr>
        <w:t>。</w:t>
      </w:r>
    </w:p>
    <w:p>
      <w:pPr>
        <w:pStyle w:val="12"/>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3"/>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本年度会议费支出</w:t>
      </w:r>
      <w:r>
        <w:rPr>
          <w:rFonts w:hint="default" w:ascii="Times New Roman" w:hAnsi="Times New Roman" w:eastAsia="方正仿宋_GBK" w:cs="Times New Roman"/>
          <w:b w:val="0"/>
          <w:bCs/>
          <w:color w:val="auto"/>
          <w:sz w:val="32"/>
          <w:szCs w:val="32"/>
        </w:rPr>
        <w:t>0.30</w:t>
      </w:r>
      <w:r>
        <w:rPr>
          <w:rFonts w:hint="default" w:ascii="Times New Roman" w:hAnsi="Times New Roman" w:eastAsia="方正仿宋_GBK" w:cs="Times New Roman"/>
          <w:b w:val="0"/>
          <w:bCs/>
          <w:color w:val="auto"/>
          <w:sz w:val="32"/>
          <w:szCs w:val="32"/>
          <w:shd w:val="clear" w:color="auto" w:fill="FFFFFF"/>
        </w:rPr>
        <w:t>万元，较上年决算数减少1.23万元，下降80.39%，主要原因是</w:t>
      </w:r>
      <w:r>
        <w:rPr>
          <w:rFonts w:hint="default" w:ascii="Times New Roman" w:hAnsi="Times New Roman" w:eastAsia="方正仿宋_GBK" w:cs="Times New Roman"/>
          <w:b w:val="0"/>
          <w:bCs/>
          <w:color w:val="auto"/>
          <w:kern w:val="0"/>
          <w:sz w:val="32"/>
          <w:szCs w:val="32"/>
          <w:shd w:val="clear" w:fill="FFFFFF"/>
        </w:rPr>
        <w:t>厉行节约，压缩支出，减少会议开支</w:t>
      </w:r>
      <w:r>
        <w:rPr>
          <w:rFonts w:hint="default" w:ascii="Times New Roman" w:hAnsi="Times New Roman" w:eastAsia="方正仿宋_GBK" w:cs="Times New Roman"/>
          <w:b w:val="0"/>
          <w:bCs/>
          <w:color w:val="auto"/>
          <w:sz w:val="32"/>
          <w:szCs w:val="32"/>
          <w:shd w:val="clear" w:color="auto" w:fill="FFFFFF"/>
        </w:rPr>
        <w:t>。本年度培训费支出</w:t>
      </w:r>
      <w:r>
        <w:rPr>
          <w:rFonts w:hint="default" w:ascii="Times New Roman" w:hAnsi="Times New Roman" w:eastAsia="方正仿宋_GBK" w:cs="Times New Roman"/>
          <w:b w:val="0"/>
          <w:bCs/>
          <w:color w:val="auto"/>
          <w:sz w:val="32"/>
          <w:szCs w:val="32"/>
        </w:rPr>
        <w:t>4.53</w:t>
      </w:r>
      <w:r>
        <w:rPr>
          <w:rFonts w:hint="default" w:ascii="Times New Roman" w:hAnsi="Times New Roman" w:eastAsia="方正仿宋_GBK" w:cs="Times New Roman"/>
          <w:b w:val="0"/>
          <w:bCs/>
          <w:color w:val="auto"/>
          <w:sz w:val="32"/>
          <w:szCs w:val="32"/>
          <w:shd w:val="clear" w:color="auto" w:fill="FFFFFF"/>
        </w:rPr>
        <w:t>万元，较上年决算数增加4.44万元，增长4933.33%，主要原因是</w:t>
      </w:r>
      <w:r>
        <w:rPr>
          <w:rFonts w:hint="default" w:ascii="Times New Roman" w:hAnsi="Times New Roman" w:eastAsia="方正仿宋_GBK" w:cs="Times New Roman"/>
          <w:b w:val="0"/>
          <w:bCs/>
          <w:color w:val="auto"/>
          <w:sz w:val="32"/>
          <w:szCs w:val="32"/>
          <w:shd w:val="clear" w:color="auto" w:fill="FFFFFF"/>
          <w:lang w:val="en-US" w:eastAsia="zh-CN"/>
        </w:rPr>
        <w:t>本单位2023年度</w:t>
      </w:r>
      <w:r>
        <w:rPr>
          <w:rFonts w:hint="default" w:ascii="Times New Roman" w:hAnsi="Times New Roman" w:eastAsia="方正仿宋_GBK" w:cs="Times New Roman"/>
          <w:b w:val="0"/>
          <w:bCs/>
          <w:color w:val="auto"/>
          <w:kern w:val="0"/>
          <w:sz w:val="32"/>
          <w:szCs w:val="32"/>
          <w:shd w:val="clear" w:fill="FFFFFF"/>
        </w:rPr>
        <w:t>新增职工教育经费</w:t>
      </w:r>
      <w:r>
        <w:rPr>
          <w:rFonts w:hint="default" w:ascii="Times New Roman" w:hAnsi="Times New Roman" w:eastAsia="方正仿宋_GBK" w:cs="Times New Roman"/>
          <w:b w:val="0"/>
          <w:bCs/>
          <w:color w:val="auto"/>
          <w:kern w:val="0"/>
          <w:sz w:val="32"/>
          <w:szCs w:val="32"/>
          <w:shd w:val="clear" w:fill="FFFFFF"/>
          <w:lang w:val="en-US" w:eastAsia="zh-CN"/>
        </w:rPr>
        <w:t>支出</w:t>
      </w:r>
      <w:r>
        <w:rPr>
          <w:rFonts w:hint="default" w:ascii="Times New Roman" w:hAnsi="Times New Roman" w:eastAsia="方正仿宋_GBK" w:cs="Times New Roman"/>
          <w:b w:val="0"/>
          <w:bCs/>
          <w:color w:val="auto"/>
          <w:sz w:val="32"/>
          <w:szCs w:val="32"/>
          <w:shd w:val="clear" w:color="auto" w:fill="FFFFFF"/>
        </w:rPr>
        <w:t>。</w:t>
      </w:r>
    </w:p>
    <w:p>
      <w:pPr>
        <w:pStyle w:val="6"/>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11"/>
          <w:rFonts w:hint="eastAsia" w:ascii="Times New Roman" w:hAnsi="Times New Roman" w:eastAsia="方正楷体_GBK" w:cs="Times New Roman"/>
          <w:b w:val="0"/>
          <w:bCs/>
          <w:color w:val="auto"/>
          <w:sz w:val="32"/>
          <w:szCs w:val="32"/>
          <w:shd w:val="clear" w:color="auto" w:fill="FFFFFF"/>
          <w:lang w:eastAsia="zh-CN"/>
        </w:rPr>
      </w:pPr>
      <w:r>
        <w:rPr>
          <w:rStyle w:val="11"/>
          <w:rFonts w:hint="default" w:ascii="Times New Roman" w:hAnsi="Times New Roman" w:eastAsia="方正楷体_GBK" w:cs="Times New Roman"/>
          <w:b w:val="0"/>
          <w:bCs/>
          <w:color w:val="auto"/>
          <w:sz w:val="32"/>
          <w:szCs w:val="32"/>
          <w:shd w:val="clear" w:color="auto" w:fill="FFFFFF"/>
        </w:rPr>
        <w:t>（二）机关运行经费情况说明</w:t>
      </w:r>
      <w:r>
        <w:rPr>
          <w:rStyle w:val="11"/>
          <w:rFonts w:hint="eastAsia" w:ascii="Times New Roman" w:hAnsi="Times New Roman" w:eastAsia="方正楷体_GBK" w:cs="Times New Roman"/>
          <w:b w:val="0"/>
          <w:bCs/>
          <w:color w:val="auto"/>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按照部门决算列报口径，我单位不在机关运行经费统计范围之内。</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Style w:val="11"/>
          <w:rFonts w:hint="eastAsia" w:ascii="Times New Roman" w:hAnsi="Times New Roman" w:eastAsia="方正楷体_GBK" w:cs="Times New Roman"/>
          <w:b w:val="0"/>
          <w:bCs/>
          <w:color w:val="auto"/>
          <w:sz w:val="32"/>
          <w:szCs w:val="32"/>
          <w:shd w:val="clear" w:color="auto" w:fill="FFFFFF"/>
          <w:lang w:eastAsia="zh-CN"/>
        </w:rPr>
      </w:pPr>
      <w:r>
        <w:rPr>
          <w:rStyle w:val="11"/>
          <w:rFonts w:hint="default" w:ascii="Times New Roman" w:hAnsi="Times New Roman" w:eastAsia="方正楷体_GBK" w:cs="Times New Roman"/>
          <w:b w:val="0"/>
          <w:bCs/>
          <w:color w:val="auto"/>
          <w:sz w:val="32"/>
          <w:szCs w:val="32"/>
          <w:shd w:val="clear" w:color="auto" w:fill="FFFFFF"/>
        </w:rPr>
        <w:t>（三）国有资产占用情况说明</w:t>
      </w:r>
      <w:r>
        <w:rPr>
          <w:rStyle w:val="11"/>
          <w:rFonts w:hint="eastAsia" w:ascii="Times New Roman" w:hAnsi="Times New Roman" w:eastAsia="方正楷体_GBK" w:cs="Times New Roman"/>
          <w:b w:val="0"/>
          <w:bCs/>
          <w:color w:val="auto"/>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截至2023年12月31日，本单位共有车辆</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辆，其中，副部（省）级及以上领导用车</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辆、主要负责人用车</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辆、机要通信用车</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辆、应急保障用车</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辆、执法执勤用车</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辆，特种专业技术用车</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辆，离退休干部用车</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辆。单价100万元（含）以上专用设备</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台（套）。</w:t>
      </w:r>
    </w:p>
    <w:p>
      <w:pPr>
        <w:pStyle w:val="6"/>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11"/>
          <w:rFonts w:hint="eastAsia" w:ascii="Times New Roman" w:hAnsi="Times New Roman" w:eastAsia="方正楷体_GBK" w:cs="Times New Roman"/>
          <w:b w:val="0"/>
          <w:bCs/>
          <w:color w:val="auto"/>
          <w:sz w:val="32"/>
          <w:szCs w:val="32"/>
          <w:shd w:val="clear" w:color="auto" w:fill="FFFFFF"/>
          <w:lang w:eastAsia="zh-CN"/>
        </w:rPr>
      </w:pPr>
      <w:r>
        <w:rPr>
          <w:rStyle w:val="11"/>
          <w:rFonts w:hint="default" w:ascii="Times New Roman" w:hAnsi="Times New Roman" w:eastAsia="方正楷体_GBK" w:cs="Times New Roman"/>
          <w:b w:val="0"/>
          <w:bCs/>
          <w:color w:val="auto"/>
          <w:sz w:val="32"/>
          <w:szCs w:val="32"/>
          <w:shd w:val="clear" w:color="auto" w:fill="FFFFFF"/>
        </w:rPr>
        <w:t>（四）政府采购支出情况说明</w:t>
      </w:r>
      <w:r>
        <w:rPr>
          <w:rStyle w:val="11"/>
          <w:rFonts w:hint="eastAsia" w:ascii="Times New Roman" w:hAnsi="Times New Roman" w:eastAsia="方正楷体_GBK" w:cs="Times New Roman"/>
          <w:b w:val="0"/>
          <w:bCs/>
          <w:color w:val="auto"/>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2023年度我单位未发生政府采购事项，无相关经费支出。</w:t>
      </w:r>
    </w:p>
    <w:p>
      <w:pPr>
        <w:pStyle w:val="6"/>
        <w:keepNext w:val="0"/>
        <w:keepLines w:val="0"/>
        <w:pageBreakBefore w:val="0"/>
        <w:widowControl w:val="0"/>
        <w:numPr>
          <w:ilvl w:val="0"/>
          <w:numId w:val="0"/>
        </w:numPr>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11"/>
          <w:rFonts w:hint="default" w:ascii="Times New Roman" w:hAnsi="Times New Roman" w:eastAsia="方正黑体_GBK" w:cs="Times New Roman"/>
          <w:b w:val="0"/>
          <w:bCs/>
          <w:color w:val="auto"/>
          <w:sz w:val="32"/>
          <w:szCs w:val="32"/>
          <w:shd w:val="clear" w:color="auto" w:fill="FFFFFF"/>
        </w:rPr>
      </w:pPr>
      <w:r>
        <w:rPr>
          <w:rStyle w:val="11"/>
          <w:rFonts w:hint="default" w:ascii="Times New Roman" w:hAnsi="Times New Roman" w:eastAsia="方正黑体_GBK" w:cs="Times New Roman"/>
          <w:b w:val="0"/>
          <w:bCs/>
          <w:color w:val="auto"/>
          <w:sz w:val="32"/>
          <w:szCs w:val="32"/>
          <w:shd w:val="clear" w:color="auto" w:fill="FFFFFF"/>
          <w:lang w:val="en-US" w:eastAsia="zh-CN"/>
        </w:rPr>
        <w:t>五、</w:t>
      </w:r>
      <w:r>
        <w:rPr>
          <w:rStyle w:val="11"/>
          <w:rFonts w:hint="default" w:ascii="Times New Roman" w:hAnsi="Times New Roman" w:eastAsia="方正黑体_GBK" w:cs="Times New Roman"/>
          <w:b w:val="0"/>
          <w:bCs/>
          <w:color w:val="auto"/>
          <w:sz w:val="32"/>
          <w:szCs w:val="32"/>
          <w:shd w:val="clear" w:color="auto" w:fill="FFFFFF"/>
        </w:rPr>
        <w:t>算绩效管理情况说明</w:t>
      </w:r>
    </w:p>
    <w:p>
      <w:pPr>
        <w:pStyle w:val="6"/>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11"/>
          <w:rFonts w:hint="default" w:ascii="Times New Roman" w:hAnsi="Times New Roman" w:eastAsia="方正楷体_GBK" w:cs="Times New Roman"/>
          <w:b w:val="0"/>
          <w:bCs/>
          <w:color w:val="auto"/>
          <w:sz w:val="32"/>
          <w:szCs w:val="32"/>
          <w:shd w:val="clear" w:color="auto" w:fill="FFFFFF"/>
          <w:lang w:val="en-US" w:eastAsia="zh-CN"/>
        </w:rPr>
      </w:pPr>
      <w:r>
        <w:rPr>
          <w:rStyle w:val="11"/>
          <w:rFonts w:hint="default" w:ascii="Times New Roman" w:hAnsi="Times New Roman" w:eastAsia="方正楷体_GBK" w:cs="Times New Roman"/>
          <w:b w:val="0"/>
          <w:bCs/>
          <w:color w:val="auto"/>
          <w:sz w:val="32"/>
          <w:szCs w:val="32"/>
          <w:shd w:val="clear" w:color="auto" w:fill="FFFFFF"/>
          <w:lang w:val="en-US" w:eastAsia="zh-CN"/>
        </w:rPr>
        <w:t>（一）单位自评情况</w:t>
      </w:r>
      <w:r>
        <w:rPr>
          <w:rStyle w:val="11"/>
          <w:rFonts w:hint="eastAsia" w:ascii="Times New Roman" w:hAnsi="Times New Roman" w:eastAsia="方正楷体_GBK" w:cs="Times New Roman"/>
          <w:b w:val="0"/>
          <w:bCs/>
          <w:color w:val="auto"/>
          <w:sz w:val="32"/>
          <w:szCs w:val="32"/>
          <w:shd w:val="clear" w:color="auto" w:fill="FFFFFF"/>
          <w:lang w:val="en-US" w:eastAsia="zh-CN"/>
        </w:rPr>
        <w:t>。</w:t>
      </w:r>
    </w:p>
    <w:p>
      <w:pPr>
        <w:pStyle w:val="13"/>
        <w:keepNext w:val="0"/>
        <w:keepLines w:val="0"/>
        <w:pageBreakBefore w:val="0"/>
        <w:widowControl w:val="0"/>
        <w:kinsoku/>
        <w:wordWrap/>
        <w:overflowPunct/>
        <w:topLinePunct w:val="0"/>
        <w:autoSpaceDE w:val="0"/>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b w:val="0"/>
          <w:bCs/>
          <w:color w:val="auto"/>
          <w:sz w:val="32"/>
          <w:szCs w:val="32"/>
          <w:highlight w:val="none"/>
          <w:shd w:val="clear" w:color="auto" w:fill="FFFFFF"/>
          <w:lang w:val="en-US" w:eastAsia="zh-CN"/>
        </w:rPr>
      </w:pPr>
      <w:r>
        <w:rPr>
          <w:rFonts w:hint="default" w:ascii="Times New Roman" w:hAnsi="Times New Roman" w:eastAsia="方正仿宋_GBK" w:cs="Times New Roman"/>
          <w:b w:val="0"/>
          <w:bCs/>
          <w:color w:val="auto"/>
          <w:sz w:val="32"/>
          <w:szCs w:val="32"/>
          <w:highlight w:val="none"/>
          <w:shd w:val="clear" w:color="auto" w:fill="FFFFFF"/>
          <w:lang w:val="en-US" w:eastAsia="zh-CN"/>
        </w:rPr>
        <w:t>本单位2023年度无项目支出，未开展绩效自评。</w:t>
      </w:r>
    </w:p>
    <w:p>
      <w:pPr>
        <w:pStyle w:val="13"/>
        <w:keepNext w:val="0"/>
        <w:keepLines w:val="0"/>
        <w:pageBreakBefore w:val="0"/>
        <w:widowControl w:val="0"/>
        <w:kinsoku/>
        <w:wordWrap/>
        <w:overflowPunct/>
        <w:topLinePunct w:val="0"/>
        <w:autoSpaceDE w:val="0"/>
        <w:autoSpaceDN/>
        <w:bidi w:val="0"/>
        <w:adjustRightInd/>
        <w:snapToGrid/>
        <w:spacing w:before="0" w:beforeAutospacing="0" w:after="0" w:afterAutospacing="0" w:line="560" w:lineRule="exact"/>
        <w:ind w:firstLine="640" w:firstLineChars="200"/>
        <w:textAlignment w:val="auto"/>
        <w:rPr>
          <w:rStyle w:val="11"/>
          <w:rFonts w:hint="default" w:ascii="Times New Roman" w:hAnsi="Times New Roman" w:eastAsia="方正楷体_GBK" w:cs="Times New Roman"/>
          <w:b w:val="0"/>
          <w:bCs/>
          <w:color w:val="auto"/>
          <w:sz w:val="32"/>
          <w:szCs w:val="32"/>
          <w:shd w:val="clear" w:color="auto" w:fill="FFFFFF"/>
          <w:lang w:val="en-US" w:eastAsia="zh-CN"/>
        </w:rPr>
      </w:pPr>
      <w:r>
        <w:rPr>
          <w:rStyle w:val="11"/>
          <w:rFonts w:hint="default" w:ascii="Times New Roman" w:hAnsi="Times New Roman" w:eastAsia="方正楷体_GBK" w:cs="Times New Roman"/>
          <w:b w:val="0"/>
          <w:bCs/>
          <w:color w:val="auto"/>
          <w:sz w:val="32"/>
          <w:szCs w:val="32"/>
          <w:shd w:val="clear" w:color="auto" w:fill="FFFFFF"/>
          <w:lang w:val="en-US" w:eastAsia="zh-CN"/>
        </w:rPr>
        <w:t>（二）单位绩效评价情况</w:t>
      </w:r>
      <w:r>
        <w:rPr>
          <w:rStyle w:val="11"/>
          <w:rFonts w:hint="eastAsia" w:ascii="Times New Roman" w:hAnsi="Times New Roman" w:eastAsia="方正楷体_GBK" w:cs="Times New Roman"/>
          <w:b w:val="0"/>
          <w:bCs/>
          <w:color w:val="auto"/>
          <w:sz w:val="32"/>
          <w:szCs w:val="32"/>
          <w:shd w:val="clear" w:color="auto" w:fill="FFFFFF"/>
          <w:lang w:val="en-US" w:eastAsia="zh-CN"/>
        </w:rPr>
        <w:t>。</w:t>
      </w:r>
    </w:p>
    <w:p>
      <w:pPr>
        <w:pStyle w:val="12"/>
        <w:keepNext w:val="0"/>
        <w:keepLines w:val="0"/>
        <w:pageBreakBefore w:val="0"/>
        <w:widowControl w:val="0"/>
        <w:kinsoku/>
        <w:wordWrap/>
        <w:overflowPunct/>
        <w:topLinePunct w:val="0"/>
        <w:autoSpaceDE w:val="0"/>
        <w:autoSpaceDN/>
        <w:bidi w:val="0"/>
        <w:adjustRightInd/>
        <w:snapToGrid/>
        <w:spacing w:afterAutospacing="0" w:line="560" w:lineRule="exact"/>
        <w:ind w:firstLine="643"/>
        <w:textAlignment w:val="auto"/>
        <w:rPr>
          <w:rFonts w:hint="default" w:ascii="Times New Roman" w:hAnsi="Times New Roman" w:eastAsia="方正仿宋_GBK" w:cs="Times New Roman"/>
          <w:b w:val="0"/>
          <w:bCs/>
          <w:color w:val="auto"/>
          <w:sz w:val="32"/>
          <w:szCs w:val="32"/>
          <w:highlight w:val="none"/>
          <w:shd w:val="clear" w:color="auto" w:fill="FFFFFF"/>
          <w:lang w:val="en-US" w:eastAsia="zh-CN" w:bidi="ar-SA"/>
        </w:rPr>
      </w:pPr>
      <w:r>
        <w:rPr>
          <w:rFonts w:hint="default" w:ascii="Times New Roman" w:hAnsi="Times New Roman" w:eastAsia="方正仿宋_GBK" w:cs="Times New Roman"/>
          <w:b w:val="0"/>
          <w:bCs/>
          <w:color w:val="auto"/>
          <w:sz w:val="32"/>
          <w:szCs w:val="32"/>
          <w:highlight w:val="none"/>
          <w:shd w:val="clear" w:color="auto" w:fill="FFFFFF"/>
          <w:lang w:val="en-US" w:eastAsia="zh-CN" w:bidi="ar-SA"/>
        </w:rPr>
        <w:t>我单位未组织开展绩效评价。</w:t>
      </w:r>
    </w:p>
    <w:p>
      <w:pPr>
        <w:pStyle w:val="12"/>
        <w:keepNext w:val="0"/>
        <w:keepLines w:val="0"/>
        <w:pageBreakBefore w:val="0"/>
        <w:widowControl w:val="0"/>
        <w:kinsoku/>
        <w:wordWrap/>
        <w:overflowPunct/>
        <w:topLinePunct w:val="0"/>
        <w:autoSpaceDE w:val="0"/>
        <w:autoSpaceDN/>
        <w:bidi w:val="0"/>
        <w:adjustRightInd/>
        <w:snapToGrid/>
        <w:spacing w:afterAutospacing="0" w:line="560" w:lineRule="exact"/>
        <w:ind w:firstLine="643"/>
        <w:textAlignment w:val="auto"/>
        <w:rPr>
          <w:rStyle w:val="11"/>
          <w:rFonts w:hint="eastAsia" w:ascii="Times New Roman" w:hAnsi="Times New Roman" w:eastAsia="方正楷体_GBK" w:cs="Times New Roman"/>
          <w:b w:val="0"/>
          <w:bCs/>
          <w:color w:val="auto"/>
          <w:sz w:val="32"/>
          <w:szCs w:val="32"/>
          <w:shd w:val="clear" w:color="auto" w:fill="FFFFFF"/>
          <w:lang w:val="en-US" w:eastAsia="zh-CN"/>
        </w:rPr>
      </w:pPr>
      <w:r>
        <w:rPr>
          <w:rStyle w:val="11"/>
          <w:rFonts w:hint="default" w:ascii="Times New Roman" w:hAnsi="Times New Roman" w:eastAsia="方正楷体_GBK" w:cs="Times New Roman"/>
          <w:b w:val="0"/>
          <w:bCs/>
          <w:color w:val="auto"/>
          <w:sz w:val="32"/>
          <w:szCs w:val="32"/>
          <w:shd w:val="clear" w:color="auto" w:fill="FFFFFF"/>
          <w:lang w:val="en-US" w:eastAsia="zh-CN"/>
        </w:rPr>
        <w:t>（三）财政绩效评价情况</w:t>
      </w:r>
      <w:r>
        <w:rPr>
          <w:rStyle w:val="11"/>
          <w:rFonts w:hint="eastAsia" w:ascii="Times New Roman" w:hAnsi="Times New Roman" w:eastAsia="方正楷体_GBK" w:cs="Times New Roman"/>
          <w:b w:val="0"/>
          <w:bCs/>
          <w:color w:val="auto"/>
          <w:sz w:val="32"/>
          <w:szCs w:val="32"/>
          <w:shd w:val="clear" w:color="auto" w:fill="FFFFFF"/>
          <w:lang w:val="en-US" w:eastAsia="zh-CN"/>
        </w:rPr>
        <w:t>。</w:t>
      </w:r>
    </w:p>
    <w:p>
      <w:pPr>
        <w:pStyle w:val="12"/>
        <w:keepNext w:val="0"/>
        <w:keepLines w:val="0"/>
        <w:pageBreakBefore w:val="0"/>
        <w:widowControl w:val="0"/>
        <w:kinsoku/>
        <w:wordWrap/>
        <w:overflowPunct/>
        <w:topLinePunct w:val="0"/>
        <w:autoSpaceDE w:val="0"/>
        <w:autoSpaceDN/>
        <w:bidi w:val="0"/>
        <w:adjustRightInd/>
        <w:snapToGrid/>
        <w:spacing w:afterAutospacing="0" w:line="560" w:lineRule="exact"/>
        <w:ind w:firstLine="643"/>
        <w:textAlignment w:val="auto"/>
        <w:rPr>
          <w:rFonts w:hint="default" w:ascii="Times New Roman" w:hAnsi="Times New Roman" w:eastAsia="方正仿宋_GBK" w:cs="Times New Roman"/>
          <w:color w:val="auto"/>
          <w:sz w:val="32"/>
          <w:szCs w:val="32"/>
          <w:highlight w:val="none"/>
          <w:shd w:val="clear" w:color="auto" w:fill="FFFFFF"/>
          <w:lang w:val="en-US" w:eastAsia="zh-CN" w:bidi="ar-SA"/>
        </w:rPr>
      </w:pPr>
      <w:r>
        <w:rPr>
          <w:rFonts w:hint="default" w:ascii="Times New Roman" w:hAnsi="Times New Roman" w:eastAsia="方正仿宋_GBK" w:cs="Times New Roman"/>
          <w:color w:val="auto"/>
          <w:sz w:val="32"/>
          <w:szCs w:val="32"/>
          <w:highlight w:val="none"/>
          <w:shd w:val="clear" w:color="auto" w:fill="FFFFFF"/>
          <w:lang w:val="en-US" w:eastAsia="zh-CN" w:bidi="ar-SA"/>
        </w:rPr>
        <w:t>市财政局未委托第三方对我单位开展绩效评价。</w:t>
      </w:r>
    </w:p>
    <w:p>
      <w:pPr>
        <w:pStyle w:val="6"/>
        <w:keepNext w:val="0"/>
        <w:keepLines w:val="0"/>
        <w:pageBreakBefore w:val="0"/>
        <w:widowControl w:val="0"/>
        <w:numPr>
          <w:ilvl w:val="0"/>
          <w:numId w:val="0"/>
        </w:numPr>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11"/>
          <w:rFonts w:hint="default" w:ascii="Times New Roman" w:hAnsi="Times New Roman" w:eastAsia="方正黑体_GBK" w:cs="Times New Roman"/>
          <w:b w:val="0"/>
          <w:bCs/>
          <w:color w:val="auto"/>
          <w:sz w:val="32"/>
          <w:szCs w:val="32"/>
          <w:shd w:val="clear" w:color="auto" w:fill="FFFFFF"/>
          <w:lang w:val="en-US" w:eastAsia="zh-CN"/>
        </w:rPr>
      </w:pPr>
      <w:r>
        <w:rPr>
          <w:rStyle w:val="11"/>
          <w:rFonts w:hint="default" w:ascii="Times New Roman" w:hAnsi="Times New Roman" w:eastAsia="方正黑体_GBK" w:cs="Times New Roman"/>
          <w:b w:val="0"/>
          <w:bCs/>
          <w:color w:val="auto"/>
          <w:sz w:val="32"/>
          <w:szCs w:val="32"/>
          <w:shd w:val="clear" w:color="auto" w:fill="FFFFFF"/>
          <w:lang w:val="en-US" w:eastAsia="zh-CN"/>
        </w:rPr>
        <w:t>六、专业名词解释</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1"/>
          <w:rFonts w:hint="default" w:ascii="Times New Roman" w:hAnsi="Times New Roman" w:eastAsia="方正楷体_GBK" w:cs="Times New Roman"/>
          <w:b w:val="0"/>
          <w:bCs/>
          <w:color w:val="auto"/>
          <w:sz w:val="32"/>
          <w:szCs w:val="32"/>
          <w:shd w:val="clear" w:color="auto" w:fill="FFFFFF"/>
          <w:lang w:val="en-US" w:eastAsia="zh-CN"/>
        </w:rPr>
        <w:t>（一）财政拨款收入：</w:t>
      </w:r>
      <w:r>
        <w:rPr>
          <w:rFonts w:hint="default" w:ascii="Times New Roman" w:hAnsi="Times New Roman" w:eastAsia="方正仿宋_GBK" w:cs="Times New Roman"/>
          <w:b w:val="0"/>
          <w:bCs/>
          <w:color w:val="auto"/>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1"/>
          <w:rFonts w:hint="default" w:ascii="Times New Roman" w:hAnsi="Times New Roman" w:eastAsia="方正楷体_GBK" w:cs="Times New Roman"/>
          <w:b w:val="0"/>
          <w:bCs/>
          <w:color w:val="auto"/>
          <w:sz w:val="32"/>
          <w:szCs w:val="32"/>
          <w:shd w:val="clear" w:color="auto" w:fill="FFFFFF"/>
          <w:lang w:val="en-US" w:eastAsia="zh-CN"/>
        </w:rPr>
        <w:t>（二）事业收入：</w:t>
      </w:r>
      <w:r>
        <w:rPr>
          <w:rFonts w:hint="default" w:ascii="Times New Roman" w:hAnsi="Times New Roman" w:eastAsia="方正仿宋_GBK" w:cs="Times New Roman"/>
          <w:b w:val="0"/>
          <w:bCs/>
          <w:color w:val="auto"/>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1"/>
          <w:rFonts w:hint="default" w:ascii="Times New Roman" w:hAnsi="Times New Roman" w:eastAsia="方正楷体_GBK" w:cs="Times New Roman"/>
          <w:b w:val="0"/>
          <w:bCs/>
          <w:color w:val="auto"/>
          <w:sz w:val="32"/>
          <w:szCs w:val="32"/>
          <w:shd w:val="clear" w:color="auto" w:fill="FFFFFF"/>
          <w:lang w:val="en-US" w:eastAsia="zh-CN"/>
        </w:rPr>
        <w:t>（三）经营收入：</w:t>
      </w:r>
      <w:r>
        <w:rPr>
          <w:rFonts w:hint="default" w:ascii="Times New Roman" w:hAnsi="Times New Roman" w:eastAsia="方正仿宋_GBK" w:cs="Times New Roman"/>
          <w:b w:val="0"/>
          <w:bCs/>
          <w:color w:val="auto"/>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1"/>
          <w:rFonts w:hint="default" w:ascii="Times New Roman" w:hAnsi="Times New Roman" w:eastAsia="方正楷体_GBK" w:cs="Times New Roman"/>
          <w:b w:val="0"/>
          <w:bCs/>
          <w:color w:val="auto"/>
          <w:sz w:val="32"/>
          <w:szCs w:val="32"/>
          <w:shd w:val="clear" w:color="auto" w:fill="FFFFFF"/>
          <w:lang w:val="en-US" w:eastAsia="zh-CN"/>
        </w:rPr>
        <w:t>（四）其他收入：</w:t>
      </w:r>
      <w:r>
        <w:rPr>
          <w:rFonts w:hint="default" w:ascii="Times New Roman" w:hAnsi="Times New Roman" w:eastAsia="方正仿宋_GBK" w:cs="Times New Roman"/>
          <w:b w:val="0"/>
          <w:bCs/>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1"/>
          <w:rFonts w:hint="default" w:ascii="Times New Roman" w:hAnsi="Times New Roman" w:eastAsia="方正楷体_GBK" w:cs="Times New Roman"/>
          <w:b w:val="0"/>
          <w:bCs/>
          <w:color w:val="auto"/>
          <w:sz w:val="32"/>
          <w:szCs w:val="32"/>
          <w:shd w:val="clear" w:color="auto" w:fill="FFFFFF"/>
          <w:lang w:val="en-US" w:eastAsia="zh-CN"/>
        </w:rPr>
        <w:t>（五）使用非财政拨款结余：</w:t>
      </w:r>
      <w:r>
        <w:rPr>
          <w:rFonts w:hint="default" w:ascii="Times New Roman" w:hAnsi="Times New Roman" w:eastAsia="方正仿宋_GBK" w:cs="Times New Roman"/>
          <w:b w:val="0"/>
          <w:bCs/>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1"/>
          <w:rFonts w:hint="default" w:ascii="Times New Roman" w:hAnsi="Times New Roman" w:eastAsia="方正楷体_GBK" w:cs="Times New Roman"/>
          <w:b w:val="0"/>
          <w:bCs/>
          <w:color w:val="auto"/>
          <w:sz w:val="32"/>
          <w:szCs w:val="32"/>
          <w:shd w:val="clear" w:color="auto" w:fill="FFFFFF"/>
          <w:lang w:val="en-US" w:eastAsia="zh-CN"/>
        </w:rPr>
        <w:t>（六）年初结转和结余：</w:t>
      </w:r>
      <w:r>
        <w:rPr>
          <w:rFonts w:hint="default" w:ascii="Times New Roman" w:hAnsi="Times New Roman" w:eastAsia="方正仿宋_GBK" w:cs="Times New Roman"/>
          <w:b w:val="0"/>
          <w:bCs/>
          <w:color w:val="auto"/>
          <w:sz w:val="32"/>
          <w:szCs w:val="32"/>
          <w:shd w:val="clear" w:color="auto" w:fill="FFFFFF"/>
        </w:rPr>
        <w:t>指单位上年结转本年使用的基本支出结转、项目支出结转和结余、经营结余。</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1"/>
          <w:rFonts w:hint="default" w:ascii="Times New Roman" w:hAnsi="Times New Roman" w:eastAsia="方正楷体_GBK" w:cs="Times New Roman"/>
          <w:b w:val="0"/>
          <w:bCs/>
          <w:color w:val="auto"/>
          <w:sz w:val="32"/>
          <w:szCs w:val="32"/>
          <w:shd w:val="clear" w:color="auto" w:fill="FFFFFF"/>
          <w:lang w:val="en-US" w:eastAsia="zh-CN"/>
        </w:rPr>
        <w:t>（七）结余分配：</w:t>
      </w:r>
      <w:r>
        <w:rPr>
          <w:rFonts w:hint="default" w:ascii="Times New Roman" w:hAnsi="Times New Roman" w:eastAsia="方正仿宋_GBK" w:cs="Times New Roman"/>
          <w:b w:val="0"/>
          <w:bCs/>
          <w:color w:val="auto"/>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1"/>
          <w:rFonts w:hint="default" w:ascii="Times New Roman" w:hAnsi="Times New Roman" w:eastAsia="方正楷体_GBK" w:cs="Times New Roman"/>
          <w:b w:val="0"/>
          <w:bCs/>
          <w:color w:val="auto"/>
          <w:sz w:val="32"/>
          <w:szCs w:val="32"/>
          <w:shd w:val="clear" w:color="auto" w:fill="FFFFFF"/>
          <w:lang w:val="en-US" w:eastAsia="zh-CN"/>
        </w:rPr>
        <w:t>（八）年末结转和结余：</w:t>
      </w:r>
      <w:r>
        <w:rPr>
          <w:rFonts w:hint="default" w:ascii="Times New Roman" w:hAnsi="Times New Roman" w:eastAsia="方正仿宋_GBK" w:cs="Times New Roman"/>
          <w:b w:val="0"/>
          <w:bCs/>
          <w:color w:val="auto"/>
          <w:sz w:val="32"/>
          <w:szCs w:val="32"/>
          <w:shd w:val="clear" w:color="auto" w:fill="FFFFFF"/>
        </w:rPr>
        <w:t>指单位结转下年的基本支出结转、项目支出结转和结余、经营结余。</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1"/>
          <w:rFonts w:hint="default" w:ascii="Times New Roman" w:hAnsi="Times New Roman" w:eastAsia="方正楷体_GBK" w:cs="Times New Roman"/>
          <w:b w:val="0"/>
          <w:bCs/>
          <w:color w:val="auto"/>
          <w:sz w:val="32"/>
          <w:szCs w:val="32"/>
          <w:shd w:val="clear" w:color="auto" w:fill="FFFFFF"/>
          <w:lang w:val="en-US" w:eastAsia="zh-CN"/>
        </w:rPr>
        <w:t>（九）基本支出：</w:t>
      </w:r>
      <w:r>
        <w:rPr>
          <w:rFonts w:hint="default" w:ascii="Times New Roman" w:hAnsi="Times New Roman" w:eastAsia="方正仿宋_GBK" w:cs="Times New Roman"/>
          <w:b w:val="0"/>
          <w:bCs/>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1"/>
          <w:rFonts w:hint="default" w:ascii="Times New Roman" w:hAnsi="Times New Roman" w:eastAsia="方正楷体_GBK" w:cs="Times New Roman"/>
          <w:b w:val="0"/>
          <w:bCs/>
          <w:color w:val="auto"/>
          <w:sz w:val="32"/>
          <w:szCs w:val="32"/>
          <w:shd w:val="clear" w:color="auto" w:fill="FFFFFF"/>
          <w:lang w:val="en-US" w:eastAsia="zh-CN"/>
        </w:rPr>
        <w:t>（十）项目支出：</w:t>
      </w:r>
      <w:r>
        <w:rPr>
          <w:rFonts w:hint="default" w:ascii="Times New Roman" w:hAnsi="Times New Roman" w:eastAsia="方正仿宋_GBK" w:cs="Times New Roman"/>
          <w:b w:val="0"/>
          <w:bCs/>
          <w:color w:val="auto"/>
          <w:sz w:val="32"/>
          <w:szCs w:val="32"/>
          <w:shd w:val="clear" w:color="auto" w:fill="FFFFFF"/>
        </w:rPr>
        <w:t>指在基本支出之外为完成特定行政任务和事业发展目标所发生的支出。</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1"/>
          <w:rFonts w:hint="default" w:ascii="Times New Roman" w:hAnsi="Times New Roman" w:eastAsia="方正楷体_GBK" w:cs="Times New Roman"/>
          <w:b w:val="0"/>
          <w:bCs/>
          <w:color w:val="auto"/>
          <w:sz w:val="32"/>
          <w:szCs w:val="32"/>
          <w:shd w:val="clear" w:color="auto" w:fill="FFFFFF"/>
          <w:lang w:val="en-US" w:eastAsia="zh-CN"/>
        </w:rPr>
        <w:t>（十一）经营支出：</w:t>
      </w:r>
      <w:r>
        <w:rPr>
          <w:rFonts w:hint="default" w:ascii="Times New Roman" w:hAnsi="Times New Roman" w:eastAsia="方正仿宋_GBK" w:cs="Times New Roman"/>
          <w:b w:val="0"/>
          <w:bCs/>
          <w:color w:val="auto"/>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1"/>
          <w:rFonts w:hint="default" w:ascii="Times New Roman" w:hAnsi="Times New Roman" w:eastAsia="方正楷体_GBK" w:cs="Times New Roman"/>
          <w:b w:val="0"/>
          <w:bCs/>
          <w:color w:val="auto"/>
          <w:sz w:val="32"/>
          <w:szCs w:val="32"/>
          <w:shd w:val="clear" w:color="auto" w:fill="FFFFFF"/>
          <w:lang w:val="en-US" w:eastAsia="zh-CN"/>
        </w:rPr>
        <w:t> （十二）“三公”经费：</w:t>
      </w:r>
      <w:r>
        <w:rPr>
          <w:rFonts w:hint="default" w:ascii="Times New Roman" w:hAnsi="Times New Roman" w:eastAsia="方正仿宋_GBK" w:cs="Times New Roman"/>
          <w:b w:val="0"/>
          <w:bCs/>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1"/>
          <w:rFonts w:hint="default" w:ascii="Times New Roman" w:hAnsi="Times New Roman" w:eastAsia="方正楷体_GBK" w:cs="Times New Roman"/>
          <w:b w:val="0"/>
          <w:bCs/>
          <w:color w:val="auto"/>
          <w:sz w:val="32"/>
          <w:szCs w:val="32"/>
          <w:shd w:val="clear" w:color="auto" w:fill="FFFFFF"/>
          <w:lang w:val="en-US" w:eastAsia="zh-CN"/>
        </w:rPr>
        <w:t>（十三）机关运行经费：</w:t>
      </w:r>
      <w:r>
        <w:rPr>
          <w:rFonts w:hint="default" w:ascii="Times New Roman" w:hAnsi="Times New Roman" w:eastAsia="方正仿宋_GBK" w:cs="Times New Roman"/>
          <w:b w:val="0"/>
          <w:bCs/>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1"/>
          <w:rFonts w:hint="default" w:ascii="Times New Roman" w:hAnsi="Times New Roman" w:eastAsia="方正楷体_GBK" w:cs="Times New Roman"/>
          <w:b w:val="0"/>
          <w:bCs/>
          <w:color w:val="auto"/>
          <w:sz w:val="32"/>
          <w:szCs w:val="32"/>
          <w:shd w:val="clear" w:color="auto" w:fill="FFFFFF"/>
          <w:lang w:val="en-US" w:eastAsia="zh-CN"/>
        </w:rPr>
        <w:t>（十四）工资福利支出（支出经济分类科目类级）：</w:t>
      </w:r>
      <w:r>
        <w:rPr>
          <w:rFonts w:hint="default" w:ascii="Times New Roman" w:hAnsi="Times New Roman" w:eastAsia="方正仿宋_GBK" w:cs="Times New Roman"/>
          <w:b w:val="0"/>
          <w:bCs/>
          <w:color w:val="auto"/>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1"/>
          <w:rFonts w:hint="default" w:ascii="Times New Roman" w:hAnsi="Times New Roman" w:eastAsia="方正楷体_GBK" w:cs="Times New Roman"/>
          <w:b w:val="0"/>
          <w:bCs/>
          <w:color w:val="auto"/>
          <w:sz w:val="32"/>
          <w:szCs w:val="32"/>
          <w:shd w:val="clear" w:color="auto" w:fill="FFFFFF"/>
          <w:lang w:val="en-US" w:eastAsia="zh-CN"/>
        </w:rPr>
        <w:t>（十五）商品和服务支出（支出经济分类科目类级）：</w:t>
      </w:r>
      <w:r>
        <w:rPr>
          <w:rFonts w:hint="default" w:ascii="Times New Roman" w:hAnsi="Times New Roman" w:eastAsia="方正仿宋_GBK" w:cs="Times New Roman"/>
          <w:b w:val="0"/>
          <w:bCs/>
          <w:color w:val="auto"/>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1"/>
          <w:rFonts w:hint="default" w:ascii="Times New Roman" w:hAnsi="Times New Roman" w:eastAsia="方正楷体_GBK" w:cs="Times New Roman"/>
          <w:b w:val="0"/>
          <w:bCs/>
          <w:color w:val="auto"/>
          <w:sz w:val="32"/>
          <w:szCs w:val="32"/>
          <w:shd w:val="clear" w:color="auto" w:fill="FFFFFF"/>
          <w:lang w:val="en-US" w:eastAsia="zh-CN"/>
        </w:rPr>
        <w:t>（十六）对个人和家庭的补助（支出经济分类科目类级）：</w:t>
      </w:r>
      <w:r>
        <w:rPr>
          <w:rFonts w:hint="default" w:ascii="Times New Roman" w:hAnsi="Times New Roman" w:eastAsia="方正仿宋_GBK" w:cs="Times New Roman"/>
          <w:b w:val="0"/>
          <w:bCs/>
          <w:color w:val="auto"/>
          <w:sz w:val="32"/>
          <w:szCs w:val="32"/>
          <w:shd w:val="clear" w:color="auto" w:fill="FFFFFF"/>
        </w:rPr>
        <w:t>反映用于对个人和家庭的补助支出。</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楷体_GBK" w:cs="Times New Roman"/>
          <w:b w:val="0"/>
          <w:bCs/>
          <w:color w:val="auto"/>
          <w:sz w:val="32"/>
          <w:szCs w:val="32"/>
          <w:shd w:val="clear" w:color="auto" w:fill="FFFFFF"/>
          <w:lang w:val="en-US" w:eastAsia="zh-CN"/>
        </w:rPr>
        <w:t>（十七）其他资本性支出（支出经济分类科目类级）：</w:t>
      </w:r>
      <w:r>
        <w:rPr>
          <w:rFonts w:hint="default" w:ascii="Times New Roman" w:hAnsi="Times New Roman" w:eastAsia="方正仿宋_GBK" w:cs="Times New Roman"/>
          <w:b w:val="0"/>
          <w:bCs/>
          <w:color w:val="auto"/>
          <w:sz w:val="32"/>
          <w:szCs w:val="32"/>
          <w:shd w:val="clear" w:color="auto" w:fill="FFFFFF"/>
        </w:rPr>
        <w:t>反</w:t>
      </w:r>
      <w:r>
        <w:rPr>
          <w:rFonts w:hint="default" w:ascii="Times New Roman" w:hAnsi="Times New Roman" w:eastAsia="方正仿宋_GBK" w:cs="Times New Roman"/>
          <w:color w:val="auto"/>
          <w:sz w:val="32"/>
          <w:szCs w:val="32"/>
          <w:shd w:val="clear" w:color="auto" w:fill="FFFFFF"/>
        </w:rPr>
        <w:t>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11"/>
          <w:rFonts w:hint="default" w:ascii="Times New Roman" w:hAnsi="Times New Roman" w:eastAsia="方正黑体_GBK" w:cs="Times New Roman"/>
          <w:b w:val="0"/>
          <w:bCs/>
          <w:color w:val="auto"/>
          <w:sz w:val="32"/>
          <w:szCs w:val="32"/>
          <w:shd w:val="clear" w:color="auto" w:fill="FFFFFF"/>
        </w:rPr>
      </w:pPr>
      <w:r>
        <w:rPr>
          <w:rStyle w:val="11"/>
          <w:rFonts w:hint="default" w:ascii="Times New Roman" w:hAnsi="Times New Roman" w:eastAsia="方正黑体_GBK" w:cs="Times New Roman"/>
          <w:b w:val="0"/>
          <w:bCs/>
          <w:color w:val="auto"/>
          <w:sz w:val="32"/>
          <w:szCs w:val="32"/>
          <w:shd w:val="clear" w:color="auto" w:fill="FFFFFF"/>
        </w:rPr>
        <w:t>七、决算公开联系方式及信息反馈渠道</w:t>
      </w:r>
    </w:p>
    <w:p>
      <w:pPr>
        <w:pStyle w:val="12"/>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本单位决算公开信息反馈和联系方式：</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b w:val="0"/>
          <w:color w:val="auto"/>
          <w:kern w:val="0"/>
          <w:sz w:val="32"/>
          <w:szCs w:val="32"/>
          <w:shd w:val="clear" w:fill="FFFFFF"/>
          <w:lang w:val="en-US" w:eastAsia="zh-CN"/>
        </w:rPr>
      </w:pPr>
      <w:r>
        <w:rPr>
          <w:rFonts w:hint="default" w:ascii="Times New Roman" w:hAnsi="Times New Roman" w:eastAsia="方正仿宋_GBK" w:cs="Times New Roman"/>
          <w:b w:val="0"/>
          <w:color w:val="auto"/>
          <w:kern w:val="0"/>
          <w:sz w:val="32"/>
          <w:szCs w:val="32"/>
          <w:shd w:val="clear" w:fill="FFFFFF"/>
        </w:rPr>
        <w:t>许发琼   023-4635</w:t>
      </w:r>
      <w:r>
        <w:rPr>
          <w:rFonts w:hint="default" w:ascii="Times New Roman" w:hAnsi="Times New Roman" w:eastAsia="方正仿宋_GBK" w:cs="Times New Roman"/>
          <w:b w:val="0"/>
          <w:color w:val="auto"/>
          <w:kern w:val="0"/>
          <w:sz w:val="32"/>
          <w:szCs w:val="32"/>
          <w:shd w:val="clear" w:fill="FFFFFF"/>
          <w:lang w:val="en-US" w:eastAsia="zh-CN"/>
        </w:rPr>
        <w:t>7757</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1598" w:leftChars="266" w:hanging="960" w:hangingChars="300"/>
        <w:jc w:val="both"/>
        <w:textAlignment w:val="auto"/>
        <w:rPr>
          <w:rFonts w:hint="default" w:ascii="Times New Roman" w:hAnsi="Times New Roman" w:eastAsia="方正仿宋_GBK" w:cs="Times New Roman"/>
          <w:color w:val="auto"/>
          <w:kern w:val="0"/>
          <w:sz w:val="32"/>
          <w:szCs w:val="32"/>
          <w:shd w:val="clear" w:fill="FFFFFF"/>
        </w:rPr>
      </w:pPr>
      <w:r>
        <w:rPr>
          <w:rFonts w:hint="default" w:ascii="Times New Roman" w:hAnsi="Times New Roman" w:eastAsia="方正仿宋_GBK" w:cs="Times New Roman"/>
          <w:b w:val="0"/>
          <w:color w:val="auto"/>
          <w:kern w:val="0"/>
          <w:sz w:val="32"/>
          <w:szCs w:val="32"/>
          <w:shd w:val="clear" w:fill="FFFFFF"/>
        </w:rPr>
        <w:t>附件：</w:t>
      </w:r>
      <w:r>
        <w:rPr>
          <w:rFonts w:hint="default" w:ascii="Times New Roman" w:hAnsi="Times New Roman" w:eastAsia="方正仿宋_GBK" w:cs="Times New Roman"/>
          <w:color w:val="auto"/>
          <w:kern w:val="0"/>
          <w:sz w:val="32"/>
          <w:szCs w:val="32"/>
          <w:shd w:val="clear" w:fill="FFFFFF"/>
        </w:rPr>
        <w:t>重庆市荣昌区人民政府广顺街道</w:t>
      </w:r>
      <w:r>
        <w:rPr>
          <w:rFonts w:hint="default" w:ascii="Times New Roman" w:hAnsi="Times New Roman" w:eastAsia="方正仿宋_GBK" w:cs="Times New Roman"/>
          <w:color w:val="auto"/>
          <w:kern w:val="0"/>
          <w:sz w:val="32"/>
          <w:szCs w:val="32"/>
          <w:shd w:val="clear" w:fill="FFFFFF"/>
          <w:lang w:val="en-US" w:eastAsia="zh-CN"/>
        </w:rPr>
        <w:t>农业服务中心</w:t>
      </w:r>
      <w:r>
        <w:rPr>
          <w:rFonts w:hint="default" w:ascii="Times New Roman" w:hAnsi="Times New Roman" w:eastAsia="方正仿宋_GBK" w:cs="Times New Roman"/>
          <w:color w:val="auto"/>
          <w:kern w:val="0"/>
          <w:sz w:val="32"/>
          <w:szCs w:val="32"/>
          <w:shd w:val="clear" w:fill="FFFFFF"/>
        </w:rPr>
        <w:t>202</w:t>
      </w:r>
      <w:r>
        <w:rPr>
          <w:rFonts w:hint="default" w:ascii="Times New Roman" w:hAnsi="Times New Roman" w:eastAsia="方正仿宋_GBK" w:cs="Times New Roman"/>
          <w:color w:val="auto"/>
          <w:kern w:val="0"/>
          <w:sz w:val="32"/>
          <w:szCs w:val="32"/>
          <w:shd w:val="clear" w:fill="FFFFFF"/>
          <w:lang w:val="en-US" w:eastAsia="zh-CN"/>
        </w:rPr>
        <w:t>3</w:t>
      </w:r>
      <w:r>
        <w:rPr>
          <w:rFonts w:hint="default" w:ascii="Times New Roman" w:hAnsi="Times New Roman" w:eastAsia="方正仿宋_GBK" w:cs="Times New Roman"/>
          <w:color w:val="auto"/>
          <w:kern w:val="0"/>
          <w:sz w:val="32"/>
          <w:szCs w:val="32"/>
          <w:shd w:val="clear" w:fill="FFFFFF"/>
        </w:rPr>
        <w:t>年度</w:t>
      </w:r>
      <w:r>
        <w:rPr>
          <w:rFonts w:hint="eastAsia" w:ascii="Times New Roman" w:hAnsi="Times New Roman" w:eastAsia="方正仿宋_GBK" w:cs="Times New Roman"/>
          <w:color w:val="auto"/>
          <w:kern w:val="0"/>
          <w:sz w:val="32"/>
          <w:szCs w:val="32"/>
          <w:shd w:val="clear" w:fill="FFFFFF"/>
          <w:lang w:val="en-US" w:eastAsia="zh-CN"/>
        </w:rPr>
        <w:t>单位</w:t>
      </w:r>
      <w:r>
        <w:rPr>
          <w:rFonts w:hint="default" w:ascii="Times New Roman" w:hAnsi="Times New Roman" w:eastAsia="方正仿宋_GBK" w:cs="Times New Roman"/>
          <w:color w:val="auto"/>
          <w:kern w:val="0"/>
          <w:sz w:val="32"/>
          <w:szCs w:val="32"/>
          <w:shd w:val="clear" w:fill="FFFFFF"/>
        </w:rPr>
        <w:t>决算公开报表（公开01—09表）</w:t>
      </w:r>
    </w:p>
    <w:p>
      <w:pPr>
        <w:pStyle w:val="12"/>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0" w:firstLineChars="0"/>
        <w:textAlignment w:val="auto"/>
        <w:rPr>
          <w:rFonts w:hint="default" w:ascii="Times New Roman" w:hAnsi="Times New Roman" w:eastAsia="方正仿宋_GBK" w:cs="Times New Roman"/>
          <w:color w:val="auto"/>
          <w:sz w:val="32"/>
          <w:szCs w:val="32"/>
          <w:shd w:val="clear" w:color="auto" w:fill="FFFFFF"/>
        </w:rPr>
        <w:sectPr>
          <w:footerReference r:id="rId3" w:type="default"/>
          <w:pgSz w:w="11915" w:h="16840"/>
          <w:pgMar w:top="2098" w:right="1474" w:bottom="1984" w:left="1587" w:header="851" w:footer="1474" w:gutter="0"/>
          <w:pgNumType w:fmt="decimal"/>
          <w:cols w:space="720" w:num="1"/>
          <w:docGrid w:type="lines" w:linePitch="312" w:charSpace="0"/>
        </w:sectPr>
      </w:pPr>
    </w:p>
    <w:p>
      <w:pPr>
        <w:rPr>
          <w:rStyle w:val="17"/>
          <w:rFonts w:hint="eastAsia" w:ascii="方正黑体_GBK" w:hAnsi="方正黑体_GBK" w:eastAsia="方正黑体_GBK" w:cs="方正黑体_GBK"/>
          <w:b w:val="0"/>
          <w:color w:val="auto"/>
          <w:sz w:val="32"/>
          <w:szCs w:val="32"/>
          <w:shd w:val="clear" w:fill="FFFFFF"/>
          <w:lang w:val="en-US" w:eastAsia="zh-CN" w:bidi="ar-SA"/>
        </w:rPr>
      </w:pPr>
      <w:r>
        <w:rPr>
          <w:rStyle w:val="17"/>
          <w:rFonts w:hint="eastAsia" w:ascii="方正黑体_GBK" w:hAnsi="方正黑体_GBK" w:eastAsia="方正黑体_GBK" w:cs="方正黑体_GBK"/>
          <w:b w:val="0"/>
          <w:color w:val="auto"/>
          <w:sz w:val="32"/>
          <w:szCs w:val="32"/>
          <w:shd w:val="clear" w:fill="FFFFFF"/>
          <w:lang w:val="en-US" w:eastAsia="zh-CN" w:bidi="ar-SA"/>
        </w:rPr>
        <w:t>附件</w:t>
      </w:r>
    </w:p>
    <w:p>
      <w:pPr>
        <w:pStyle w:val="7"/>
        <w:rPr>
          <w:rFonts w:hint="eastAsia"/>
          <w:lang w:val="en-US" w:eastAsia="zh-CN"/>
        </w:rPr>
      </w:pP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720" w:lineRule="atLeas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重庆市荣昌区人民政府广顺街道</w:t>
      </w:r>
      <w:r>
        <w:rPr>
          <w:rFonts w:hint="eastAsia" w:ascii="方正小标宋_GBK" w:hAnsi="方正小标宋_GBK" w:eastAsia="方正小标宋_GBK" w:cs="方正小标宋_GBK"/>
          <w:color w:val="auto"/>
          <w:sz w:val="44"/>
          <w:szCs w:val="44"/>
          <w:lang w:val="en-US" w:eastAsia="zh-CN"/>
        </w:rPr>
        <w:t>农业服务中心</w:t>
      </w:r>
      <w:r>
        <w:rPr>
          <w:rFonts w:hint="eastAsia" w:ascii="方正小标宋_GBK" w:hAnsi="方正小标宋_GBK" w:eastAsia="方正小标宋_GBK" w:cs="方正小标宋_GBK"/>
          <w:color w:val="auto"/>
          <w:sz w:val="44"/>
          <w:szCs w:val="44"/>
        </w:rPr>
        <w:t>202</w:t>
      </w:r>
      <w:r>
        <w:rPr>
          <w:rFonts w:hint="eastAsia" w:ascii="方正小标宋_GBK" w:hAnsi="方正小标宋_GBK" w:eastAsia="方正小标宋_GBK" w:cs="方正小标宋_GBK"/>
          <w:color w:val="auto"/>
          <w:sz w:val="44"/>
          <w:szCs w:val="44"/>
          <w:lang w:val="en-US" w:eastAsia="zh-CN"/>
        </w:rPr>
        <w:t>3</w:t>
      </w:r>
      <w:r>
        <w:rPr>
          <w:rFonts w:hint="eastAsia" w:ascii="方正小标宋_GBK" w:hAnsi="方正小标宋_GBK" w:eastAsia="方正小标宋_GBK" w:cs="方正小标宋_GBK"/>
          <w:color w:val="auto"/>
          <w:sz w:val="44"/>
          <w:szCs w:val="44"/>
        </w:rPr>
        <w:t>年度单位决算公开报表（公开01—09表）</w:t>
      </w:r>
    </w:p>
    <w:p>
      <w:pPr>
        <w:rPr>
          <w:rStyle w:val="17"/>
          <w:rFonts w:hint="eastAsia" w:ascii="方正黑体_GBK" w:hAnsi="方正黑体_GBK" w:eastAsia="方正黑体_GBK" w:cs="方正黑体_GBK"/>
          <w:b w:val="0"/>
          <w:color w:val="auto"/>
          <w:sz w:val="32"/>
          <w:szCs w:val="32"/>
          <w:shd w:val="clear" w:fill="FFFFFF"/>
          <w:lang w:val="en-US" w:eastAsia="zh-CN" w:bidi="ar-SA"/>
        </w:rPr>
      </w:pPr>
    </w:p>
    <w:tbl>
      <w:tblPr>
        <w:tblStyle w:val="8"/>
        <w:tblW w:w="8876" w:type="dxa"/>
        <w:tblInd w:w="0" w:type="dxa"/>
        <w:shd w:val="clear" w:color="auto" w:fill="auto"/>
        <w:tblLayout w:type="fixed"/>
        <w:tblCellMar>
          <w:top w:w="0" w:type="dxa"/>
          <w:left w:w="0" w:type="dxa"/>
          <w:bottom w:w="0" w:type="dxa"/>
          <w:right w:w="0" w:type="dxa"/>
        </w:tblCellMar>
      </w:tblPr>
      <w:tblGrid>
        <w:gridCol w:w="3249"/>
        <w:gridCol w:w="869"/>
        <w:gridCol w:w="3413"/>
        <w:gridCol w:w="1345"/>
      </w:tblGrid>
      <w:tr>
        <w:tblPrEx>
          <w:shd w:val="clear" w:color="auto" w:fill="auto"/>
          <w:tblLayout w:type="fixed"/>
          <w:tblCellMar>
            <w:top w:w="0" w:type="dxa"/>
            <w:left w:w="0" w:type="dxa"/>
            <w:bottom w:w="0" w:type="dxa"/>
            <w:right w:w="0" w:type="dxa"/>
          </w:tblCellMar>
        </w:tblPrEx>
        <w:trPr>
          <w:trHeight w:val="499" w:hRule="atLeast"/>
        </w:trPr>
        <w:tc>
          <w:tcPr>
            <w:tcW w:w="8876"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324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86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20"/>
                <w:szCs w:val="20"/>
              </w:rPr>
            </w:pPr>
          </w:p>
        </w:tc>
        <w:tc>
          <w:tcPr>
            <w:tcW w:w="341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134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公开01表</w:t>
            </w:r>
          </w:p>
        </w:tc>
      </w:tr>
      <w:tr>
        <w:tblPrEx>
          <w:tblLayout w:type="fixed"/>
          <w:tblCellMar>
            <w:top w:w="0" w:type="dxa"/>
            <w:left w:w="0" w:type="dxa"/>
            <w:bottom w:w="0" w:type="dxa"/>
            <w:right w:w="0" w:type="dxa"/>
          </w:tblCellMar>
        </w:tblPrEx>
        <w:trPr>
          <w:trHeight w:val="232" w:hRule="atLeast"/>
        </w:trPr>
        <w:tc>
          <w:tcPr>
            <w:tcW w:w="7531"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2"/>
                <w:szCs w:val="22"/>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u w:color="auto"/>
              </w:rPr>
              <w:t>重庆市荣昌区广顺街道农业服务中心</w:t>
            </w:r>
          </w:p>
        </w:tc>
        <w:tc>
          <w:tcPr>
            <w:tcW w:w="134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243" w:hRule="atLeast"/>
        </w:trPr>
        <w:tc>
          <w:tcPr>
            <w:tcW w:w="41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收入</w:t>
            </w:r>
          </w:p>
        </w:tc>
        <w:tc>
          <w:tcPr>
            <w:tcW w:w="4758"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支出</w:t>
            </w:r>
          </w:p>
        </w:tc>
      </w:tr>
      <w:tr>
        <w:tblPrEx>
          <w:tblLayout w:type="fixed"/>
          <w:tblCellMar>
            <w:top w:w="0" w:type="dxa"/>
            <w:left w:w="0" w:type="dxa"/>
            <w:bottom w:w="0" w:type="dxa"/>
            <w:right w:w="0" w:type="dxa"/>
          </w:tblCellMar>
        </w:tblPrEx>
        <w:trPr>
          <w:trHeight w:val="243" w:hRule="atLeast"/>
        </w:trPr>
        <w:tc>
          <w:tcPr>
            <w:tcW w:w="324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c>
          <w:tcPr>
            <w:tcW w:w="3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w:t>
            </w:r>
          </w:p>
        </w:tc>
        <w:tc>
          <w:tcPr>
            <w:tcW w:w="1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r>
      <w:tr>
        <w:tblPrEx>
          <w:tblLayout w:type="fixed"/>
          <w:tblCellMar>
            <w:top w:w="0" w:type="dxa"/>
            <w:left w:w="0" w:type="dxa"/>
            <w:bottom w:w="0" w:type="dxa"/>
            <w:right w:w="0" w:type="dxa"/>
          </w:tblCellMar>
        </w:tblPrEx>
        <w:trPr>
          <w:trHeight w:val="243" w:hRule="atLeast"/>
        </w:trPr>
        <w:tc>
          <w:tcPr>
            <w:tcW w:w="324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一、一般公共预算财政拨款收入</w:t>
            </w:r>
          </w:p>
        </w:tc>
        <w:tc>
          <w:tcPr>
            <w:tcW w:w="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907.03</w:t>
            </w:r>
            <w:r>
              <w:rPr>
                <w:rFonts w:hint="default" w:ascii="Times New Roman" w:hAnsi="Times New Roman" w:cs="Times New Roman"/>
                <w:color w:val="auto"/>
                <w:sz w:val="20"/>
                <w:u w:color="auto"/>
              </w:rPr>
              <w:t xml:space="preserve"> </w:t>
            </w:r>
          </w:p>
        </w:tc>
        <w:tc>
          <w:tcPr>
            <w:tcW w:w="3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一、一般公共服务支出</w:t>
            </w:r>
          </w:p>
        </w:tc>
        <w:tc>
          <w:tcPr>
            <w:tcW w:w="1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4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二、政府性基金预算财政拨款收入</w:t>
            </w:r>
          </w:p>
        </w:tc>
        <w:tc>
          <w:tcPr>
            <w:tcW w:w="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二、外交支出</w:t>
            </w:r>
          </w:p>
        </w:tc>
        <w:tc>
          <w:tcPr>
            <w:tcW w:w="1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4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三、国有资本经营预算财政拨款收入</w:t>
            </w:r>
          </w:p>
        </w:tc>
        <w:tc>
          <w:tcPr>
            <w:tcW w:w="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三、国防支出</w:t>
            </w:r>
          </w:p>
        </w:tc>
        <w:tc>
          <w:tcPr>
            <w:tcW w:w="1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4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四、上级补助收入</w:t>
            </w:r>
          </w:p>
        </w:tc>
        <w:tc>
          <w:tcPr>
            <w:tcW w:w="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四、公共安全支出</w:t>
            </w:r>
          </w:p>
        </w:tc>
        <w:tc>
          <w:tcPr>
            <w:tcW w:w="1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4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五、事业收入</w:t>
            </w:r>
          </w:p>
        </w:tc>
        <w:tc>
          <w:tcPr>
            <w:tcW w:w="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五、教育支出</w:t>
            </w:r>
          </w:p>
        </w:tc>
        <w:tc>
          <w:tcPr>
            <w:tcW w:w="1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4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六、经营收入</w:t>
            </w:r>
          </w:p>
        </w:tc>
        <w:tc>
          <w:tcPr>
            <w:tcW w:w="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六、科学技术支出</w:t>
            </w:r>
          </w:p>
        </w:tc>
        <w:tc>
          <w:tcPr>
            <w:tcW w:w="1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4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七、附属单位上缴收入</w:t>
            </w:r>
          </w:p>
        </w:tc>
        <w:tc>
          <w:tcPr>
            <w:tcW w:w="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七、文化旅游体育与传媒支出</w:t>
            </w:r>
          </w:p>
        </w:tc>
        <w:tc>
          <w:tcPr>
            <w:tcW w:w="1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4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八、其他收入</w:t>
            </w:r>
          </w:p>
        </w:tc>
        <w:tc>
          <w:tcPr>
            <w:tcW w:w="869" w:type="dxa"/>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八、社会保障和就业支出</w:t>
            </w:r>
          </w:p>
        </w:tc>
        <w:tc>
          <w:tcPr>
            <w:tcW w:w="1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175.51</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4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20"/>
                <w:szCs w:val="20"/>
              </w:rPr>
            </w:pPr>
          </w:p>
        </w:tc>
        <w:tc>
          <w:tcPr>
            <w:tcW w:w="3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九、卫生健康支出</w:t>
            </w:r>
          </w:p>
        </w:tc>
        <w:tc>
          <w:tcPr>
            <w:tcW w:w="1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31.62</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4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20"/>
                <w:szCs w:val="20"/>
              </w:rPr>
            </w:pPr>
          </w:p>
        </w:tc>
        <w:tc>
          <w:tcPr>
            <w:tcW w:w="3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十、节能环保支出</w:t>
            </w:r>
          </w:p>
        </w:tc>
        <w:tc>
          <w:tcPr>
            <w:tcW w:w="1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4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20"/>
                <w:szCs w:val="20"/>
              </w:rPr>
            </w:pPr>
          </w:p>
        </w:tc>
        <w:tc>
          <w:tcPr>
            <w:tcW w:w="3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十一、城乡社区支出</w:t>
            </w:r>
          </w:p>
        </w:tc>
        <w:tc>
          <w:tcPr>
            <w:tcW w:w="1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4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20"/>
                <w:szCs w:val="20"/>
              </w:rPr>
            </w:pPr>
          </w:p>
        </w:tc>
        <w:tc>
          <w:tcPr>
            <w:tcW w:w="3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十二、农林水支出</w:t>
            </w:r>
          </w:p>
        </w:tc>
        <w:tc>
          <w:tcPr>
            <w:tcW w:w="1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662.60</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4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20"/>
                <w:szCs w:val="20"/>
              </w:rPr>
            </w:pPr>
          </w:p>
        </w:tc>
        <w:tc>
          <w:tcPr>
            <w:tcW w:w="3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十三、交通运输支出</w:t>
            </w:r>
          </w:p>
        </w:tc>
        <w:tc>
          <w:tcPr>
            <w:tcW w:w="1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4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20"/>
                <w:szCs w:val="20"/>
              </w:rPr>
            </w:pPr>
          </w:p>
        </w:tc>
        <w:tc>
          <w:tcPr>
            <w:tcW w:w="3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十四、资源勘探工业信息等支出</w:t>
            </w:r>
          </w:p>
        </w:tc>
        <w:tc>
          <w:tcPr>
            <w:tcW w:w="1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4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20"/>
                <w:szCs w:val="20"/>
              </w:rPr>
            </w:pPr>
          </w:p>
        </w:tc>
        <w:tc>
          <w:tcPr>
            <w:tcW w:w="3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十五、商业服务业等支出</w:t>
            </w:r>
          </w:p>
        </w:tc>
        <w:tc>
          <w:tcPr>
            <w:tcW w:w="1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4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20"/>
                <w:szCs w:val="20"/>
              </w:rPr>
            </w:pPr>
          </w:p>
        </w:tc>
        <w:tc>
          <w:tcPr>
            <w:tcW w:w="3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十六、金融支出</w:t>
            </w:r>
          </w:p>
        </w:tc>
        <w:tc>
          <w:tcPr>
            <w:tcW w:w="1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4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20"/>
                <w:szCs w:val="20"/>
              </w:rPr>
            </w:pPr>
          </w:p>
        </w:tc>
        <w:tc>
          <w:tcPr>
            <w:tcW w:w="3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十七、援助其他地区支出</w:t>
            </w:r>
          </w:p>
        </w:tc>
        <w:tc>
          <w:tcPr>
            <w:tcW w:w="1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4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20"/>
                <w:szCs w:val="20"/>
              </w:rPr>
            </w:pPr>
          </w:p>
        </w:tc>
        <w:tc>
          <w:tcPr>
            <w:tcW w:w="3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十八、自然资源海洋气象等支出</w:t>
            </w:r>
          </w:p>
        </w:tc>
        <w:tc>
          <w:tcPr>
            <w:tcW w:w="1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4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20"/>
                <w:szCs w:val="20"/>
              </w:rPr>
            </w:pPr>
          </w:p>
        </w:tc>
        <w:tc>
          <w:tcPr>
            <w:tcW w:w="3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十九、住房保障支出</w:t>
            </w:r>
          </w:p>
        </w:tc>
        <w:tc>
          <w:tcPr>
            <w:tcW w:w="1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37.30</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4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20"/>
                <w:szCs w:val="20"/>
              </w:rPr>
            </w:pPr>
          </w:p>
        </w:tc>
        <w:tc>
          <w:tcPr>
            <w:tcW w:w="3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二十、粮油物资储备支出</w:t>
            </w:r>
          </w:p>
        </w:tc>
        <w:tc>
          <w:tcPr>
            <w:tcW w:w="1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4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20"/>
                <w:szCs w:val="20"/>
              </w:rPr>
            </w:pPr>
          </w:p>
        </w:tc>
        <w:tc>
          <w:tcPr>
            <w:tcW w:w="3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二十一、国有资本经营预算支出</w:t>
            </w:r>
          </w:p>
        </w:tc>
        <w:tc>
          <w:tcPr>
            <w:tcW w:w="1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4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20"/>
                <w:szCs w:val="20"/>
              </w:rPr>
            </w:pPr>
          </w:p>
        </w:tc>
        <w:tc>
          <w:tcPr>
            <w:tcW w:w="3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二十二、灾害防治及应急管理支出</w:t>
            </w:r>
          </w:p>
        </w:tc>
        <w:tc>
          <w:tcPr>
            <w:tcW w:w="1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4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20"/>
                <w:szCs w:val="20"/>
              </w:rPr>
            </w:pPr>
          </w:p>
        </w:tc>
        <w:tc>
          <w:tcPr>
            <w:tcW w:w="3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二十三、其他支出</w:t>
            </w:r>
          </w:p>
        </w:tc>
        <w:tc>
          <w:tcPr>
            <w:tcW w:w="1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4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20"/>
                <w:szCs w:val="20"/>
              </w:rPr>
            </w:pPr>
          </w:p>
        </w:tc>
        <w:tc>
          <w:tcPr>
            <w:tcW w:w="3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二十四、债务还本支出</w:t>
            </w:r>
          </w:p>
        </w:tc>
        <w:tc>
          <w:tcPr>
            <w:tcW w:w="1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4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20"/>
                <w:szCs w:val="20"/>
              </w:rPr>
            </w:pPr>
          </w:p>
        </w:tc>
        <w:tc>
          <w:tcPr>
            <w:tcW w:w="3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二十五、债务付息支出</w:t>
            </w:r>
          </w:p>
        </w:tc>
        <w:tc>
          <w:tcPr>
            <w:tcW w:w="1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4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20"/>
                <w:szCs w:val="20"/>
              </w:rPr>
            </w:pPr>
          </w:p>
        </w:tc>
        <w:tc>
          <w:tcPr>
            <w:tcW w:w="3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二十六、抗疫特别国债安排的支出</w:t>
            </w:r>
          </w:p>
        </w:tc>
        <w:tc>
          <w:tcPr>
            <w:tcW w:w="1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4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907.03</w:t>
            </w:r>
            <w:r>
              <w:rPr>
                <w:rFonts w:hint="default" w:ascii="Times New Roman" w:hAnsi="Times New Roman" w:cs="Times New Roman"/>
                <w:color w:val="auto"/>
                <w:sz w:val="20"/>
                <w:u w:color="auto"/>
              </w:rPr>
              <w:t xml:space="preserve"> </w:t>
            </w:r>
          </w:p>
        </w:tc>
        <w:tc>
          <w:tcPr>
            <w:tcW w:w="3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1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907.03</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4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使用非财政拨款结余和专用结余</w:t>
            </w:r>
          </w:p>
        </w:tc>
        <w:tc>
          <w:tcPr>
            <w:tcW w:w="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结余分配</w:t>
            </w:r>
          </w:p>
        </w:tc>
        <w:tc>
          <w:tcPr>
            <w:tcW w:w="1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324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年初结转和结余</w:t>
            </w:r>
          </w:p>
        </w:tc>
        <w:tc>
          <w:tcPr>
            <w:tcW w:w="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年末结转和结余</w:t>
            </w:r>
          </w:p>
        </w:tc>
        <w:tc>
          <w:tcPr>
            <w:tcW w:w="134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53" w:hRule="atLeast"/>
        </w:trPr>
        <w:tc>
          <w:tcPr>
            <w:tcW w:w="324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907.03</w:t>
            </w:r>
            <w:r>
              <w:rPr>
                <w:rFonts w:hint="default" w:ascii="Times New Roman" w:hAnsi="Times New Roman" w:cs="Times New Roman"/>
                <w:color w:val="auto"/>
                <w:sz w:val="20"/>
                <w:u w:color="auto"/>
              </w:rPr>
              <w:t xml:space="preserve"> </w:t>
            </w:r>
          </w:p>
        </w:tc>
        <w:tc>
          <w:tcPr>
            <w:tcW w:w="3413"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13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907.03</w:t>
            </w:r>
            <w:r>
              <w:rPr>
                <w:rFonts w:hint="default" w:ascii="Times New Roman" w:hAnsi="Times New Roman" w:cs="Times New Roman"/>
                <w:color w:val="auto"/>
                <w:sz w:val="20"/>
                <w:u w:color="auto"/>
              </w:rPr>
              <w:t xml:space="preserve"> </w:t>
            </w:r>
          </w:p>
        </w:tc>
      </w:tr>
    </w:tbl>
    <w:p>
      <w:pPr>
        <w:keepNext w:val="0"/>
        <w:keepLines w:val="0"/>
        <w:pageBreakBefore w:val="0"/>
        <w:widowControl/>
        <w:kinsoku/>
        <w:wordWrap/>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wordWrap/>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p>
      <w:pPr>
        <w:keepNext w:val="0"/>
        <w:keepLines w:val="0"/>
        <w:pageBreakBefore w:val="0"/>
        <w:widowControl/>
        <w:kinsoku/>
        <w:wordWrap/>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bl>
      <w:tblPr>
        <w:tblStyle w:val="8"/>
        <w:tblW w:w="8876" w:type="dxa"/>
        <w:tblInd w:w="0" w:type="dxa"/>
        <w:shd w:val="clear" w:color="auto" w:fill="auto"/>
        <w:tblLayout w:type="fixed"/>
        <w:tblCellMar>
          <w:top w:w="0" w:type="dxa"/>
          <w:left w:w="0" w:type="dxa"/>
          <w:bottom w:w="0" w:type="dxa"/>
          <w:right w:w="0" w:type="dxa"/>
        </w:tblCellMar>
      </w:tblPr>
      <w:tblGrid>
        <w:gridCol w:w="931"/>
        <w:gridCol w:w="2128"/>
        <w:gridCol w:w="763"/>
        <w:gridCol w:w="914"/>
        <w:gridCol w:w="450"/>
        <w:gridCol w:w="473"/>
        <w:gridCol w:w="1"/>
        <w:gridCol w:w="1230"/>
        <w:gridCol w:w="628"/>
        <w:gridCol w:w="818"/>
        <w:gridCol w:w="540"/>
      </w:tblGrid>
      <w:tr>
        <w:tblPrEx>
          <w:shd w:val="clear" w:color="auto" w:fill="auto"/>
          <w:tblLayout w:type="fixed"/>
          <w:tblCellMar>
            <w:top w:w="0" w:type="dxa"/>
            <w:left w:w="0" w:type="dxa"/>
            <w:bottom w:w="0" w:type="dxa"/>
            <w:right w:w="0" w:type="dxa"/>
          </w:tblCellMar>
        </w:tblPrEx>
        <w:trPr>
          <w:trHeight w:val="449" w:hRule="atLeast"/>
        </w:trPr>
        <w:tc>
          <w:tcPr>
            <w:tcW w:w="8876" w:type="dxa"/>
            <w:gridSpan w:val="11"/>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36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收入决算表</w:t>
            </w:r>
          </w:p>
        </w:tc>
      </w:tr>
      <w:tr>
        <w:tblPrEx>
          <w:tblLayout w:type="fixed"/>
          <w:tblCellMar>
            <w:top w:w="0" w:type="dxa"/>
            <w:left w:w="0" w:type="dxa"/>
            <w:bottom w:w="0" w:type="dxa"/>
            <w:right w:w="0" w:type="dxa"/>
          </w:tblCellMar>
        </w:tblPrEx>
        <w:trPr>
          <w:trHeight w:val="328" w:hRule="atLeast"/>
        </w:trPr>
        <w:tc>
          <w:tcPr>
            <w:tcW w:w="3059" w:type="dxa"/>
            <w:gridSpan w:val="2"/>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76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91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45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47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1231"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1986"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公开02表</w:t>
            </w:r>
          </w:p>
        </w:tc>
      </w:tr>
      <w:tr>
        <w:tblPrEx>
          <w:tblLayout w:type="fixed"/>
          <w:tblCellMar>
            <w:top w:w="0" w:type="dxa"/>
            <w:left w:w="0" w:type="dxa"/>
            <w:bottom w:w="0" w:type="dxa"/>
            <w:right w:w="0" w:type="dxa"/>
          </w:tblCellMar>
        </w:tblPrEx>
        <w:trPr>
          <w:trHeight w:val="429" w:hRule="atLeast"/>
        </w:trPr>
        <w:tc>
          <w:tcPr>
            <w:tcW w:w="5186" w:type="dxa"/>
            <w:gridSpan w:val="5"/>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u w:color="auto"/>
              </w:rPr>
              <w:t>重庆市荣昌区广顺街道农业服务中心</w:t>
            </w:r>
          </w:p>
        </w:tc>
        <w:tc>
          <w:tcPr>
            <w:tcW w:w="47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1231"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1986"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431" w:hRule="atLeast"/>
        </w:trPr>
        <w:tc>
          <w:tcPr>
            <w:tcW w:w="305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360" w:lineRule="exact"/>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财政拨款收入</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上级补助收入</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360" w:lineRule="exact"/>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事业收入</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经营收入</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附属单位上缴收入</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其他收入</w:t>
            </w:r>
          </w:p>
        </w:tc>
      </w:tr>
      <w:tr>
        <w:tblPrEx>
          <w:tblLayout w:type="fixed"/>
          <w:tblCellMar>
            <w:top w:w="0" w:type="dxa"/>
            <w:left w:w="0" w:type="dxa"/>
            <w:bottom w:w="0" w:type="dxa"/>
            <w:right w:w="0" w:type="dxa"/>
          </w:tblCellMar>
        </w:tblPrEx>
        <w:trPr>
          <w:trHeight w:val="334" w:hRule="atLeast"/>
        </w:trPr>
        <w:tc>
          <w:tcPr>
            <w:tcW w:w="93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212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4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小计</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其中：教育收费</w:t>
            </w: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4" w:hRule="atLeast"/>
        </w:trPr>
        <w:tc>
          <w:tcPr>
            <w:tcW w:w="93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21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4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4" w:hRule="atLeast"/>
        </w:trPr>
        <w:tc>
          <w:tcPr>
            <w:tcW w:w="93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21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4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12" w:hRule="atLeast"/>
        </w:trPr>
        <w:tc>
          <w:tcPr>
            <w:tcW w:w="93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21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4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30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7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907.03</w:t>
            </w:r>
            <w:r>
              <w:rPr>
                <w:rFonts w:hint="default" w:ascii="Times New Roman" w:hAnsi="Times New Roman" w:cs="Times New Roman"/>
                <w:b/>
                <w:color w:val="auto"/>
                <w:sz w:val="20"/>
                <w:u w:color="auto"/>
              </w:rPr>
              <w:t xml:space="preserve"> </w:t>
            </w: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907.03</w:t>
            </w:r>
            <w:r>
              <w:rPr>
                <w:rFonts w:hint="default" w:ascii="Times New Roman" w:hAnsi="Times New Roman" w:cs="Times New Roman"/>
                <w:b/>
                <w:color w:val="auto"/>
                <w:sz w:val="20"/>
                <w:u w:color="auto"/>
              </w:rPr>
              <w:t xml:space="preserve"> </w:t>
            </w:r>
          </w:p>
        </w:tc>
        <w:tc>
          <w:tcPr>
            <w:tcW w:w="4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4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2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175.51</w:t>
            </w:r>
            <w:r>
              <w:rPr>
                <w:rFonts w:hint="default" w:ascii="Times New Roman" w:hAnsi="Times New Roman" w:cs="Times New Roman"/>
                <w:b/>
                <w:color w:val="auto"/>
                <w:sz w:val="20"/>
                <w:u w:color="auto"/>
              </w:rPr>
              <w:t xml:space="preserve"> </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175.51</w:t>
            </w:r>
            <w:r>
              <w:rPr>
                <w:rFonts w:hint="default" w:ascii="Times New Roman" w:hAnsi="Times New Roman" w:cs="Times New Roman"/>
                <w:b/>
                <w:color w:val="auto"/>
                <w:sz w:val="20"/>
                <w:u w:color="auto"/>
              </w:rPr>
              <w:t xml:space="preserve"> </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2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175.51</w:t>
            </w:r>
            <w:r>
              <w:rPr>
                <w:rFonts w:hint="default" w:ascii="Times New Roman" w:hAnsi="Times New Roman" w:cs="Times New Roman"/>
                <w:b/>
                <w:color w:val="auto"/>
                <w:sz w:val="20"/>
                <w:u w:color="auto"/>
              </w:rPr>
              <w:t xml:space="preserve"> </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175.5</w:t>
            </w:r>
            <w:r>
              <w:rPr>
                <w:rFonts w:hint="default" w:ascii="Times New Roman" w:hAnsi="Times New Roman" w:cs="Times New Roman"/>
                <w:b/>
                <w:color w:val="auto"/>
                <w:sz w:val="20"/>
                <w:szCs w:val="20"/>
                <w:lang w:val="en-US" w:eastAsia="zh-CN"/>
              </w:rPr>
              <w:t>1</w:t>
            </w:r>
            <w:r>
              <w:rPr>
                <w:rFonts w:hint="default" w:ascii="Times New Roman" w:hAnsi="Times New Roman" w:cs="Times New Roman"/>
                <w:b/>
                <w:color w:val="auto"/>
                <w:sz w:val="20"/>
                <w:u w:color="auto"/>
              </w:rPr>
              <w:t xml:space="preserve"> </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2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42.25</w:t>
            </w:r>
            <w:r>
              <w:rPr>
                <w:rFonts w:hint="default" w:ascii="Times New Roman" w:hAnsi="Times New Roman" w:cs="Times New Roman"/>
                <w:color w:val="auto"/>
                <w:sz w:val="20"/>
                <w:u w:color="auto"/>
              </w:rPr>
              <w:t xml:space="preserve"> </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42.25</w:t>
            </w:r>
            <w:r>
              <w:rPr>
                <w:rFonts w:hint="default" w:ascii="Times New Roman" w:hAnsi="Times New Roman" w:cs="Times New Roman"/>
                <w:color w:val="auto"/>
                <w:sz w:val="20"/>
                <w:u w:color="auto"/>
              </w:rPr>
              <w:t xml:space="preserve"> </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2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62.00</w:t>
            </w:r>
            <w:r>
              <w:rPr>
                <w:rFonts w:hint="default" w:ascii="Times New Roman" w:hAnsi="Times New Roman" w:cs="Times New Roman"/>
                <w:color w:val="auto"/>
                <w:sz w:val="20"/>
                <w:u w:color="auto"/>
              </w:rPr>
              <w:t xml:space="preserve"> </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62.00</w:t>
            </w:r>
            <w:r>
              <w:rPr>
                <w:rFonts w:hint="default" w:ascii="Times New Roman" w:hAnsi="Times New Roman" w:cs="Times New Roman"/>
                <w:color w:val="auto"/>
                <w:sz w:val="20"/>
                <w:u w:color="auto"/>
              </w:rPr>
              <w:t xml:space="preserve"> </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2080599</w:t>
            </w:r>
          </w:p>
        </w:tc>
        <w:tc>
          <w:tcPr>
            <w:tcW w:w="2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其他行政事业单位养老支出</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71.26</w:t>
            </w:r>
            <w:r>
              <w:rPr>
                <w:rFonts w:hint="default" w:ascii="Times New Roman" w:hAnsi="Times New Roman" w:cs="Times New Roman"/>
                <w:color w:val="auto"/>
                <w:sz w:val="20"/>
                <w:u w:color="auto"/>
              </w:rPr>
              <w:t xml:space="preserve"> </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71.26</w:t>
            </w:r>
            <w:r>
              <w:rPr>
                <w:rFonts w:hint="default" w:ascii="Times New Roman" w:hAnsi="Times New Roman" w:cs="Times New Roman"/>
                <w:color w:val="auto"/>
                <w:sz w:val="20"/>
                <w:u w:color="auto"/>
              </w:rPr>
              <w:t xml:space="preserve"> </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2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31.62</w:t>
            </w:r>
            <w:r>
              <w:rPr>
                <w:rFonts w:hint="default" w:ascii="Times New Roman" w:hAnsi="Times New Roman" w:cs="Times New Roman"/>
                <w:b/>
                <w:color w:val="auto"/>
                <w:sz w:val="20"/>
                <w:u w:color="auto"/>
              </w:rPr>
              <w:t xml:space="preserve"> </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31.62</w:t>
            </w:r>
            <w:r>
              <w:rPr>
                <w:rFonts w:hint="default" w:ascii="Times New Roman" w:hAnsi="Times New Roman" w:cs="Times New Roman"/>
                <w:b/>
                <w:color w:val="auto"/>
                <w:sz w:val="20"/>
                <w:u w:color="auto"/>
              </w:rPr>
              <w:t xml:space="preserve"> </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2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31.62</w:t>
            </w:r>
            <w:r>
              <w:rPr>
                <w:rFonts w:hint="default" w:ascii="Times New Roman" w:hAnsi="Times New Roman" w:cs="Times New Roman"/>
                <w:b/>
                <w:color w:val="auto"/>
                <w:sz w:val="20"/>
                <w:u w:color="auto"/>
              </w:rPr>
              <w:t xml:space="preserve"> </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31.62</w:t>
            </w:r>
            <w:r>
              <w:rPr>
                <w:rFonts w:hint="default" w:ascii="Times New Roman" w:hAnsi="Times New Roman" w:cs="Times New Roman"/>
                <w:b/>
                <w:color w:val="auto"/>
                <w:sz w:val="20"/>
                <w:u w:color="auto"/>
              </w:rPr>
              <w:t xml:space="preserve"> </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2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22.38</w:t>
            </w:r>
            <w:r>
              <w:rPr>
                <w:rFonts w:hint="default" w:ascii="Times New Roman" w:hAnsi="Times New Roman" w:cs="Times New Roman"/>
                <w:color w:val="auto"/>
                <w:sz w:val="20"/>
                <w:u w:color="auto"/>
              </w:rPr>
              <w:t xml:space="preserve"> </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22.38</w:t>
            </w:r>
            <w:r>
              <w:rPr>
                <w:rFonts w:hint="default" w:ascii="Times New Roman" w:hAnsi="Times New Roman" w:cs="Times New Roman"/>
                <w:color w:val="auto"/>
                <w:sz w:val="20"/>
                <w:u w:color="auto"/>
              </w:rPr>
              <w:t xml:space="preserve"> </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2101199</w:t>
            </w:r>
          </w:p>
        </w:tc>
        <w:tc>
          <w:tcPr>
            <w:tcW w:w="2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其他行政事业单位医疗支出</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9.23</w:t>
            </w:r>
            <w:r>
              <w:rPr>
                <w:rFonts w:hint="default" w:ascii="Times New Roman" w:hAnsi="Times New Roman" w:cs="Times New Roman"/>
                <w:color w:val="auto"/>
                <w:sz w:val="20"/>
                <w:u w:color="auto"/>
              </w:rPr>
              <w:t xml:space="preserve"> </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9.23</w:t>
            </w:r>
            <w:r>
              <w:rPr>
                <w:rFonts w:hint="default" w:ascii="Times New Roman" w:hAnsi="Times New Roman" w:cs="Times New Roman"/>
                <w:color w:val="auto"/>
                <w:sz w:val="20"/>
                <w:u w:color="auto"/>
              </w:rPr>
              <w:t xml:space="preserve"> </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w:t>
            </w:r>
          </w:p>
        </w:tc>
        <w:tc>
          <w:tcPr>
            <w:tcW w:w="2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农林水支出</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662.60</w:t>
            </w:r>
            <w:r>
              <w:rPr>
                <w:rFonts w:hint="default" w:ascii="Times New Roman" w:hAnsi="Times New Roman" w:cs="Times New Roman"/>
                <w:b/>
                <w:color w:val="auto"/>
                <w:sz w:val="20"/>
                <w:u w:color="auto"/>
              </w:rPr>
              <w:t xml:space="preserve"> </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662.60</w:t>
            </w:r>
            <w:r>
              <w:rPr>
                <w:rFonts w:hint="default" w:ascii="Times New Roman" w:hAnsi="Times New Roman" w:cs="Times New Roman"/>
                <w:b/>
                <w:color w:val="auto"/>
                <w:sz w:val="20"/>
                <w:u w:color="auto"/>
              </w:rPr>
              <w:t xml:space="preserve"> </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21301</w:t>
            </w:r>
          </w:p>
        </w:tc>
        <w:tc>
          <w:tcPr>
            <w:tcW w:w="2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农业农村</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662.60</w:t>
            </w:r>
            <w:r>
              <w:rPr>
                <w:rFonts w:hint="default" w:ascii="Times New Roman" w:hAnsi="Times New Roman" w:cs="Times New Roman"/>
                <w:b/>
                <w:color w:val="auto"/>
                <w:sz w:val="20"/>
                <w:u w:color="auto"/>
              </w:rPr>
              <w:t xml:space="preserve"> </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662.60</w:t>
            </w:r>
            <w:r>
              <w:rPr>
                <w:rFonts w:hint="default" w:ascii="Times New Roman" w:hAnsi="Times New Roman" w:cs="Times New Roman"/>
                <w:b/>
                <w:color w:val="auto"/>
                <w:sz w:val="20"/>
                <w:u w:color="auto"/>
              </w:rPr>
              <w:t xml:space="preserve"> </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2130104</w:t>
            </w:r>
          </w:p>
        </w:tc>
        <w:tc>
          <w:tcPr>
            <w:tcW w:w="2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662.60</w:t>
            </w:r>
            <w:r>
              <w:rPr>
                <w:rFonts w:hint="default" w:ascii="Times New Roman" w:hAnsi="Times New Roman" w:cs="Times New Roman"/>
                <w:color w:val="auto"/>
                <w:sz w:val="20"/>
                <w:u w:color="auto"/>
              </w:rPr>
              <w:t xml:space="preserve"> </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662.60</w:t>
            </w:r>
            <w:r>
              <w:rPr>
                <w:rFonts w:hint="default" w:ascii="Times New Roman" w:hAnsi="Times New Roman" w:cs="Times New Roman"/>
                <w:color w:val="auto"/>
                <w:sz w:val="20"/>
                <w:u w:color="auto"/>
              </w:rPr>
              <w:t xml:space="preserve"> </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2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37.30</w:t>
            </w:r>
            <w:r>
              <w:rPr>
                <w:rFonts w:hint="default" w:ascii="Times New Roman" w:hAnsi="Times New Roman" w:cs="Times New Roman"/>
                <w:b/>
                <w:color w:val="auto"/>
                <w:sz w:val="20"/>
                <w:u w:color="auto"/>
              </w:rPr>
              <w:t xml:space="preserve"> </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37.30</w:t>
            </w:r>
            <w:r>
              <w:rPr>
                <w:rFonts w:hint="default" w:ascii="Times New Roman" w:hAnsi="Times New Roman" w:cs="Times New Roman"/>
                <w:b/>
                <w:color w:val="auto"/>
                <w:sz w:val="20"/>
                <w:u w:color="auto"/>
              </w:rPr>
              <w:t xml:space="preserve"> </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2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37.30</w:t>
            </w:r>
            <w:r>
              <w:rPr>
                <w:rFonts w:hint="default" w:ascii="Times New Roman" w:hAnsi="Times New Roman" w:cs="Times New Roman"/>
                <w:b/>
                <w:color w:val="auto"/>
                <w:sz w:val="20"/>
                <w:u w:color="auto"/>
              </w:rPr>
              <w:t xml:space="preserve"> </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37.30</w:t>
            </w:r>
            <w:r>
              <w:rPr>
                <w:rFonts w:hint="default" w:ascii="Times New Roman" w:hAnsi="Times New Roman" w:cs="Times New Roman"/>
                <w:b/>
                <w:color w:val="auto"/>
                <w:sz w:val="20"/>
                <w:u w:color="auto"/>
              </w:rPr>
              <w:t xml:space="preserve"> </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9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21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37.30</w:t>
            </w:r>
            <w:r>
              <w:rPr>
                <w:rFonts w:hint="default" w:ascii="Times New Roman" w:hAnsi="Times New Roman" w:cs="Times New Roman"/>
                <w:color w:val="auto"/>
                <w:sz w:val="20"/>
                <w:u w:color="auto"/>
              </w:rPr>
              <w:t xml:space="preserve"> </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37.30</w:t>
            </w:r>
            <w:r>
              <w:rPr>
                <w:rFonts w:hint="default" w:ascii="Times New Roman" w:hAnsi="Times New Roman" w:cs="Times New Roman"/>
                <w:color w:val="auto"/>
                <w:sz w:val="20"/>
                <w:u w:color="auto"/>
              </w:rPr>
              <w:t xml:space="preserve"> </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line="360" w:lineRule="exact"/>
        <w:ind w:left="600" w:hanging="600" w:hangingChars="300"/>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备注：1.本表反映单位本年度取得的各项收入情况。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br w:type="page"/>
      </w:r>
    </w:p>
    <w:tbl>
      <w:tblPr>
        <w:tblStyle w:val="8"/>
        <w:tblW w:w="8876" w:type="dxa"/>
        <w:tblInd w:w="0" w:type="dxa"/>
        <w:shd w:val="clear" w:color="auto" w:fill="auto"/>
        <w:tblLayout w:type="fixed"/>
        <w:tblCellMar>
          <w:top w:w="0" w:type="dxa"/>
          <w:left w:w="0" w:type="dxa"/>
          <w:bottom w:w="0" w:type="dxa"/>
          <w:right w:w="0" w:type="dxa"/>
        </w:tblCellMar>
      </w:tblPr>
      <w:tblGrid>
        <w:gridCol w:w="1068"/>
        <w:gridCol w:w="2331"/>
        <w:gridCol w:w="887"/>
        <w:gridCol w:w="900"/>
        <w:gridCol w:w="859"/>
        <w:gridCol w:w="982"/>
        <w:gridCol w:w="841"/>
        <w:gridCol w:w="1008"/>
      </w:tblGrid>
      <w:tr>
        <w:tblPrEx>
          <w:shd w:val="clear" w:color="auto" w:fill="auto"/>
          <w:tblLayout w:type="fixed"/>
          <w:tblCellMar>
            <w:top w:w="0" w:type="dxa"/>
            <w:left w:w="0" w:type="dxa"/>
            <w:bottom w:w="0" w:type="dxa"/>
            <w:right w:w="0" w:type="dxa"/>
          </w:tblCellMar>
        </w:tblPrEx>
        <w:trPr>
          <w:trHeight w:val="654" w:hRule="atLeast"/>
        </w:trPr>
        <w:tc>
          <w:tcPr>
            <w:tcW w:w="8876"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支出决算表</w:t>
            </w:r>
          </w:p>
        </w:tc>
      </w:tr>
      <w:tr>
        <w:tblPrEx>
          <w:tblLayout w:type="fixed"/>
          <w:tblCellMar>
            <w:top w:w="0" w:type="dxa"/>
            <w:left w:w="0" w:type="dxa"/>
            <w:bottom w:w="0" w:type="dxa"/>
            <w:right w:w="0" w:type="dxa"/>
          </w:tblCellMar>
        </w:tblPrEx>
        <w:trPr>
          <w:trHeight w:val="342" w:hRule="atLeast"/>
        </w:trPr>
        <w:tc>
          <w:tcPr>
            <w:tcW w:w="3399" w:type="dxa"/>
            <w:gridSpan w:val="2"/>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 xml:space="preserve">重庆市荣昌区广顺街道农业服务中心 </w:t>
            </w:r>
          </w:p>
        </w:tc>
        <w:tc>
          <w:tcPr>
            <w:tcW w:w="88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90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85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2831"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公开03表</w:t>
            </w:r>
          </w:p>
        </w:tc>
      </w:tr>
      <w:tr>
        <w:tblPrEx>
          <w:tblLayout w:type="fixed"/>
          <w:tblCellMar>
            <w:top w:w="0" w:type="dxa"/>
            <w:left w:w="0" w:type="dxa"/>
            <w:bottom w:w="0" w:type="dxa"/>
            <w:right w:w="0" w:type="dxa"/>
          </w:tblCellMar>
        </w:tblPrEx>
        <w:trPr>
          <w:trHeight w:val="342" w:hRule="atLeast"/>
        </w:trPr>
        <w:tc>
          <w:tcPr>
            <w:tcW w:w="3399" w:type="dxa"/>
            <w:gridSpan w:val="2"/>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88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90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85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2831"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362" w:hRule="atLeast"/>
        </w:trPr>
        <w:tc>
          <w:tcPr>
            <w:tcW w:w="33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上缴上级支出</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经营支出</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068"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2331"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1068"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2331"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1068"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2331"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1068"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2331"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62" w:hRule="atLeast"/>
        </w:trPr>
        <w:tc>
          <w:tcPr>
            <w:tcW w:w="33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8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907.03</w:t>
            </w:r>
            <w:r>
              <w:rPr>
                <w:rFonts w:hint="default" w:ascii="Times New Roman" w:hAnsi="Times New Roman" w:cs="Times New Roman"/>
                <w:b/>
                <w:color w:val="auto"/>
                <w:sz w:val="20"/>
                <w:u w:color="auto"/>
              </w:rPr>
              <w:t xml:space="preserve"> </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907.03</w:t>
            </w:r>
            <w:r>
              <w:rPr>
                <w:rFonts w:hint="default" w:ascii="Times New Roman" w:hAnsi="Times New Roman" w:cs="Times New Roman"/>
                <w:b/>
                <w:color w:val="auto"/>
                <w:sz w:val="20"/>
                <w:u w:color="auto"/>
              </w:rPr>
              <w:t xml:space="preserve"> </w:t>
            </w:r>
          </w:p>
        </w:tc>
        <w:tc>
          <w:tcPr>
            <w:tcW w:w="8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2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175.51</w:t>
            </w:r>
            <w:r>
              <w:rPr>
                <w:rFonts w:hint="default" w:ascii="Times New Roman" w:hAnsi="Times New Roman" w:cs="Times New Roman"/>
                <w:b/>
                <w:color w:val="auto"/>
                <w:sz w:val="20"/>
                <w:u w:color="auto"/>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175.51</w:t>
            </w:r>
            <w:r>
              <w:rPr>
                <w:rFonts w:hint="default" w:ascii="Times New Roman" w:hAnsi="Times New Roman" w:cs="Times New Roman"/>
                <w:b/>
                <w:color w:val="auto"/>
                <w:sz w:val="20"/>
                <w:u w:color="auto"/>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2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175.51</w:t>
            </w:r>
            <w:r>
              <w:rPr>
                <w:rFonts w:hint="default" w:ascii="Times New Roman" w:hAnsi="Times New Roman" w:cs="Times New Roman"/>
                <w:b/>
                <w:color w:val="auto"/>
                <w:sz w:val="20"/>
                <w:u w:color="auto"/>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175.51</w:t>
            </w:r>
            <w:r>
              <w:rPr>
                <w:rFonts w:hint="default" w:ascii="Times New Roman" w:hAnsi="Times New Roman" w:cs="Times New Roman"/>
                <w:b/>
                <w:color w:val="auto"/>
                <w:sz w:val="20"/>
                <w:u w:color="auto"/>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2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42.25</w:t>
            </w:r>
            <w:r>
              <w:rPr>
                <w:rFonts w:hint="default" w:ascii="Times New Roman" w:hAnsi="Times New Roman" w:cs="Times New Roman"/>
                <w:color w:val="auto"/>
                <w:sz w:val="20"/>
                <w:u w:color="auto"/>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42.25</w:t>
            </w:r>
            <w:r>
              <w:rPr>
                <w:rFonts w:hint="default" w:ascii="Times New Roman" w:hAnsi="Times New Roman" w:cs="Times New Roman"/>
                <w:color w:val="auto"/>
                <w:sz w:val="20"/>
                <w:u w:color="auto"/>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2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62.00</w:t>
            </w:r>
            <w:r>
              <w:rPr>
                <w:rFonts w:hint="default" w:ascii="Times New Roman" w:hAnsi="Times New Roman" w:cs="Times New Roman"/>
                <w:color w:val="auto"/>
                <w:sz w:val="20"/>
                <w:u w:color="auto"/>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62.00</w:t>
            </w:r>
            <w:r>
              <w:rPr>
                <w:rFonts w:hint="default" w:ascii="Times New Roman" w:hAnsi="Times New Roman" w:cs="Times New Roman"/>
                <w:color w:val="auto"/>
                <w:sz w:val="20"/>
                <w:u w:color="auto"/>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2080599</w:t>
            </w:r>
          </w:p>
        </w:tc>
        <w:tc>
          <w:tcPr>
            <w:tcW w:w="2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其他行政事业单位养老支出</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71.26</w:t>
            </w:r>
            <w:r>
              <w:rPr>
                <w:rFonts w:hint="default" w:ascii="Times New Roman" w:hAnsi="Times New Roman" w:cs="Times New Roman"/>
                <w:color w:val="auto"/>
                <w:sz w:val="20"/>
                <w:u w:color="auto"/>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71.26</w:t>
            </w:r>
            <w:r>
              <w:rPr>
                <w:rFonts w:hint="default" w:ascii="Times New Roman" w:hAnsi="Times New Roman" w:cs="Times New Roman"/>
                <w:color w:val="auto"/>
                <w:sz w:val="20"/>
                <w:u w:color="auto"/>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2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31.62</w:t>
            </w:r>
            <w:r>
              <w:rPr>
                <w:rFonts w:hint="default" w:ascii="Times New Roman" w:hAnsi="Times New Roman" w:cs="Times New Roman"/>
                <w:b/>
                <w:color w:val="auto"/>
                <w:sz w:val="20"/>
                <w:u w:color="auto"/>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31.62</w:t>
            </w:r>
            <w:r>
              <w:rPr>
                <w:rFonts w:hint="default" w:ascii="Times New Roman" w:hAnsi="Times New Roman" w:cs="Times New Roman"/>
                <w:b/>
                <w:color w:val="auto"/>
                <w:sz w:val="20"/>
                <w:u w:color="auto"/>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2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31.62</w:t>
            </w:r>
            <w:r>
              <w:rPr>
                <w:rFonts w:hint="default" w:ascii="Times New Roman" w:hAnsi="Times New Roman" w:cs="Times New Roman"/>
                <w:b/>
                <w:color w:val="auto"/>
                <w:sz w:val="20"/>
                <w:u w:color="auto"/>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31.62</w:t>
            </w:r>
            <w:r>
              <w:rPr>
                <w:rFonts w:hint="default" w:ascii="Times New Roman" w:hAnsi="Times New Roman" w:cs="Times New Roman"/>
                <w:b/>
                <w:color w:val="auto"/>
                <w:sz w:val="20"/>
                <w:u w:color="auto"/>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2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22.38</w:t>
            </w:r>
            <w:r>
              <w:rPr>
                <w:rFonts w:hint="default" w:ascii="Times New Roman" w:hAnsi="Times New Roman" w:cs="Times New Roman"/>
                <w:color w:val="auto"/>
                <w:sz w:val="20"/>
                <w:u w:color="auto"/>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22.38</w:t>
            </w:r>
            <w:r>
              <w:rPr>
                <w:rFonts w:hint="default" w:ascii="Times New Roman" w:hAnsi="Times New Roman" w:cs="Times New Roman"/>
                <w:color w:val="auto"/>
                <w:sz w:val="20"/>
                <w:u w:color="auto"/>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2101199</w:t>
            </w:r>
          </w:p>
        </w:tc>
        <w:tc>
          <w:tcPr>
            <w:tcW w:w="2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其他行政事业单位医疗支出</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9.23</w:t>
            </w:r>
            <w:r>
              <w:rPr>
                <w:rFonts w:hint="default" w:ascii="Times New Roman" w:hAnsi="Times New Roman" w:cs="Times New Roman"/>
                <w:color w:val="auto"/>
                <w:sz w:val="20"/>
                <w:u w:color="auto"/>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9.23</w:t>
            </w:r>
            <w:r>
              <w:rPr>
                <w:rFonts w:hint="default" w:ascii="Times New Roman" w:hAnsi="Times New Roman" w:cs="Times New Roman"/>
                <w:color w:val="auto"/>
                <w:sz w:val="20"/>
                <w:u w:color="auto"/>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w:t>
            </w:r>
          </w:p>
        </w:tc>
        <w:tc>
          <w:tcPr>
            <w:tcW w:w="2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农林水支出</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662.60</w:t>
            </w:r>
            <w:r>
              <w:rPr>
                <w:rFonts w:hint="default" w:ascii="Times New Roman" w:hAnsi="Times New Roman" w:cs="Times New Roman"/>
                <w:b/>
                <w:color w:val="auto"/>
                <w:sz w:val="20"/>
                <w:u w:color="auto"/>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662.60</w:t>
            </w:r>
            <w:r>
              <w:rPr>
                <w:rFonts w:hint="default" w:ascii="Times New Roman" w:hAnsi="Times New Roman" w:cs="Times New Roman"/>
                <w:b/>
                <w:color w:val="auto"/>
                <w:sz w:val="20"/>
                <w:u w:color="auto"/>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21301</w:t>
            </w:r>
          </w:p>
        </w:tc>
        <w:tc>
          <w:tcPr>
            <w:tcW w:w="2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农业农村</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662.60</w:t>
            </w:r>
            <w:r>
              <w:rPr>
                <w:rFonts w:hint="default" w:ascii="Times New Roman" w:hAnsi="Times New Roman" w:cs="Times New Roman"/>
                <w:b/>
                <w:color w:val="auto"/>
                <w:sz w:val="20"/>
                <w:u w:color="auto"/>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662.60</w:t>
            </w:r>
            <w:r>
              <w:rPr>
                <w:rFonts w:hint="default" w:ascii="Times New Roman" w:hAnsi="Times New Roman" w:cs="Times New Roman"/>
                <w:b/>
                <w:color w:val="auto"/>
                <w:sz w:val="20"/>
                <w:u w:color="auto"/>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2130104</w:t>
            </w:r>
          </w:p>
        </w:tc>
        <w:tc>
          <w:tcPr>
            <w:tcW w:w="2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662.60</w:t>
            </w:r>
            <w:r>
              <w:rPr>
                <w:rFonts w:hint="default" w:ascii="Times New Roman" w:hAnsi="Times New Roman" w:cs="Times New Roman"/>
                <w:color w:val="auto"/>
                <w:sz w:val="20"/>
                <w:u w:color="auto"/>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662.60</w:t>
            </w:r>
            <w:r>
              <w:rPr>
                <w:rFonts w:hint="default" w:ascii="Times New Roman" w:hAnsi="Times New Roman" w:cs="Times New Roman"/>
                <w:color w:val="auto"/>
                <w:sz w:val="20"/>
                <w:u w:color="auto"/>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2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37.30</w:t>
            </w:r>
            <w:r>
              <w:rPr>
                <w:rFonts w:hint="default" w:ascii="Times New Roman" w:hAnsi="Times New Roman" w:cs="Times New Roman"/>
                <w:b/>
                <w:color w:val="auto"/>
                <w:sz w:val="20"/>
                <w:u w:color="auto"/>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37.30</w:t>
            </w:r>
            <w:r>
              <w:rPr>
                <w:rFonts w:hint="default" w:ascii="Times New Roman" w:hAnsi="Times New Roman" w:cs="Times New Roman"/>
                <w:b/>
                <w:color w:val="auto"/>
                <w:sz w:val="20"/>
                <w:u w:color="auto"/>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2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37.30</w:t>
            </w:r>
            <w:r>
              <w:rPr>
                <w:rFonts w:hint="default" w:ascii="Times New Roman" w:hAnsi="Times New Roman" w:cs="Times New Roman"/>
                <w:b/>
                <w:color w:val="auto"/>
                <w:sz w:val="20"/>
                <w:u w:color="auto"/>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37.30</w:t>
            </w:r>
            <w:r>
              <w:rPr>
                <w:rFonts w:hint="default" w:ascii="Times New Roman" w:hAnsi="Times New Roman" w:cs="Times New Roman"/>
                <w:b/>
                <w:color w:val="auto"/>
                <w:sz w:val="20"/>
                <w:u w:color="auto"/>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23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37.30</w:t>
            </w:r>
            <w:r>
              <w:rPr>
                <w:rFonts w:hint="default" w:ascii="Times New Roman" w:hAnsi="Times New Roman" w:cs="Times New Roman"/>
                <w:color w:val="auto"/>
                <w:sz w:val="20"/>
                <w:u w:color="auto"/>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37.30</w:t>
            </w:r>
            <w:r>
              <w:rPr>
                <w:rFonts w:hint="default" w:ascii="Times New Roman" w:hAnsi="Times New Roman" w:cs="Times New Roman"/>
                <w:color w:val="auto"/>
                <w:sz w:val="20"/>
                <w:u w:color="auto"/>
              </w:rPr>
              <w:t xml:space="preserve"> </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备注：1.本表反映单位本年度各项支出情况。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1"/>
          <w:szCs w:val="21"/>
        </w:rPr>
      </w:pPr>
    </w:p>
    <w:tbl>
      <w:tblPr>
        <w:tblStyle w:val="8"/>
        <w:tblW w:w="8876" w:type="dxa"/>
        <w:tblInd w:w="0" w:type="dxa"/>
        <w:shd w:val="clear" w:color="auto" w:fill="auto"/>
        <w:tblLayout w:type="fixed"/>
        <w:tblCellMar>
          <w:top w:w="0" w:type="dxa"/>
          <w:left w:w="0" w:type="dxa"/>
          <w:bottom w:w="0" w:type="dxa"/>
          <w:right w:w="0" w:type="dxa"/>
        </w:tblCellMar>
      </w:tblPr>
      <w:tblGrid>
        <w:gridCol w:w="1795"/>
        <w:gridCol w:w="919"/>
        <w:gridCol w:w="1922"/>
        <w:gridCol w:w="1"/>
        <w:gridCol w:w="809"/>
        <w:gridCol w:w="1159"/>
        <w:gridCol w:w="1117"/>
        <w:gridCol w:w="1154"/>
      </w:tblGrid>
      <w:tr>
        <w:tblPrEx>
          <w:shd w:val="clear" w:color="auto" w:fill="auto"/>
          <w:tblLayout w:type="fixed"/>
          <w:tblCellMar>
            <w:top w:w="0" w:type="dxa"/>
            <w:left w:w="0" w:type="dxa"/>
            <w:bottom w:w="0" w:type="dxa"/>
            <w:right w:w="0" w:type="dxa"/>
          </w:tblCellMar>
        </w:tblPrEx>
        <w:trPr>
          <w:trHeight w:val="90" w:hRule="atLeast"/>
        </w:trPr>
        <w:tc>
          <w:tcPr>
            <w:tcW w:w="8876"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2714" w:type="dxa"/>
            <w:gridSpan w:val="2"/>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1923"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80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115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2271"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公开04表</w:t>
            </w:r>
          </w:p>
        </w:tc>
      </w:tr>
      <w:tr>
        <w:tblPrEx>
          <w:tblLayout w:type="fixed"/>
          <w:tblCellMar>
            <w:top w:w="0" w:type="dxa"/>
            <w:left w:w="0" w:type="dxa"/>
            <w:bottom w:w="0" w:type="dxa"/>
            <w:right w:w="0" w:type="dxa"/>
          </w:tblCellMar>
        </w:tblPrEx>
        <w:trPr>
          <w:trHeight w:val="90" w:hRule="atLeast"/>
        </w:trPr>
        <w:tc>
          <w:tcPr>
            <w:tcW w:w="4637" w:type="dxa"/>
            <w:gridSpan w:val="4"/>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重庆市荣昌区广顺街道农业服务中心</w:t>
            </w:r>
          </w:p>
        </w:tc>
        <w:tc>
          <w:tcPr>
            <w:tcW w:w="80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115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2271"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27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收     入</w:t>
            </w:r>
          </w:p>
        </w:tc>
        <w:tc>
          <w:tcPr>
            <w:tcW w:w="616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支     出</w:t>
            </w:r>
          </w:p>
        </w:tc>
      </w:tr>
      <w:tr>
        <w:tblPrEx>
          <w:tblLayout w:type="fixed"/>
          <w:tblCellMar>
            <w:top w:w="0" w:type="dxa"/>
            <w:left w:w="0" w:type="dxa"/>
            <w:bottom w:w="0" w:type="dxa"/>
            <w:right w:w="0" w:type="dxa"/>
          </w:tblCellMar>
        </w:tblPrEx>
        <w:trPr>
          <w:trHeight w:val="90" w:hRule="atLeast"/>
        </w:trPr>
        <w:tc>
          <w:tcPr>
            <w:tcW w:w="1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项目</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c>
          <w:tcPr>
            <w:tcW w:w="19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功能分类科目</w:t>
            </w:r>
          </w:p>
        </w:tc>
        <w:tc>
          <w:tcPr>
            <w:tcW w:w="424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r>
      <w:tr>
        <w:tblPrEx>
          <w:tblLayout w:type="fixed"/>
          <w:tblCellMar>
            <w:top w:w="0" w:type="dxa"/>
            <w:left w:w="0" w:type="dxa"/>
            <w:bottom w:w="0" w:type="dxa"/>
            <w:right w:w="0" w:type="dxa"/>
          </w:tblCellMar>
        </w:tblPrEx>
        <w:trPr>
          <w:trHeight w:val="90" w:hRule="atLeast"/>
        </w:trPr>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18"/>
                <w:szCs w:val="18"/>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18"/>
                <w:szCs w:val="18"/>
              </w:rPr>
            </w:pPr>
          </w:p>
        </w:tc>
        <w:tc>
          <w:tcPr>
            <w:tcW w:w="19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18"/>
                <w:szCs w:val="18"/>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小计</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一般公共预算财政拨款</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政府性基金预算财政拨款</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一、一般公共预算财政拨款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907.03</w:t>
            </w:r>
            <w:r>
              <w:rPr>
                <w:rFonts w:hint="default" w:ascii="Times New Roman" w:hAnsi="Times New Roman" w:cs="Times New Roman"/>
                <w:color w:val="auto"/>
                <w:sz w:val="18"/>
                <w:u w:color="auto"/>
              </w:rPr>
              <w:t xml:space="preserve"> </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一、一般公共服务支出</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二、政府性基金预算财政拨款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二、外交支出</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三、国有资本经营预算财政拨款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三、国防支出</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四、公共安全支出</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五、教育支出</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六、科学技术支出</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七、文化旅游体育与传媒支出</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八、社会保障和就业支出</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175.51</w:t>
            </w:r>
            <w:r>
              <w:rPr>
                <w:rFonts w:hint="default" w:ascii="Times New Roman" w:hAnsi="Times New Roman" w:cs="Times New Roman"/>
                <w:color w:val="auto"/>
                <w:sz w:val="18"/>
                <w:u w:color="auto"/>
              </w:rPr>
              <w:t xml:space="preserve">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175.51</w:t>
            </w:r>
            <w:r>
              <w:rPr>
                <w:rFonts w:hint="default" w:ascii="Times New Roman" w:hAnsi="Times New Roman" w:cs="Times New Roman"/>
                <w:color w:val="auto"/>
                <w:sz w:val="18"/>
                <w:u w:color="auto"/>
              </w:rPr>
              <w:t xml:space="preserve"> </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九、卫生健康支出</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31.62</w:t>
            </w:r>
            <w:r>
              <w:rPr>
                <w:rFonts w:hint="default" w:ascii="Times New Roman" w:hAnsi="Times New Roman" w:cs="Times New Roman"/>
                <w:color w:val="auto"/>
                <w:sz w:val="18"/>
                <w:u w:color="auto"/>
              </w:rPr>
              <w:t xml:space="preserve">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31.62</w:t>
            </w:r>
            <w:r>
              <w:rPr>
                <w:rFonts w:hint="default" w:ascii="Times New Roman" w:hAnsi="Times New Roman" w:cs="Times New Roman"/>
                <w:color w:val="auto"/>
                <w:sz w:val="18"/>
                <w:u w:color="auto"/>
              </w:rPr>
              <w:t xml:space="preserve"> </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十、节能环保支出</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十一、城乡社区支出</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十二、农林水支出</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662.60</w:t>
            </w:r>
            <w:r>
              <w:rPr>
                <w:rFonts w:hint="default" w:ascii="Times New Roman" w:hAnsi="Times New Roman" w:cs="Times New Roman"/>
                <w:color w:val="auto"/>
                <w:sz w:val="18"/>
                <w:u w:color="auto"/>
              </w:rPr>
              <w:t xml:space="preserve">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662.60</w:t>
            </w:r>
            <w:r>
              <w:rPr>
                <w:rFonts w:hint="default" w:ascii="Times New Roman" w:hAnsi="Times New Roman" w:cs="Times New Roman"/>
                <w:color w:val="auto"/>
                <w:sz w:val="18"/>
                <w:u w:color="auto"/>
              </w:rPr>
              <w:t xml:space="preserve"> </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十三、交通运输支出</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十四、资源勘探工业信息等支出</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十五、商业服务业等支出</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十六、金融支出</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十七、援助其他地区支出</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十八、自然资源海洋气象等支出</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十九、住房保障支出</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37.30</w:t>
            </w:r>
            <w:r>
              <w:rPr>
                <w:rFonts w:hint="default" w:ascii="Times New Roman" w:hAnsi="Times New Roman" w:cs="Times New Roman"/>
                <w:color w:val="auto"/>
                <w:sz w:val="18"/>
                <w:u w:color="auto"/>
              </w:rPr>
              <w:t xml:space="preserve">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37.30</w:t>
            </w:r>
            <w:r>
              <w:rPr>
                <w:rFonts w:hint="default" w:ascii="Times New Roman" w:hAnsi="Times New Roman" w:cs="Times New Roman"/>
                <w:color w:val="auto"/>
                <w:sz w:val="18"/>
                <w:u w:color="auto"/>
              </w:rPr>
              <w:t xml:space="preserve"> </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二十、粮油物资储备支出</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二十一、国有资本经营预算支出</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二十二、灾害防治及应急管理支出</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二十三、其他支出</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二十四、债务还本支出</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二十五、债务付息支出</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18"/>
                <w:szCs w:val="18"/>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二十六、抗疫特别国债安排的支出</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本年收入合计</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907.03</w:t>
            </w:r>
            <w:r>
              <w:rPr>
                <w:rFonts w:hint="default" w:ascii="Times New Roman" w:hAnsi="Times New Roman" w:cs="Times New Roman"/>
                <w:color w:val="auto"/>
                <w:sz w:val="18"/>
                <w:u w:color="auto"/>
              </w:rPr>
              <w:t xml:space="preserve"> </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本年支出合计</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907.03</w:t>
            </w:r>
            <w:r>
              <w:rPr>
                <w:rFonts w:hint="default" w:ascii="Times New Roman" w:hAnsi="Times New Roman" w:cs="Times New Roman"/>
                <w:color w:val="auto"/>
                <w:sz w:val="18"/>
                <w:u w:color="auto"/>
              </w:rPr>
              <w:t xml:space="preserve">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907.03</w:t>
            </w:r>
            <w:r>
              <w:rPr>
                <w:rFonts w:hint="default" w:ascii="Times New Roman" w:hAnsi="Times New Roman" w:cs="Times New Roman"/>
                <w:color w:val="auto"/>
                <w:sz w:val="18"/>
                <w:u w:color="auto"/>
              </w:rPr>
              <w:t xml:space="preserve"> </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年初财政拨款结转和结余</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年末财政拨款结转和结余</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一般公共预算财政拨款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政府性基金预算财政拨款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18"/>
                <w:szCs w:val="18"/>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18"/>
                <w:szCs w:val="18"/>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18"/>
                <w:szCs w:val="18"/>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18"/>
                <w:szCs w:val="18"/>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国有资本经营预算财政拨款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18"/>
                <w:szCs w:val="18"/>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18"/>
                <w:szCs w:val="18"/>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18"/>
                <w:szCs w:val="18"/>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18"/>
                <w:szCs w:val="18"/>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907.03</w:t>
            </w:r>
            <w:r>
              <w:rPr>
                <w:rFonts w:hint="default" w:ascii="Times New Roman" w:hAnsi="Times New Roman" w:cs="Times New Roman"/>
                <w:color w:val="auto"/>
                <w:sz w:val="18"/>
                <w:u w:color="auto"/>
              </w:rPr>
              <w:t xml:space="preserve"> </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907.03</w:t>
            </w:r>
            <w:r>
              <w:rPr>
                <w:rFonts w:hint="default" w:ascii="Times New Roman" w:hAnsi="Times New Roman" w:cs="Times New Roman"/>
                <w:color w:val="auto"/>
                <w:sz w:val="18"/>
                <w:u w:color="auto"/>
              </w:rPr>
              <w:t xml:space="preserve">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907.03</w:t>
            </w:r>
            <w:r>
              <w:rPr>
                <w:rFonts w:hint="default" w:ascii="Times New Roman" w:hAnsi="Times New Roman" w:cs="Times New Roman"/>
                <w:color w:val="auto"/>
                <w:sz w:val="18"/>
                <w:u w:color="auto"/>
              </w:rPr>
              <w:t xml:space="preserve"> </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8"/>
        <w:tblW w:w="8876" w:type="dxa"/>
        <w:tblInd w:w="0" w:type="dxa"/>
        <w:shd w:val="clear" w:color="auto" w:fill="auto"/>
        <w:tblLayout w:type="fixed"/>
        <w:tblCellMar>
          <w:top w:w="0" w:type="dxa"/>
          <w:left w:w="0" w:type="dxa"/>
          <w:bottom w:w="0" w:type="dxa"/>
          <w:right w:w="0" w:type="dxa"/>
        </w:tblCellMar>
      </w:tblPr>
      <w:tblGrid>
        <w:gridCol w:w="1072"/>
        <w:gridCol w:w="3377"/>
        <w:gridCol w:w="1173"/>
        <w:gridCol w:w="1329"/>
        <w:gridCol w:w="1"/>
        <w:gridCol w:w="1924"/>
      </w:tblGrid>
      <w:tr>
        <w:tblPrEx>
          <w:shd w:val="clear" w:color="auto" w:fill="auto"/>
          <w:tblLayout w:type="fixed"/>
          <w:tblCellMar>
            <w:top w:w="0" w:type="dxa"/>
            <w:left w:w="0" w:type="dxa"/>
            <w:bottom w:w="0" w:type="dxa"/>
            <w:right w:w="0" w:type="dxa"/>
          </w:tblCellMar>
        </w:tblPrEx>
        <w:trPr>
          <w:trHeight w:val="510" w:hRule="atLeast"/>
        </w:trPr>
        <w:tc>
          <w:tcPr>
            <w:tcW w:w="8876" w:type="dxa"/>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4449" w:type="dxa"/>
            <w:gridSpan w:val="2"/>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117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1330"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192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公开05表</w:t>
            </w:r>
          </w:p>
        </w:tc>
      </w:tr>
      <w:tr>
        <w:tblPrEx>
          <w:tblLayout w:type="fixed"/>
          <w:tblCellMar>
            <w:top w:w="0" w:type="dxa"/>
            <w:left w:w="0" w:type="dxa"/>
            <w:bottom w:w="0" w:type="dxa"/>
            <w:right w:w="0" w:type="dxa"/>
          </w:tblCellMar>
        </w:tblPrEx>
        <w:trPr>
          <w:trHeight w:val="285" w:hRule="atLeast"/>
        </w:trPr>
        <w:tc>
          <w:tcPr>
            <w:tcW w:w="5622" w:type="dxa"/>
            <w:gridSpan w:val="3"/>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重庆市荣昌区广顺街道农业服务中心</w:t>
            </w:r>
          </w:p>
        </w:tc>
        <w:tc>
          <w:tcPr>
            <w:tcW w:w="1330"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192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308" w:hRule="atLeast"/>
        </w:trPr>
        <w:tc>
          <w:tcPr>
            <w:tcW w:w="44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4427"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tblPrEx>
          <w:tblLayout w:type="fixed"/>
          <w:tblCellMar>
            <w:top w:w="0" w:type="dxa"/>
            <w:left w:w="0" w:type="dxa"/>
            <w:bottom w:w="0" w:type="dxa"/>
            <w:right w:w="0" w:type="dxa"/>
          </w:tblCellMar>
        </w:tblPrEx>
        <w:trPr>
          <w:trHeight w:val="326" w:hRule="atLeast"/>
        </w:trPr>
        <w:tc>
          <w:tcPr>
            <w:tcW w:w="10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37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11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925"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tblPrEx>
          <w:tblLayout w:type="fixed"/>
          <w:tblCellMar>
            <w:top w:w="0" w:type="dxa"/>
            <w:left w:w="0" w:type="dxa"/>
            <w:bottom w:w="0" w:type="dxa"/>
            <w:right w:w="0" w:type="dxa"/>
          </w:tblCellMar>
        </w:tblPrEx>
        <w:trPr>
          <w:trHeight w:val="326" w:hRule="atLeast"/>
        </w:trPr>
        <w:tc>
          <w:tcPr>
            <w:tcW w:w="10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33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11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1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192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615" w:hRule="atLeast"/>
        </w:trPr>
        <w:tc>
          <w:tcPr>
            <w:tcW w:w="10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33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11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1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192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08" w:hRule="atLeast"/>
        </w:trPr>
        <w:tc>
          <w:tcPr>
            <w:tcW w:w="444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1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907.03</w:t>
            </w:r>
            <w:r>
              <w:rPr>
                <w:rFonts w:hint="default" w:ascii="Times New Roman" w:hAnsi="Times New Roman" w:cs="Times New Roman"/>
                <w:b/>
                <w:color w:val="auto"/>
                <w:sz w:val="20"/>
                <w:u w:color="auto"/>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907.03</w:t>
            </w:r>
            <w:r>
              <w:rPr>
                <w:rFonts w:hint="default" w:ascii="Times New Roman" w:hAnsi="Times New Roman" w:cs="Times New Roman"/>
                <w:b/>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3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11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175.51</w:t>
            </w:r>
            <w:r>
              <w:rPr>
                <w:rFonts w:hint="default" w:ascii="Times New Roman" w:hAnsi="Times New Roman" w:cs="Times New Roman"/>
                <w:b/>
                <w:color w:val="auto"/>
                <w:sz w:val="20"/>
                <w:u w:color="auto"/>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175.51</w:t>
            </w:r>
            <w:r>
              <w:rPr>
                <w:rFonts w:hint="default" w:ascii="Times New Roman" w:hAnsi="Times New Roman" w:cs="Times New Roman"/>
                <w:b/>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3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11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175.51</w:t>
            </w:r>
            <w:r>
              <w:rPr>
                <w:rFonts w:hint="default" w:ascii="Times New Roman" w:hAnsi="Times New Roman" w:cs="Times New Roman"/>
                <w:b/>
                <w:color w:val="auto"/>
                <w:sz w:val="20"/>
                <w:u w:color="auto"/>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175.51</w:t>
            </w:r>
            <w:r>
              <w:rPr>
                <w:rFonts w:hint="default" w:ascii="Times New Roman" w:hAnsi="Times New Roman" w:cs="Times New Roman"/>
                <w:b/>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3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11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42.25</w:t>
            </w:r>
            <w:r>
              <w:rPr>
                <w:rFonts w:hint="default" w:ascii="Times New Roman" w:hAnsi="Times New Roman" w:cs="Times New Roman"/>
                <w:color w:val="auto"/>
                <w:sz w:val="20"/>
                <w:u w:color="auto"/>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42.25</w:t>
            </w:r>
            <w:r>
              <w:rPr>
                <w:rFonts w:hint="default" w:ascii="Times New Roman" w:hAnsi="Times New Roman" w:cs="Times New Roman"/>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3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11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62.00</w:t>
            </w:r>
            <w:r>
              <w:rPr>
                <w:rFonts w:hint="default" w:ascii="Times New Roman" w:hAnsi="Times New Roman" w:cs="Times New Roman"/>
                <w:color w:val="auto"/>
                <w:sz w:val="20"/>
                <w:u w:color="auto"/>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62.00</w:t>
            </w:r>
            <w:r>
              <w:rPr>
                <w:rFonts w:hint="default" w:ascii="Times New Roman" w:hAnsi="Times New Roman" w:cs="Times New Roman"/>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2080599</w:t>
            </w:r>
          </w:p>
        </w:tc>
        <w:tc>
          <w:tcPr>
            <w:tcW w:w="3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其他行政事业单位养老支出</w:t>
            </w:r>
          </w:p>
        </w:tc>
        <w:tc>
          <w:tcPr>
            <w:tcW w:w="11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71.26</w:t>
            </w:r>
            <w:r>
              <w:rPr>
                <w:rFonts w:hint="default" w:ascii="Times New Roman" w:hAnsi="Times New Roman" w:cs="Times New Roman"/>
                <w:color w:val="auto"/>
                <w:sz w:val="20"/>
                <w:u w:color="auto"/>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71.26</w:t>
            </w:r>
            <w:r>
              <w:rPr>
                <w:rFonts w:hint="default" w:ascii="Times New Roman" w:hAnsi="Times New Roman" w:cs="Times New Roman"/>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3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11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31.62</w:t>
            </w:r>
            <w:r>
              <w:rPr>
                <w:rFonts w:hint="default" w:ascii="Times New Roman" w:hAnsi="Times New Roman" w:cs="Times New Roman"/>
                <w:b/>
                <w:color w:val="auto"/>
                <w:sz w:val="20"/>
                <w:u w:color="auto"/>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31.62</w:t>
            </w:r>
            <w:r>
              <w:rPr>
                <w:rFonts w:hint="default" w:ascii="Times New Roman" w:hAnsi="Times New Roman" w:cs="Times New Roman"/>
                <w:b/>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3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11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31.62</w:t>
            </w:r>
            <w:r>
              <w:rPr>
                <w:rFonts w:hint="default" w:ascii="Times New Roman" w:hAnsi="Times New Roman" w:cs="Times New Roman"/>
                <w:b/>
                <w:color w:val="auto"/>
                <w:sz w:val="20"/>
                <w:u w:color="auto"/>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31.62</w:t>
            </w:r>
            <w:r>
              <w:rPr>
                <w:rFonts w:hint="default" w:ascii="Times New Roman" w:hAnsi="Times New Roman" w:cs="Times New Roman"/>
                <w:b/>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3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11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22.38</w:t>
            </w:r>
            <w:r>
              <w:rPr>
                <w:rFonts w:hint="default" w:ascii="Times New Roman" w:hAnsi="Times New Roman" w:cs="Times New Roman"/>
                <w:color w:val="auto"/>
                <w:sz w:val="20"/>
                <w:u w:color="auto"/>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22.38</w:t>
            </w:r>
            <w:r>
              <w:rPr>
                <w:rFonts w:hint="default" w:ascii="Times New Roman" w:hAnsi="Times New Roman" w:cs="Times New Roman"/>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2101199</w:t>
            </w:r>
          </w:p>
        </w:tc>
        <w:tc>
          <w:tcPr>
            <w:tcW w:w="3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其他行政事业单位医疗支出</w:t>
            </w:r>
          </w:p>
        </w:tc>
        <w:tc>
          <w:tcPr>
            <w:tcW w:w="11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9.23</w:t>
            </w:r>
            <w:r>
              <w:rPr>
                <w:rFonts w:hint="default" w:ascii="Times New Roman" w:hAnsi="Times New Roman" w:cs="Times New Roman"/>
                <w:color w:val="auto"/>
                <w:sz w:val="20"/>
                <w:u w:color="auto"/>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9.23</w:t>
            </w:r>
            <w:r>
              <w:rPr>
                <w:rFonts w:hint="default" w:ascii="Times New Roman" w:hAnsi="Times New Roman" w:cs="Times New Roman"/>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w:t>
            </w:r>
          </w:p>
        </w:tc>
        <w:tc>
          <w:tcPr>
            <w:tcW w:w="3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农林水支出</w:t>
            </w:r>
          </w:p>
        </w:tc>
        <w:tc>
          <w:tcPr>
            <w:tcW w:w="11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662.60</w:t>
            </w:r>
            <w:r>
              <w:rPr>
                <w:rFonts w:hint="default" w:ascii="Times New Roman" w:hAnsi="Times New Roman" w:cs="Times New Roman"/>
                <w:b/>
                <w:color w:val="auto"/>
                <w:sz w:val="20"/>
                <w:u w:color="auto"/>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662.60</w:t>
            </w:r>
            <w:r>
              <w:rPr>
                <w:rFonts w:hint="default" w:ascii="Times New Roman" w:hAnsi="Times New Roman" w:cs="Times New Roman"/>
                <w:b/>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21301</w:t>
            </w:r>
          </w:p>
        </w:tc>
        <w:tc>
          <w:tcPr>
            <w:tcW w:w="3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农业农村</w:t>
            </w:r>
          </w:p>
        </w:tc>
        <w:tc>
          <w:tcPr>
            <w:tcW w:w="11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662.60</w:t>
            </w:r>
            <w:r>
              <w:rPr>
                <w:rFonts w:hint="default" w:ascii="Times New Roman" w:hAnsi="Times New Roman" w:cs="Times New Roman"/>
                <w:b/>
                <w:color w:val="auto"/>
                <w:sz w:val="20"/>
                <w:u w:color="auto"/>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662.60</w:t>
            </w:r>
            <w:r>
              <w:rPr>
                <w:rFonts w:hint="default" w:ascii="Times New Roman" w:hAnsi="Times New Roman" w:cs="Times New Roman"/>
                <w:b/>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2130104</w:t>
            </w:r>
          </w:p>
        </w:tc>
        <w:tc>
          <w:tcPr>
            <w:tcW w:w="3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11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662.60</w:t>
            </w:r>
            <w:r>
              <w:rPr>
                <w:rFonts w:hint="default" w:ascii="Times New Roman" w:hAnsi="Times New Roman" w:cs="Times New Roman"/>
                <w:color w:val="auto"/>
                <w:sz w:val="20"/>
                <w:u w:color="auto"/>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662.60</w:t>
            </w:r>
            <w:r>
              <w:rPr>
                <w:rFonts w:hint="default" w:ascii="Times New Roman" w:hAnsi="Times New Roman" w:cs="Times New Roman"/>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3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11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37.30</w:t>
            </w:r>
            <w:r>
              <w:rPr>
                <w:rFonts w:hint="default" w:ascii="Times New Roman" w:hAnsi="Times New Roman" w:cs="Times New Roman"/>
                <w:b/>
                <w:color w:val="auto"/>
                <w:sz w:val="20"/>
                <w:u w:color="auto"/>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37.30</w:t>
            </w:r>
            <w:r>
              <w:rPr>
                <w:rFonts w:hint="default" w:ascii="Times New Roman" w:hAnsi="Times New Roman" w:cs="Times New Roman"/>
                <w:b/>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3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11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37.30</w:t>
            </w:r>
            <w:r>
              <w:rPr>
                <w:rFonts w:hint="default" w:ascii="Times New Roman" w:hAnsi="Times New Roman" w:cs="Times New Roman"/>
                <w:b/>
                <w:color w:val="auto"/>
                <w:sz w:val="20"/>
                <w:u w:color="auto"/>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37.30</w:t>
            </w:r>
            <w:r>
              <w:rPr>
                <w:rFonts w:hint="default" w:ascii="Times New Roman" w:hAnsi="Times New Roman" w:cs="Times New Roman"/>
                <w:b/>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3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11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37.30</w:t>
            </w:r>
            <w:r>
              <w:rPr>
                <w:rFonts w:hint="default" w:ascii="Times New Roman" w:hAnsi="Times New Roman" w:cs="Times New Roman"/>
                <w:color w:val="auto"/>
                <w:sz w:val="20"/>
                <w:u w:color="auto"/>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37.30</w:t>
            </w:r>
            <w:r>
              <w:rPr>
                <w:rFonts w:hint="default" w:ascii="Times New Roman" w:hAnsi="Times New Roman" w:cs="Times New Roman"/>
                <w:color w:val="auto"/>
                <w:sz w:val="20"/>
                <w:u w:color="auto"/>
              </w:rPr>
              <w:t xml:space="preserve"> </w:t>
            </w:r>
          </w:p>
        </w:tc>
        <w:tc>
          <w:tcPr>
            <w:tcW w:w="19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备注：1.本表反映单位本年度一般公共预算财政拨款支出情况。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E/>
        <w:autoSpaceDN/>
        <w:bidi w:val="0"/>
        <w:adjustRightInd/>
        <w:snapToGrid/>
        <w:spacing w:beforeAutospacing="0" w:line="360" w:lineRule="exact"/>
        <w:ind w:firstLine="630" w:firstLineChars="3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8"/>
        <w:tblW w:w="8876" w:type="dxa"/>
        <w:tblInd w:w="0" w:type="dxa"/>
        <w:shd w:val="clear" w:color="auto" w:fill="auto"/>
        <w:tblLayout w:type="fixed"/>
        <w:tblCellMar>
          <w:top w:w="0" w:type="dxa"/>
          <w:left w:w="0" w:type="dxa"/>
          <w:bottom w:w="0" w:type="dxa"/>
          <w:right w:w="0" w:type="dxa"/>
        </w:tblCellMar>
      </w:tblPr>
      <w:tblGrid>
        <w:gridCol w:w="768"/>
        <w:gridCol w:w="1309"/>
        <w:gridCol w:w="651"/>
        <w:gridCol w:w="781"/>
        <w:gridCol w:w="1773"/>
        <w:gridCol w:w="540"/>
        <w:gridCol w:w="796"/>
        <w:gridCol w:w="1636"/>
        <w:gridCol w:w="622"/>
      </w:tblGrid>
      <w:tr>
        <w:tblPrEx>
          <w:shd w:val="clear" w:color="auto" w:fill="auto"/>
          <w:tblLayout w:type="fixed"/>
          <w:tblCellMar>
            <w:top w:w="0" w:type="dxa"/>
            <w:left w:w="0" w:type="dxa"/>
            <w:bottom w:w="0" w:type="dxa"/>
            <w:right w:w="0" w:type="dxa"/>
          </w:tblCellMar>
        </w:tblPrEx>
        <w:trPr>
          <w:trHeight w:val="90" w:hRule="atLeast"/>
        </w:trPr>
        <w:tc>
          <w:tcPr>
            <w:tcW w:w="8876"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2077" w:type="dxa"/>
            <w:gridSpan w:val="2"/>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65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78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177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54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79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2258"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公开06表</w:t>
            </w:r>
          </w:p>
        </w:tc>
      </w:tr>
      <w:tr>
        <w:tblPrEx>
          <w:tblLayout w:type="fixed"/>
          <w:tblCellMar>
            <w:top w:w="0" w:type="dxa"/>
            <w:left w:w="0" w:type="dxa"/>
            <w:bottom w:w="0" w:type="dxa"/>
            <w:right w:w="0" w:type="dxa"/>
          </w:tblCellMar>
        </w:tblPrEx>
        <w:trPr>
          <w:trHeight w:val="90" w:hRule="atLeast"/>
        </w:trPr>
        <w:tc>
          <w:tcPr>
            <w:tcW w:w="5282" w:type="dxa"/>
            <w:gridSpan w:val="5"/>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重庆市荣昌区广顺街道农业服务中心</w:t>
            </w:r>
          </w:p>
        </w:tc>
        <w:tc>
          <w:tcPr>
            <w:tcW w:w="54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79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2258"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27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w:t>
            </w:r>
          </w:p>
        </w:tc>
        <w:tc>
          <w:tcPr>
            <w:tcW w:w="6148"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w:t>
            </w:r>
          </w:p>
        </w:tc>
      </w:tr>
      <w:tr>
        <w:tblPrEx>
          <w:tblLayout w:type="fixed"/>
          <w:tblCellMar>
            <w:top w:w="0" w:type="dxa"/>
            <w:left w:w="0" w:type="dxa"/>
            <w:bottom w:w="0" w:type="dxa"/>
            <w:right w:w="0" w:type="dxa"/>
          </w:tblCellMar>
        </w:tblPrEx>
        <w:trPr>
          <w:trHeight w:val="312" w:hRule="atLeast"/>
        </w:trPr>
        <w:tc>
          <w:tcPr>
            <w:tcW w:w="76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13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6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78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17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7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163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6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r>
      <w:tr>
        <w:tblPrEx>
          <w:tblLayout w:type="fixed"/>
          <w:tblCellMar>
            <w:top w:w="0" w:type="dxa"/>
            <w:left w:w="0" w:type="dxa"/>
            <w:bottom w:w="0" w:type="dxa"/>
            <w:right w:w="0" w:type="dxa"/>
          </w:tblCellMar>
        </w:tblPrEx>
        <w:trPr>
          <w:trHeight w:val="312" w:hRule="atLeast"/>
        </w:trPr>
        <w:tc>
          <w:tcPr>
            <w:tcW w:w="76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18"/>
                <w:szCs w:val="18"/>
              </w:rPr>
            </w:pPr>
          </w:p>
        </w:tc>
        <w:tc>
          <w:tcPr>
            <w:tcW w:w="13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18"/>
                <w:szCs w:val="18"/>
              </w:rPr>
            </w:pPr>
          </w:p>
        </w:tc>
        <w:tc>
          <w:tcPr>
            <w:tcW w:w="6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18"/>
                <w:szCs w:val="18"/>
              </w:rPr>
            </w:pPr>
          </w:p>
        </w:tc>
        <w:tc>
          <w:tcPr>
            <w:tcW w:w="78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18"/>
                <w:szCs w:val="18"/>
              </w:rPr>
            </w:pPr>
          </w:p>
        </w:tc>
        <w:tc>
          <w:tcPr>
            <w:tcW w:w="17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18"/>
                <w:szCs w:val="18"/>
              </w:rPr>
            </w:pPr>
          </w:p>
        </w:tc>
        <w:tc>
          <w:tcPr>
            <w:tcW w:w="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18"/>
                <w:szCs w:val="18"/>
              </w:rPr>
            </w:pPr>
          </w:p>
        </w:tc>
        <w:tc>
          <w:tcPr>
            <w:tcW w:w="7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18"/>
                <w:szCs w:val="18"/>
              </w:rPr>
            </w:pPr>
          </w:p>
        </w:tc>
        <w:tc>
          <w:tcPr>
            <w:tcW w:w="163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18"/>
                <w:szCs w:val="18"/>
              </w:rPr>
            </w:pPr>
          </w:p>
        </w:tc>
        <w:tc>
          <w:tcPr>
            <w:tcW w:w="6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18"/>
                <w:szCs w:val="18"/>
              </w:rPr>
            </w:pPr>
          </w:p>
        </w:tc>
      </w:tr>
      <w:tr>
        <w:tblPrEx>
          <w:tblLayout w:type="fixed"/>
          <w:tblCellMar>
            <w:top w:w="0" w:type="dxa"/>
            <w:left w:w="0" w:type="dxa"/>
            <w:bottom w:w="0" w:type="dxa"/>
            <w:right w:w="0"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工资福利支出</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720.15</w:t>
            </w:r>
            <w:r>
              <w:rPr>
                <w:rFonts w:hint="default" w:ascii="Times New Roman" w:hAnsi="Times New Roman" w:cs="Times New Roman"/>
                <w:color w:val="auto"/>
                <w:sz w:val="18"/>
                <w:u w:color="auto"/>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商品和服务支出</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120.02</w:t>
            </w:r>
            <w:r>
              <w:rPr>
                <w:rFonts w:hint="default" w:ascii="Times New Roman" w:hAnsi="Times New Roman" w:cs="Times New Roman"/>
                <w:color w:val="auto"/>
                <w:sz w:val="18"/>
                <w:u w:color="auto"/>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资本性支出</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30101</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基本工资</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154.40</w:t>
            </w:r>
            <w:r>
              <w:rPr>
                <w:rFonts w:hint="default" w:ascii="Times New Roman" w:hAnsi="Times New Roman" w:cs="Times New Roman"/>
                <w:color w:val="auto"/>
                <w:sz w:val="18"/>
                <w:u w:color="auto"/>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30201</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办公费</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1.28</w:t>
            </w:r>
            <w:r>
              <w:rPr>
                <w:rFonts w:hint="default" w:ascii="Times New Roman" w:hAnsi="Times New Roman" w:cs="Times New Roman"/>
                <w:color w:val="auto"/>
                <w:sz w:val="18"/>
                <w:u w:color="auto"/>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31001</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房屋建筑物购建</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30102</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津贴补贴</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8.76</w:t>
            </w:r>
            <w:r>
              <w:rPr>
                <w:rFonts w:hint="default" w:ascii="Times New Roman" w:hAnsi="Times New Roman" w:cs="Times New Roman"/>
                <w:color w:val="auto"/>
                <w:sz w:val="18"/>
                <w:u w:color="auto"/>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30202</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印刷费</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31002</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办公设备购置</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30103</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奖金</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30203</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咨询费</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31003</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专用设备购置</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30106</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伙食补助费</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30204</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手续费</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31005</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基础设施建设</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30107</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绩效工资</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375.47</w:t>
            </w:r>
            <w:r>
              <w:rPr>
                <w:rFonts w:hint="default" w:ascii="Times New Roman" w:hAnsi="Times New Roman" w:cs="Times New Roman"/>
                <w:color w:val="auto"/>
                <w:sz w:val="18"/>
                <w:u w:color="auto"/>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30205</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水费</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0.14</w:t>
            </w:r>
            <w:r>
              <w:rPr>
                <w:rFonts w:hint="default" w:ascii="Times New Roman" w:hAnsi="Times New Roman" w:cs="Times New Roman"/>
                <w:color w:val="auto"/>
                <w:sz w:val="18"/>
                <w:u w:color="auto"/>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31006</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大型修缮</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30108</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机关事业单位基本养老保险缴费</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42.25</w:t>
            </w:r>
            <w:r>
              <w:rPr>
                <w:rFonts w:hint="default" w:ascii="Times New Roman" w:hAnsi="Times New Roman" w:cs="Times New Roman"/>
                <w:color w:val="auto"/>
                <w:sz w:val="18"/>
                <w:u w:color="auto"/>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30206</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电费</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0.57</w:t>
            </w:r>
            <w:r>
              <w:rPr>
                <w:rFonts w:hint="default" w:ascii="Times New Roman" w:hAnsi="Times New Roman" w:cs="Times New Roman"/>
                <w:color w:val="auto"/>
                <w:sz w:val="18"/>
                <w:u w:color="auto"/>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31007</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信息网络及软件购置更新</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30109</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职业年金缴费</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62.00</w:t>
            </w:r>
            <w:r>
              <w:rPr>
                <w:rFonts w:hint="default" w:ascii="Times New Roman" w:hAnsi="Times New Roman" w:cs="Times New Roman"/>
                <w:color w:val="auto"/>
                <w:sz w:val="18"/>
                <w:u w:color="auto"/>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30207</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邮电费</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31008</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物资储备</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职工基本医疗保险缴费</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22.38</w:t>
            </w:r>
            <w:r>
              <w:rPr>
                <w:rFonts w:hint="default" w:ascii="Times New Roman" w:hAnsi="Times New Roman" w:cs="Times New Roman"/>
                <w:color w:val="auto"/>
                <w:sz w:val="18"/>
                <w:u w:color="auto"/>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30208</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取暖费</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31009</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土地补偿</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30111</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公务员医疗补助缴费</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30209</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物业管理费</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31010</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安置补助</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30112</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其他社会保障缴费</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6.00</w:t>
            </w:r>
            <w:r>
              <w:rPr>
                <w:rFonts w:hint="default" w:ascii="Times New Roman" w:hAnsi="Times New Roman" w:cs="Times New Roman"/>
                <w:color w:val="auto"/>
                <w:sz w:val="18"/>
                <w:u w:color="auto"/>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30211</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差旅费</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1.06</w:t>
            </w:r>
            <w:r>
              <w:rPr>
                <w:rFonts w:hint="default" w:ascii="Times New Roman" w:hAnsi="Times New Roman" w:cs="Times New Roman"/>
                <w:color w:val="auto"/>
                <w:sz w:val="18"/>
                <w:u w:color="auto"/>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31011</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地上附着物和青苗补偿</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30113</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住房公积金</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37.30</w:t>
            </w:r>
            <w:r>
              <w:rPr>
                <w:rFonts w:hint="default" w:ascii="Times New Roman" w:hAnsi="Times New Roman" w:cs="Times New Roman"/>
                <w:color w:val="auto"/>
                <w:sz w:val="18"/>
                <w:u w:color="auto"/>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30212</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因公出国（境）费用</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31012</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拆迁补偿</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30114</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医疗费</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5.28</w:t>
            </w:r>
            <w:r>
              <w:rPr>
                <w:rFonts w:hint="default" w:ascii="Times New Roman" w:hAnsi="Times New Roman" w:cs="Times New Roman"/>
                <w:color w:val="auto"/>
                <w:sz w:val="18"/>
                <w:u w:color="auto"/>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30213</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维修（护）费</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5.71</w:t>
            </w:r>
            <w:r>
              <w:rPr>
                <w:rFonts w:hint="default" w:ascii="Times New Roman" w:hAnsi="Times New Roman" w:cs="Times New Roman"/>
                <w:color w:val="auto"/>
                <w:sz w:val="18"/>
                <w:u w:color="auto"/>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31013</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公务用车购置</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30199</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其他工资福利支出</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6.31</w:t>
            </w:r>
            <w:r>
              <w:rPr>
                <w:rFonts w:hint="default" w:ascii="Times New Roman" w:hAnsi="Times New Roman" w:cs="Times New Roman"/>
                <w:color w:val="auto"/>
                <w:sz w:val="18"/>
                <w:u w:color="auto"/>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30214</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租赁费</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0.99</w:t>
            </w:r>
            <w:r>
              <w:rPr>
                <w:rFonts w:hint="default" w:ascii="Times New Roman" w:hAnsi="Times New Roman" w:cs="Times New Roman"/>
                <w:color w:val="auto"/>
                <w:sz w:val="18"/>
                <w:u w:color="auto"/>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31019</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其他交通工具购置</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对个人和家庭的补助</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66.85</w:t>
            </w:r>
            <w:r>
              <w:rPr>
                <w:rFonts w:hint="default" w:ascii="Times New Roman" w:hAnsi="Times New Roman" w:cs="Times New Roman"/>
                <w:color w:val="auto"/>
                <w:sz w:val="18"/>
                <w:u w:color="auto"/>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30215</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会议费</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0.30</w:t>
            </w:r>
            <w:r>
              <w:rPr>
                <w:rFonts w:hint="default" w:ascii="Times New Roman" w:hAnsi="Times New Roman" w:cs="Times New Roman"/>
                <w:color w:val="auto"/>
                <w:sz w:val="18"/>
                <w:u w:color="auto"/>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31021</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文物和陈列品购置</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30301</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离休费</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30216</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培训费</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4.53</w:t>
            </w:r>
            <w:r>
              <w:rPr>
                <w:rFonts w:hint="default" w:ascii="Times New Roman" w:hAnsi="Times New Roman" w:cs="Times New Roman"/>
                <w:color w:val="auto"/>
                <w:sz w:val="18"/>
                <w:u w:color="auto"/>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31022</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无形资产购置</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30302</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退休费</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30217</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公务接待费</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1.74</w:t>
            </w:r>
            <w:r>
              <w:rPr>
                <w:rFonts w:hint="default" w:ascii="Times New Roman" w:hAnsi="Times New Roman" w:cs="Times New Roman"/>
                <w:color w:val="auto"/>
                <w:sz w:val="18"/>
                <w:u w:color="auto"/>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31099</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其他资本性支出</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30303</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退职（役）费</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30218</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专用材料费</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对企业补助</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30304</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抚恤金</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30224</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被装购置费</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31201</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资本金注入</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30305</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生活补助</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58.25</w:t>
            </w:r>
            <w:r>
              <w:rPr>
                <w:rFonts w:hint="default" w:ascii="Times New Roman" w:hAnsi="Times New Roman" w:cs="Times New Roman"/>
                <w:color w:val="auto"/>
                <w:sz w:val="18"/>
                <w:u w:color="auto"/>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30225</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专用燃料费</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31203</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政府投资基金股权投资</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30306</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救济费</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30226</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劳务费</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14.29</w:t>
            </w:r>
            <w:r>
              <w:rPr>
                <w:rFonts w:hint="default" w:ascii="Times New Roman" w:hAnsi="Times New Roman" w:cs="Times New Roman"/>
                <w:color w:val="auto"/>
                <w:sz w:val="18"/>
                <w:u w:color="auto"/>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31204</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费用补贴</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30307</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医疗费补助</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4.20</w:t>
            </w:r>
            <w:r>
              <w:rPr>
                <w:rFonts w:hint="default" w:ascii="Times New Roman" w:hAnsi="Times New Roman" w:cs="Times New Roman"/>
                <w:color w:val="auto"/>
                <w:sz w:val="18"/>
                <w:u w:color="auto"/>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30227</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委托业务费</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31205</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利息补贴</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30308</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助学金</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30228</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工会经费</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63.62</w:t>
            </w:r>
            <w:r>
              <w:rPr>
                <w:rFonts w:hint="default" w:ascii="Times New Roman" w:hAnsi="Times New Roman" w:cs="Times New Roman"/>
                <w:color w:val="auto"/>
                <w:sz w:val="18"/>
                <w:u w:color="auto"/>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31299</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其他对企业补助</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30309</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奖励金</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4.40</w:t>
            </w:r>
            <w:r>
              <w:rPr>
                <w:rFonts w:hint="default" w:ascii="Times New Roman" w:hAnsi="Times New Roman" w:cs="Times New Roman"/>
                <w:color w:val="auto"/>
                <w:sz w:val="18"/>
                <w:u w:color="auto"/>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30229</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福利费</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0.17</w:t>
            </w:r>
            <w:r>
              <w:rPr>
                <w:rFonts w:hint="default" w:ascii="Times New Roman" w:hAnsi="Times New Roman" w:cs="Times New Roman"/>
                <w:color w:val="auto"/>
                <w:sz w:val="18"/>
                <w:u w:color="auto"/>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其他支出</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个人农业生产补贴</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30231</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公务用车运行维护费</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39907</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国家赔偿费用支出</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30311</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代缴社会保险费</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30239</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其他交通费用</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39908</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对民间非营利组织和群众性自治组织补贴</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30399</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其他对个人和家庭的补助</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30240</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税金及附加费用</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39909</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经常性赠与</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30299</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其他商品和服务支出</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25.62</w:t>
            </w:r>
            <w:r>
              <w:rPr>
                <w:rFonts w:hint="default" w:ascii="Times New Roman" w:hAnsi="Times New Roman" w:cs="Times New Roman"/>
                <w:color w:val="auto"/>
                <w:sz w:val="18"/>
                <w:u w:color="auto"/>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39910</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资本性赠与</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债务利息及费用支出</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39999</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其他支出</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30701</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国内债务付息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30702</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国外债务付息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30703</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国内债务发行费用</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30704</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国外债务发行费用</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18"/>
                <w:szCs w:val="18"/>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555" w:hRule="atLeast"/>
        </w:trPr>
        <w:tc>
          <w:tcPr>
            <w:tcW w:w="2077"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人员经费合计</w:t>
            </w:r>
          </w:p>
        </w:tc>
        <w:tc>
          <w:tcPr>
            <w:tcW w:w="6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787.01</w:t>
            </w:r>
            <w:r>
              <w:rPr>
                <w:rFonts w:hint="default" w:ascii="Times New Roman" w:hAnsi="Times New Roman" w:cs="Times New Roman"/>
                <w:color w:val="auto"/>
                <w:sz w:val="18"/>
                <w:u w:color="auto"/>
              </w:rPr>
              <w:t xml:space="preserve"> </w:t>
            </w:r>
          </w:p>
        </w:tc>
        <w:tc>
          <w:tcPr>
            <w:tcW w:w="5526"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公用经费合计</w:t>
            </w:r>
          </w:p>
        </w:tc>
        <w:tc>
          <w:tcPr>
            <w:tcW w:w="6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120.02</w:t>
            </w:r>
            <w:r>
              <w:rPr>
                <w:rFonts w:hint="default" w:ascii="Times New Roman" w:hAnsi="Times New Roman" w:cs="Times New Roman"/>
                <w:color w:val="auto"/>
                <w:sz w:val="18"/>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备注：1.本表反映单位本年度一般公共预算财政拨款基本支出明细情况。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8"/>
        <w:tblW w:w="8876" w:type="dxa"/>
        <w:tblInd w:w="0" w:type="dxa"/>
        <w:shd w:val="clear" w:color="auto" w:fill="auto"/>
        <w:tblLayout w:type="fixed"/>
        <w:tblCellMar>
          <w:top w:w="0" w:type="dxa"/>
          <w:left w:w="0" w:type="dxa"/>
          <w:bottom w:w="0" w:type="dxa"/>
          <w:right w:w="0" w:type="dxa"/>
        </w:tblCellMar>
      </w:tblPr>
      <w:tblGrid>
        <w:gridCol w:w="1070"/>
        <w:gridCol w:w="1782"/>
        <w:gridCol w:w="986"/>
        <w:gridCol w:w="985"/>
        <w:gridCol w:w="985"/>
        <w:gridCol w:w="986"/>
        <w:gridCol w:w="1022"/>
        <w:gridCol w:w="1060"/>
      </w:tblGrid>
      <w:tr>
        <w:tblPrEx>
          <w:shd w:val="clear" w:color="auto" w:fill="auto"/>
          <w:tblLayout w:type="fixed"/>
          <w:tblCellMar>
            <w:top w:w="0" w:type="dxa"/>
            <w:left w:w="0" w:type="dxa"/>
            <w:bottom w:w="0" w:type="dxa"/>
            <w:right w:w="0" w:type="dxa"/>
          </w:tblCellMar>
        </w:tblPrEx>
        <w:trPr>
          <w:trHeight w:val="644" w:hRule="atLeast"/>
        </w:trPr>
        <w:tc>
          <w:tcPr>
            <w:tcW w:w="8876"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2852" w:type="dxa"/>
            <w:gridSpan w:val="2"/>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98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98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98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98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102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106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公开07表</w:t>
            </w:r>
          </w:p>
        </w:tc>
      </w:tr>
      <w:tr>
        <w:tblPrEx>
          <w:tblLayout w:type="fixed"/>
          <w:tblCellMar>
            <w:top w:w="0" w:type="dxa"/>
            <w:left w:w="0" w:type="dxa"/>
            <w:bottom w:w="0" w:type="dxa"/>
            <w:right w:w="0" w:type="dxa"/>
          </w:tblCellMar>
        </w:tblPrEx>
        <w:trPr>
          <w:trHeight w:val="329" w:hRule="atLeast"/>
        </w:trPr>
        <w:tc>
          <w:tcPr>
            <w:tcW w:w="5808" w:type="dxa"/>
            <w:gridSpan w:val="5"/>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重庆市荣昌区广顺街道农业服务中心</w:t>
            </w:r>
          </w:p>
        </w:tc>
        <w:tc>
          <w:tcPr>
            <w:tcW w:w="98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102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106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339" w:hRule="atLeast"/>
        </w:trPr>
        <w:tc>
          <w:tcPr>
            <w:tcW w:w="2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98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年初结转和结余</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w:t>
            </w:r>
          </w:p>
        </w:tc>
        <w:tc>
          <w:tcPr>
            <w:tcW w:w="299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年末结转和结余</w:t>
            </w:r>
          </w:p>
        </w:tc>
      </w:tr>
      <w:tr>
        <w:tblPrEx>
          <w:tblLayout w:type="fixed"/>
          <w:tblCellMar>
            <w:top w:w="0" w:type="dxa"/>
            <w:left w:w="0" w:type="dxa"/>
            <w:bottom w:w="0" w:type="dxa"/>
            <w:right w:w="0" w:type="dxa"/>
          </w:tblCellMar>
        </w:tblPrEx>
        <w:trPr>
          <w:trHeight w:val="335" w:hRule="atLeast"/>
        </w:trPr>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7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9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98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98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0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5"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9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9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9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10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645"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9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9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9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10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9" w:hRule="atLeast"/>
        </w:trPr>
        <w:tc>
          <w:tcPr>
            <w:tcW w:w="285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9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9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8"/>
        <w:tblW w:w="8876" w:type="dxa"/>
        <w:tblInd w:w="0" w:type="dxa"/>
        <w:shd w:val="clear" w:color="auto" w:fill="auto"/>
        <w:tblLayout w:type="fixed"/>
        <w:tblCellMar>
          <w:top w:w="0" w:type="dxa"/>
          <w:left w:w="0" w:type="dxa"/>
          <w:bottom w:w="0" w:type="dxa"/>
          <w:right w:w="0" w:type="dxa"/>
        </w:tblCellMar>
      </w:tblPr>
      <w:tblGrid>
        <w:gridCol w:w="1086"/>
        <w:gridCol w:w="1766"/>
        <w:gridCol w:w="1891"/>
        <w:gridCol w:w="116"/>
        <w:gridCol w:w="2005"/>
        <w:gridCol w:w="45"/>
        <w:gridCol w:w="1967"/>
      </w:tblGrid>
      <w:tr>
        <w:tblPrEx>
          <w:tblLayout w:type="fixed"/>
          <w:tblCellMar>
            <w:top w:w="0" w:type="dxa"/>
            <w:left w:w="0" w:type="dxa"/>
            <w:bottom w:w="0" w:type="dxa"/>
            <w:right w:w="0" w:type="dxa"/>
          </w:tblCellMar>
        </w:tblPrEx>
        <w:trPr>
          <w:trHeight w:val="650" w:hRule="atLeast"/>
        </w:trPr>
        <w:tc>
          <w:tcPr>
            <w:tcW w:w="8876"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2852" w:type="dxa"/>
            <w:gridSpan w:val="2"/>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189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2166"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196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公开08表</w:t>
            </w:r>
          </w:p>
        </w:tc>
      </w:tr>
      <w:tr>
        <w:tblPrEx>
          <w:tblLayout w:type="fixed"/>
          <w:tblCellMar>
            <w:top w:w="0" w:type="dxa"/>
            <w:left w:w="0" w:type="dxa"/>
            <w:bottom w:w="0" w:type="dxa"/>
            <w:right w:w="0" w:type="dxa"/>
          </w:tblCellMar>
        </w:tblPrEx>
        <w:trPr>
          <w:trHeight w:val="332" w:hRule="atLeast"/>
        </w:trPr>
        <w:tc>
          <w:tcPr>
            <w:tcW w:w="6909" w:type="dxa"/>
            <w:gridSpan w:val="6"/>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重庆市荣昌区广顺街道农业服务中心</w:t>
            </w:r>
          </w:p>
        </w:tc>
        <w:tc>
          <w:tcPr>
            <w:tcW w:w="196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422" w:hRule="atLeast"/>
        </w:trPr>
        <w:tc>
          <w:tcPr>
            <w:tcW w:w="2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602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tblPrEx>
          <w:tblLayout w:type="fixed"/>
          <w:tblCellMar>
            <w:top w:w="0" w:type="dxa"/>
            <w:left w:w="0" w:type="dxa"/>
            <w:bottom w:w="0" w:type="dxa"/>
            <w:right w:w="0" w:type="dxa"/>
          </w:tblCellMar>
        </w:tblPrEx>
        <w:trPr>
          <w:trHeight w:val="339" w:hRule="atLeast"/>
        </w:trPr>
        <w:tc>
          <w:tcPr>
            <w:tcW w:w="10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76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科目名称</w:t>
            </w:r>
          </w:p>
        </w:tc>
        <w:tc>
          <w:tcPr>
            <w:tcW w:w="2007"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20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2012"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tblPrEx>
          <w:tblLayout w:type="fixed"/>
          <w:tblCellMar>
            <w:top w:w="0" w:type="dxa"/>
            <w:left w:w="0" w:type="dxa"/>
            <w:bottom w:w="0" w:type="dxa"/>
            <w:right w:w="0" w:type="dxa"/>
          </w:tblCellMar>
        </w:tblPrEx>
        <w:trPr>
          <w:trHeight w:val="339" w:hRule="atLeast"/>
        </w:trPr>
        <w:tc>
          <w:tcPr>
            <w:tcW w:w="10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176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2007"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20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201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9" w:hRule="atLeast"/>
        </w:trPr>
        <w:tc>
          <w:tcPr>
            <w:tcW w:w="10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176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2007"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20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201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26" w:hRule="atLeast"/>
        </w:trPr>
        <w:tc>
          <w:tcPr>
            <w:tcW w:w="10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176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2007"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20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c>
          <w:tcPr>
            <w:tcW w:w="201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611" w:hRule="atLeast"/>
        </w:trPr>
        <w:tc>
          <w:tcPr>
            <w:tcW w:w="2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20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2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b/>
                <w:color w:val="auto"/>
                <w:sz w:val="20"/>
                <w:szCs w:val="20"/>
              </w:rPr>
            </w:pPr>
          </w:p>
        </w:tc>
        <w:tc>
          <w:tcPr>
            <w:tcW w:w="201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备注：本表反映单位本年度国有资本经营预算财政拨款支出情况。本单位无国有资本经营收支，故本表无数据。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8"/>
        <w:tblW w:w="8876" w:type="dxa"/>
        <w:tblInd w:w="0" w:type="dxa"/>
        <w:shd w:val="clear" w:color="auto" w:fill="auto"/>
        <w:tblLayout w:type="fixed"/>
        <w:tblCellMar>
          <w:top w:w="0" w:type="dxa"/>
          <w:left w:w="0" w:type="dxa"/>
          <w:bottom w:w="0" w:type="dxa"/>
          <w:right w:w="0" w:type="dxa"/>
        </w:tblCellMar>
      </w:tblPr>
      <w:tblGrid>
        <w:gridCol w:w="3437"/>
        <w:gridCol w:w="765"/>
        <w:gridCol w:w="754"/>
        <w:gridCol w:w="2741"/>
        <w:gridCol w:w="1179"/>
      </w:tblGrid>
      <w:tr>
        <w:tblPrEx>
          <w:shd w:val="clear" w:color="auto" w:fill="auto"/>
          <w:tblLayout w:type="fixed"/>
          <w:tblCellMar>
            <w:top w:w="0" w:type="dxa"/>
            <w:left w:w="0" w:type="dxa"/>
            <w:bottom w:w="0" w:type="dxa"/>
            <w:right w:w="0" w:type="dxa"/>
          </w:tblCellMar>
        </w:tblPrEx>
        <w:trPr>
          <w:trHeight w:val="175" w:hRule="atLeast"/>
        </w:trPr>
        <w:tc>
          <w:tcPr>
            <w:tcW w:w="8876"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机构运行信息表</w:t>
            </w:r>
          </w:p>
        </w:tc>
      </w:tr>
      <w:tr>
        <w:tblPrEx>
          <w:tblLayout w:type="fixed"/>
          <w:tblCellMar>
            <w:top w:w="0" w:type="dxa"/>
            <w:left w:w="0" w:type="dxa"/>
            <w:bottom w:w="0" w:type="dxa"/>
            <w:right w:w="0" w:type="dxa"/>
          </w:tblCellMar>
        </w:tblPrEx>
        <w:trPr>
          <w:trHeight w:val="175" w:hRule="atLeast"/>
        </w:trPr>
        <w:tc>
          <w:tcPr>
            <w:tcW w:w="343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76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center"/>
              <w:rPr>
                <w:rFonts w:hint="default" w:ascii="Times New Roman" w:hAnsi="Times New Roman" w:cs="Times New Roman"/>
                <w:color w:val="auto"/>
                <w:sz w:val="20"/>
                <w:szCs w:val="20"/>
              </w:rPr>
            </w:pPr>
          </w:p>
        </w:tc>
        <w:tc>
          <w:tcPr>
            <w:tcW w:w="75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20"/>
                <w:szCs w:val="20"/>
              </w:rPr>
            </w:pPr>
          </w:p>
        </w:tc>
        <w:tc>
          <w:tcPr>
            <w:tcW w:w="274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117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公开09表</w:t>
            </w:r>
          </w:p>
        </w:tc>
      </w:tr>
      <w:tr>
        <w:tblPrEx>
          <w:tblLayout w:type="fixed"/>
          <w:tblCellMar>
            <w:top w:w="0" w:type="dxa"/>
            <w:left w:w="0" w:type="dxa"/>
            <w:bottom w:w="0" w:type="dxa"/>
            <w:right w:w="0" w:type="dxa"/>
          </w:tblCellMar>
        </w:tblPrEx>
        <w:trPr>
          <w:trHeight w:val="175" w:hRule="atLeast"/>
        </w:trPr>
        <w:tc>
          <w:tcPr>
            <w:tcW w:w="4956" w:type="dxa"/>
            <w:gridSpan w:val="3"/>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lef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重庆市荣昌区广顺街道农业服务中心</w:t>
            </w:r>
          </w:p>
        </w:tc>
        <w:tc>
          <w:tcPr>
            <w:tcW w:w="2741" w:type="dxa"/>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1179" w:type="dxa"/>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184" w:hRule="atLeast"/>
        </w:trPr>
        <w:tc>
          <w:tcPr>
            <w:tcW w:w="34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  目</w:t>
            </w:r>
          </w:p>
        </w:tc>
        <w:tc>
          <w:tcPr>
            <w:tcW w:w="7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预算数</w:t>
            </w:r>
          </w:p>
        </w:tc>
        <w:tc>
          <w:tcPr>
            <w:tcW w:w="7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c>
          <w:tcPr>
            <w:tcW w:w="27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  目</w:t>
            </w:r>
          </w:p>
        </w:tc>
        <w:tc>
          <w:tcPr>
            <w:tcW w:w="1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r>
      <w:tr>
        <w:tblPrEx>
          <w:tblLayout w:type="fixed"/>
          <w:tblCellMar>
            <w:top w:w="0" w:type="dxa"/>
            <w:left w:w="0" w:type="dxa"/>
            <w:bottom w:w="0" w:type="dxa"/>
            <w:right w:w="0" w:type="dxa"/>
          </w:tblCellMar>
        </w:tblPrEx>
        <w:trPr>
          <w:trHeight w:val="184" w:hRule="atLeast"/>
        </w:trPr>
        <w:tc>
          <w:tcPr>
            <w:tcW w:w="34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一、“三公”经费支出</w:t>
            </w:r>
          </w:p>
        </w:tc>
        <w:tc>
          <w:tcPr>
            <w:tcW w:w="7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7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7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四、机关运行经费</w:t>
            </w:r>
          </w:p>
        </w:tc>
        <w:tc>
          <w:tcPr>
            <w:tcW w:w="1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4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（一）支出合计</w:t>
            </w:r>
          </w:p>
        </w:tc>
        <w:tc>
          <w:tcPr>
            <w:tcW w:w="7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1.74</w:t>
            </w:r>
            <w:r>
              <w:rPr>
                <w:rFonts w:hint="default" w:ascii="Times New Roman" w:hAnsi="Times New Roman" w:cs="Times New Roman"/>
                <w:color w:val="auto"/>
                <w:sz w:val="20"/>
                <w:u w:color="auto"/>
              </w:rPr>
              <w:t xml:space="preserve"> </w:t>
            </w:r>
          </w:p>
        </w:tc>
        <w:tc>
          <w:tcPr>
            <w:tcW w:w="7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1.74</w:t>
            </w:r>
            <w:r>
              <w:rPr>
                <w:rFonts w:hint="default" w:ascii="Times New Roman" w:hAnsi="Times New Roman" w:cs="Times New Roman"/>
                <w:color w:val="auto"/>
                <w:sz w:val="20"/>
                <w:u w:color="auto"/>
              </w:rPr>
              <w:t xml:space="preserve"> </w:t>
            </w:r>
          </w:p>
        </w:tc>
        <w:tc>
          <w:tcPr>
            <w:tcW w:w="27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（一）行政单位</w:t>
            </w:r>
          </w:p>
        </w:tc>
        <w:tc>
          <w:tcPr>
            <w:tcW w:w="1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4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1．因公出国（境）费</w:t>
            </w:r>
          </w:p>
        </w:tc>
        <w:tc>
          <w:tcPr>
            <w:tcW w:w="7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7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（二）参照公务员法管理事业单位</w:t>
            </w:r>
          </w:p>
        </w:tc>
        <w:tc>
          <w:tcPr>
            <w:tcW w:w="1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4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2．公务用车购置及运行维护费</w:t>
            </w:r>
          </w:p>
        </w:tc>
        <w:tc>
          <w:tcPr>
            <w:tcW w:w="7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7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五、资产信息</w:t>
            </w:r>
          </w:p>
        </w:tc>
        <w:tc>
          <w:tcPr>
            <w:tcW w:w="1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r>
      <w:tr>
        <w:tblPrEx>
          <w:tblLayout w:type="fixed"/>
          <w:tblCellMar>
            <w:top w:w="0" w:type="dxa"/>
            <w:left w:w="0" w:type="dxa"/>
            <w:bottom w:w="0" w:type="dxa"/>
            <w:right w:w="0" w:type="dxa"/>
          </w:tblCellMar>
        </w:tblPrEx>
        <w:trPr>
          <w:trHeight w:val="346" w:hRule="atLeast"/>
        </w:trPr>
        <w:tc>
          <w:tcPr>
            <w:tcW w:w="34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（1）公务用车购置费</w:t>
            </w:r>
          </w:p>
        </w:tc>
        <w:tc>
          <w:tcPr>
            <w:tcW w:w="7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7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（一）车辆数合计（辆）</w:t>
            </w:r>
          </w:p>
        </w:tc>
        <w:tc>
          <w:tcPr>
            <w:tcW w:w="1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4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（2）公务用车运行维护费</w:t>
            </w:r>
          </w:p>
        </w:tc>
        <w:tc>
          <w:tcPr>
            <w:tcW w:w="7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7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1．副部（省）级及以上领导用车</w:t>
            </w:r>
          </w:p>
        </w:tc>
        <w:tc>
          <w:tcPr>
            <w:tcW w:w="1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4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3．公务接待费</w:t>
            </w:r>
          </w:p>
        </w:tc>
        <w:tc>
          <w:tcPr>
            <w:tcW w:w="7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1.74</w:t>
            </w:r>
            <w:r>
              <w:rPr>
                <w:rFonts w:hint="default" w:ascii="Times New Roman" w:hAnsi="Times New Roman" w:cs="Times New Roman"/>
                <w:color w:val="auto"/>
                <w:sz w:val="20"/>
                <w:u w:color="auto"/>
              </w:rPr>
              <w:t xml:space="preserve"> </w:t>
            </w:r>
          </w:p>
        </w:tc>
        <w:tc>
          <w:tcPr>
            <w:tcW w:w="7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1.74</w:t>
            </w:r>
            <w:r>
              <w:rPr>
                <w:rFonts w:hint="default" w:ascii="Times New Roman" w:hAnsi="Times New Roman" w:cs="Times New Roman"/>
                <w:color w:val="auto"/>
                <w:sz w:val="20"/>
                <w:u w:color="auto"/>
              </w:rPr>
              <w:t xml:space="preserve"> </w:t>
            </w:r>
          </w:p>
        </w:tc>
        <w:tc>
          <w:tcPr>
            <w:tcW w:w="27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2．主要领导干部用车</w:t>
            </w:r>
          </w:p>
        </w:tc>
        <w:tc>
          <w:tcPr>
            <w:tcW w:w="1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4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（1）国内接待费</w:t>
            </w:r>
          </w:p>
        </w:tc>
        <w:tc>
          <w:tcPr>
            <w:tcW w:w="7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7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1.74</w:t>
            </w:r>
            <w:r>
              <w:rPr>
                <w:rFonts w:hint="default" w:ascii="Times New Roman" w:hAnsi="Times New Roman" w:cs="Times New Roman"/>
                <w:color w:val="auto"/>
                <w:sz w:val="20"/>
                <w:u w:color="auto"/>
              </w:rPr>
              <w:t xml:space="preserve"> </w:t>
            </w:r>
          </w:p>
        </w:tc>
        <w:tc>
          <w:tcPr>
            <w:tcW w:w="27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3．机要通信用车</w:t>
            </w:r>
          </w:p>
        </w:tc>
        <w:tc>
          <w:tcPr>
            <w:tcW w:w="1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4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其中：外事接待费</w:t>
            </w:r>
          </w:p>
        </w:tc>
        <w:tc>
          <w:tcPr>
            <w:tcW w:w="7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7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7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4．应急保障用车</w:t>
            </w:r>
          </w:p>
        </w:tc>
        <w:tc>
          <w:tcPr>
            <w:tcW w:w="1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4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（2）国（境）外接待费</w:t>
            </w:r>
          </w:p>
        </w:tc>
        <w:tc>
          <w:tcPr>
            <w:tcW w:w="7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7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7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5．执法执勤用车</w:t>
            </w:r>
          </w:p>
        </w:tc>
        <w:tc>
          <w:tcPr>
            <w:tcW w:w="1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4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（二）相关统计数</w:t>
            </w:r>
          </w:p>
        </w:tc>
        <w:tc>
          <w:tcPr>
            <w:tcW w:w="7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7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7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6．特种专业技术用车</w:t>
            </w:r>
          </w:p>
        </w:tc>
        <w:tc>
          <w:tcPr>
            <w:tcW w:w="1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4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1．因公出国（境）团组数（个）</w:t>
            </w:r>
          </w:p>
        </w:tc>
        <w:tc>
          <w:tcPr>
            <w:tcW w:w="7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7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7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7．离退休干部用车</w:t>
            </w:r>
          </w:p>
        </w:tc>
        <w:tc>
          <w:tcPr>
            <w:tcW w:w="1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4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2．因公出国（境）人次数（人）</w:t>
            </w:r>
          </w:p>
        </w:tc>
        <w:tc>
          <w:tcPr>
            <w:tcW w:w="7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7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7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8．其他用车</w:t>
            </w:r>
          </w:p>
        </w:tc>
        <w:tc>
          <w:tcPr>
            <w:tcW w:w="1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4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3．公务用车购置数（辆）</w:t>
            </w:r>
          </w:p>
        </w:tc>
        <w:tc>
          <w:tcPr>
            <w:tcW w:w="7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7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7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（二）单价100万元（含）以上设备（不含车辆）</w:t>
            </w:r>
          </w:p>
        </w:tc>
        <w:tc>
          <w:tcPr>
            <w:tcW w:w="1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4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4．公务用车保有量（辆）</w:t>
            </w:r>
          </w:p>
        </w:tc>
        <w:tc>
          <w:tcPr>
            <w:tcW w:w="7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7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7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六、政府采购支出信息</w:t>
            </w:r>
          </w:p>
        </w:tc>
        <w:tc>
          <w:tcPr>
            <w:tcW w:w="1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r>
      <w:tr>
        <w:tblPrEx>
          <w:tblLayout w:type="fixed"/>
          <w:tblCellMar>
            <w:top w:w="0" w:type="dxa"/>
            <w:left w:w="0" w:type="dxa"/>
            <w:bottom w:w="0" w:type="dxa"/>
            <w:right w:w="0" w:type="dxa"/>
          </w:tblCellMar>
        </w:tblPrEx>
        <w:trPr>
          <w:trHeight w:val="346" w:hRule="atLeast"/>
        </w:trPr>
        <w:tc>
          <w:tcPr>
            <w:tcW w:w="34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5．国内公务接待批次（个）</w:t>
            </w:r>
          </w:p>
        </w:tc>
        <w:tc>
          <w:tcPr>
            <w:tcW w:w="7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7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25</w:t>
            </w:r>
            <w:r>
              <w:rPr>
                <w:rFonts w:hint="default" w:ascii="Times New Roman" w:hAnsi="Times New Roman" w:cs="Times New Roman"/>
                <w:color w:val="auto"/>
                <w:sz w:val="20"/>
                <w:u w:color="auto"/>
              </w:rPr>
              <w:t xml:space="preserve"> </w:t>
            </w:r>
          </w:p>
        </w:tc>
        <w:tc>
          <w:tcPr>
            <w:tcW w:w="27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（一）政府采购支出合计</w:t>
            </w:r>
          </w:p>
        </w:tc>
        <w:tc>
          <w:tcPr>
            <w:tcW w:w="1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4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其中：外事接待批次（个）</w:t>
            </w:r>
          </w:p>
        </w:tc>
        <w:tc>
          <w:tcPr>
            <w:tcW w:w="7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7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7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1．政府采购货物支出</w:t>
            </w:r>
          </w:p>
        </w:tc>
        <w:tc>
          <w:tcPr>
            <w:tcW w:w="1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4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6．国内公务接待人次（人）</w:t>
            </w:r>
          </w:p>
        </w:tc>
        <w:tc>
          <w:tcPr>
            <w:tcW w:w="7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7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218</w:t>
            </w:r>
            <w:r>
              <w:rPr>
                <w:rFonts w:hint="default" w:ascii="Times New Roman" w:hAnsi="Times New Roman" w:cs="Times New Roman"/>
                <w:color w:val="auto"/>
                <w:sz w:val="20"/>
                <w:u w:color="auto"/>
              </w:rPr>
              <w:t xml:space="preserve"> </w:t>
            </w:r>
          </w:p>
        </w:tc>
        <w:tc>
          <w:tcPr>
            <w:tcW w:w="27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2．政府采购工程支出</w:t>
            </w:r>
          </w:p>
        </w:tc>
        <w:tc>
          <w:tcPr>
            <w:tcW w:w="1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4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其中：外事接待人次（人）</w:t>
            </w:r>
          </w:p>
        </w:tc>
        <w:tc>
          <w:tcPr>
            <w:tcW w:w="7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7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7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3．政府采购服务支出</w:t>
            </w:r>
          </w:p>
        </w:tc>
        <w:tc>
          <w:tcPr>
            <w:tcW w:w="1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4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7．国（境）外公务接待批次（个）</w:t>
            </w:r>
          </w:p>
        </w:tc>
        <w:tc>
          <w:tcPr>
            <w:tcW w:w="7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7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7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（二）政府采购授予中小企业合同金额</w:t>
            </w:r>
          </w:p>
        </w:tc>
        <w:tc>
          <w:tcPr>
            <w:tcW w:w="1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34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8．国（境）外公务接待人次（人）</w:t>
            </w:r>
          </w:p>
        </w:tc>
        <w:tc>
          <w:tcPr>
            <w:tcW w:w="7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7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7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其中：授予小微企业合同金额</w:t>
            </w:r>
          </w:p>
        </w:tc>
        <w:tc>
          <w:tcPr>
            <w:tcW w:w="1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69" w:hRule="atLeast"/>
        </w:trPr>
        <w:tc>
          <w:tcPr>
            <w:tcW w:w="34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二、会议费</w:t>
            </w:r>
          </w:p>
        </w:tc>
        <w:tc>
          <w:tcPr>
            <w:tcW w:w="7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7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0.30</w:t>
            </w:r>
            <w:r>
              <w:rPr>
                <w:rFonts w:hint="default" w:ascii="Times New Roman" w:hAnsi="Times New Roman" w:cs="Times New Roman"/>
                <w:color w:val="auto"/>
                <w:sz w:val="20"/>
                <w:u w:color="auto"/>
              </w:rPr>
              <w:t xml:space="preserve"> </w:t>
            </w:r>
          </w:p>
        </w:tc>
        <w:tc>
          <w:tcPr>
            <w:tcW w:w="27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1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20"/>
                <w:szCs w:val="20"/>
              </w:rPr>
            </w:pPr>
          </w:p>
        </w:tc>
      </w:tr>
      <w:tr>
        <w:tblPrEx>
          <w:tblLayout w:type="fixed"/>
          <w:tblCellMar>
            <w:top w:w="0" w:type="dxa"/>
            <w:left w:w="0" w:type="dxa"/>
            <w:bottom w:w="0" w:type="dxa"/>
            <w:right w:w="0" w:type="dxa"/>
          </w:tblCellMar>
        </w:tblPrEx>
        <w:trPr>
          <w:trHeight w:val="244" w:hRule="atLeast"/>
        </w:trPr>
        <w:tc>
          <w:tcPr>
            <w:tcW w:w="34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三、培训费</w:t>
            </w:r>
          </w:p>
        </w:tc>
        <w:tc>
          <w:tcPr>
            <w:tcW w:w="7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7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4.53</w:t>
            </w:r>
            <w:r>
              <w:rPr>
                <w:rFonts w:hint="default" w:ascii="Times New Roman" w:hAnsi="Times New Roman" w:cs="Times New Roman"/>
                <w:color w:val="auto"/>
                <w:sz w:val="20"/>
                <w:u w:color="auto"/>
              </w:rPr>
              <w:t xml:space="preserve"> </w:t>
            </w:r>
          </w:p>
        </w:tc>
        <w:tc>
          <w:tcPr>
            <w:tcW w:w="27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0"/>
                <w:szCs w:val="20"/>
              </w:rPr>
            </w:pPr>
          </w:p>
        </w:tc>
        <w:tc>
          <w:tcPr>
            <w:tcW w:w="1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360" w:lineRule="exact"/>
              <w:jc w:val="right"/>
              <w:rPr>
                <w:rFonts w:hint="default" w:ascii="Times New Roman" w:hAnsi="Times New Roman" w:cs="Times New Roman"/>
                <w:color w:val="auto"/>
                <w:sz w:val="20"/>
                <w:szCs w:val="20"/>
              </w:rPr>
            </w:pPr>
          </w:p>
        </w:tc>
      </w:tr>
    </w:tbl>
    <w:p>
      <w:pPr>
        <w:keepNext w:val="0"/>
        <w:keepLines w:val="0"/>
        <w:pageBreakBefore w:val="0"/>
        <w:widowControl/>
        <w:kinsoku/>
        <w:overflowPunct/>
        <w:topLinePunct w:val="0"/>
        <w:autoSpaceDE/>
        <w:autoSpaceDN/>
        <w:bidi w:val="0"/>
        <w:adjustRightInd/>
        <w:snapToGrid/>
        <w:spacing w:beforeAutospacing="0"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sectPr>
      <w:headerReference r:id="rId4" w:type="default"/>
      <w:pgSz w:w="11907" w:h="16839"/>
      <w:pgMar w:top="2098" w:right="1474" w:bottom="1984" w:left="1587" w:header="850" w:footer="1474"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sz w:val="18"/>
      </w:rPr>
      <w:pict>
        <v:shape id="_x0000_s1029" o:spid="_x0000_s102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keepNext w:val="0"/>
                  <w:keepLines w:val="0"/>
                  <w:pageBreakBefore w:val="0"/>
                  <w:widowControl/>
                  <w:kinsoku/>
                  <w:wordWrap/>
                  <w:overflowPunct/>
                  <w:topLinePunct w:val="0"/>
                  <w:autoSpaceDE/>
                  <w:autoSpaceDN/>
                  <w:bidi w:val="0"/>
                  <w:adjustRightInd/>
                  <w:snapToGrid w:val="0"/>
                  <w:ind w:left="240" w:leftChars="100" w:right="240" w:rightChars="100"/>
                  <w:textAlignment w:val="auto"/>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2B254B"/>
    <w:rsid w:val="00550ABE"/>
    <w:rsid w:val="00667A4B"/>
    <w:rsid w:val="00770383"/>
    <w:rsid w:val="007819D4"/>
    <w:rsid w:val="007B419D"/>
    <w:rsid w:val="009B67B8"/>
    <w:rsid w:val="009D2B67"/>
    <w:rsid w:val="00B03CCD"/>
    <w:rsid w:val="00C20C3E"/>
    <w:rsid w:val="00CB1EF8"/>
    <w:rsid w:val="00F73F90"/>
    <w:rsid w:val="01474EBF"/>
    <w:rsid w:val="01F3521E"/>
    <w:rsid w:val="03B87EA0"/>
    <w:rsid w:val="03E3214F"/>
    <w:rsid w:val="044C50BA"/>
    <w:rsid w:val="05BC6D49"/>
    <w:rsid w:val="06194FF1"/>
    <w:rsid w:val="06A2550B"/>
    <w:rsid w:val="06F80EE2"/>
    <w:rsid w:val="07001CCA"/>
    <w:rsid w:val="075678DB"/>
    <w:rsid w:val="079D7CC7"/>
    <w:rsid w:val="08051BCA"/>
    <w:rsid w:val="0814031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0FCB326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AC7C59"/>
    <w:rsid w:val="163A6CEE"/>
    <w:rsid w:val="173708E3"/>
    <w:rsid w:val="17C374FC"/>
    <w:rsid w:val="182E4AB6"/>
    <w:rsid w:val="189079DC"/>
    <w:rsid w:val="189B0D0B"/>
    <w:rsid w:val="189E46A5"/>
    <w:rsid w:val="18B43F7C"/>
    <w:rsid w:val="194A1770"/>
    <w:rsid w:val="19B906A4"/>
    <w:rsid w:val="1B6F15B6"/>
    <w:rsid w:val="1BAA2EDC"/>
    <w:rsid w:val="1CA55E64"/>
    <w:rsid w:val="1D014A01"/>
    <w:rsid w:val="1D022362"/>
    <w:rsid w:val="1D1B04B0"/>
    <w:rsid w:val="1D375D7A"/>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717932"/>
    <w:rsid w:val="24B92327"/>
    <w:rsid w:val="24C14514"/>
    <w:rsid w:val="2533755C"/>
    <w:rsid w:val="25791755"/>
    <w:rsid w:val="26396DF4"/>
    <w:rsid w:val="27167136"/>
    <w:rsid w:val="271B442C"/>
    <w:rsid w:val="27B23302"/>
    <w:rsid w:val="29310A5F"/>
    <w:rsid w:val="29C37A35"/>
    <w:rsid w:val="2A076083"/>
    <w:rsid w:val="2A40299F"/>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1938D1"/>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72ECD"/>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0103D"/>
    <w:rsid w:val="41314E40"/>
    <w:rsid w:val="41E0734B"/>
    <w:rsid w:val="426C1EA8"/>
    <w:rsid w:val="42736402"/>
    <w:rsid w:val="42E86A87"/>
    <w:rsid w:val="43307B09"/>
    <w:rsid w:val="439A3EB9"/>
    <w:rsid w:val="43A13A84"/>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4D610B"/>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D9B2585"/>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AD4E0B"/>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7CE7DCE"/>
    <w:rsid w:val="781926BC"/>
    <w:rsid w:val="7843166E"/>
    <w:rsid w:val="796D60A4"/>
    <w:rsid w:val="79A031D5"/>
    <w:rsid w:val="7A1525F7"/>
    <w:rsid w:val="7B420052"/>
    <w:rsid w:val="7BD06A28"/>
    <w:rsid w:val="7C3A7C0B"/>
    <w:rsid w:val="7C5248E4"/>
    <w:rsid w:val="7C566698"/>
    <w:rsid w:val="7C5866A3"/>
    <w:rsid w:val="7D421EC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6"/>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paragraph" w:styleId="7">
    <w:name w:val="Title"/>
    <w:basedOn w:val="1"/>
    <w:next w:val="1"/>
    <w:qFormat/>
    <w:uiPriority w:val="10"/>
    <w:pPr>
      <w:spacing w:before="240" w:beforeAutospacing="0" w:after="60" w:afterAutospacing="0"/>
      <w:ind w:left="0" w:right="0"/>
      <w:jc w:val="center"/>
      <w:outlineLvl w:val="0"/>
    </w:pPr>
    <w:rPr>
      <w:rFonts w:hint="eastAsia" w:ascii="Cambria" w:hAnsi="Cambria" w:eastAsia="宋体" w:cs="宋体"/>
      <w:b/>
      <w:kern w:val="0"/>
      <w:sz w:val="24"/>
      <w:szCs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2"/>
    <w:qFormat/>
    <w:uiPriority w:val="0"/>
    <w:rPr>
      <w:rFonts w:ascii="宋体" w:hAnsi="宋体"/>
      <w:sz w:val="18"/>
      <w:szCs w:val="18"/>
    </w:rPr>
  </w:style>
  <w:style w:type="character" w:customStyle="1" w:styleId="17">
    <w:name w:val="26"/>
    <w:basedOn w:val="10"/>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2</TotalTime>
  <ScaleCrop>false</ScaleCrop>
  <LinksUpToDate>false</LinksUpToDate>
  <CharactersWithSpaces>26776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2024-10-09T09:24:03Z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BB46EABDBB2749749395447164B066B3_12</vt:lpwstr>
  </property>
</Properties>
</file>