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720" w:lineRule="atLeas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重庆市荣昌区广顺街道退役军人服务站</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720" w:lineRule="atLeast"/>
        <w:jc w:val="center"/>
        <w:textAlignment w:val="auto"/>
        <w:rPr>
          <w:rFonts w:hint="eastAsia"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rPr>
        <w:t>2023年度</w:t>
      </w:r>
      <w:r>
        <w:rPr>
          <w:rFonts w:hint="eastAsia" w:ascii="Times New Roman" w:hAnsi="Times New Roman" w:eastAsia="方正小标宋_GBK" w:cs="Times New Roman"/>
          <w:color w:val="auto"/>
          <w:sz w:val="44"/>
          <w:szCs w:val="44"/>
          <w:lang w:val="en-US" w:eastAsia="zh-CN"/>
        </w:rPr>
        <w:t>单位</w:t>
      </w:r>
      <w:r>
        <w:rPr>
          <w:rFonts w:hint="default" w:ascii="Times New Roman" w:hAnsi="Times New Roman" w:eastAsia="方正小标宋_GBK" w:cs="Times New Roman"/>
          <w:color w:val="auto"/>
          <w:sz w:val="44"/>
          <w:szCs w:val="44"/>
        </w:rPr>
        <w:t>决算公开</w:t>
      </w:r>
      <w:r>
        <w:rPr>
          <w:rFonts w:hint="eastAsia" w:ascii="Times New Roman" w:hAnsi="Times New Roman" w:eastAsia="方正小标宋_GBK" w:cs="Times New Roman"/>
          <w:color w:val="auto"/>
          <w:sz w:val="44"/>
          <w:szCs w:val="44"/>
          <w:lang w:val="en-US" w:eastAsia="zh-CN"/>
        </w:rPr>
        <w:t>报告</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720" w:lineRule="atLeast"/>
        <w:jc w:val="center"/>
        <w:textAlignment w:val="auto"/>
        <w:rPr>
          <w:rFonts w:hint="eastAsia" w:ascii="Times New Roman" w:hAnsi="Times New Roman" w:eastAsia="方正小标宋_GBK" w:cs="Times New Roman"/>
          <w:color w:val="auto"/>
          <w:sz w:val="44"/>
          <w:szCs w:val="44"/>
          <w:lang w:val="en-US" w:eastAsia="zh-CN"/>
        </w:rPr>
      </w:pPr>
    </w:p>
    <w:p>
      <w:pPr>
        <w:pStyle w:val="6"/>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default" w:ascii="Times New Roman" w:hAnsi="Times New Roman" w:eastAsia="方正黑体_GBK" w:cs="Times New Roman"/>
          <w:b w:val="0"/>
          <w:bCs/>
          <w:color w:val="auto"/>
          <w:sz w:val="32"/>
          <w:szCs w:val="32"/>
          <w:shd w:val="clear" w:color="auto" w:fill="FFFFFF"/>
        </w:rPr>
      </w:pPr>
      <w:r>
        <w:rPr>
          <w:rStyle w:val="11"/>
          <w:rFonts w:hint="default" w:ascii="Times New Roman" w:hAnsi="Times New Roman" w:eastAsia="方正黑体_GBK" w:cs="Times New Roman"/>
          <w:b w:val="0"/>
          <w:bCs/>
          <w:color w:val="auto"/>
          <w:sz w:val="32"/>
          <w:szCs w:val="32"/>
          <w:shd w:val="clear" w:color="auto" w:fill="FFFFFF"/>
        </w:rPr>
        <w:t>一、单位基本情况</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right="0" w:rightChars="0" w:firstLine="640" w:firstLineChars="200"/>
        <w:jc w:val="both"/>
        <w:textAlignment w:val="auto"/>
        <w:rPr>
          <w:rFonts w:hint="eastAsia" w:ascii="Times New Roman" w:hAnsi="Times New Roman" w:eastAsia="方正楷体_GBK" w:cs="Times New Roman"/>
          <w:color w:val="auto"/>
          <w:kern w:val="0"/>
          <w:sz w:val="32"/>
          <w:szCs w:val="32"/>
          <w:lang w:eastAsia="zh-CN"/>
        </w:rPr>
      </w:pPr>
      <w:r>
        <w:rPr>
          <w:rFonts w:hint="default" w:ascii="Times New Roman" w:hAnsi="Times New Roman" w:eastAsia="方正楷体_GBK" w:cs="Times New Roman"/>
          <w:color w:val="auto"/>
          <w:kern w:val="0"/>
          <w:sz w:val="32"/>
          <w:szCs w:val="32"/>
        </w:rPr>
        <w:t>（一）职能职责</w:t>
      </w:r>
      <w:r>
        <w:rPr>
          <w:rFonts w:hint="eastAsia" w:ascii="Times New Roman" w:hAnsi="Times New Roman" w:eastAsia="方正楷体_GBK" w:cs="Times New Roman"/>
          <w:color w:val="auto"/>
          <w:kern w:val="0"/>
          <w:sz w:val="32"/>
          <w:szCs w:val="32"/>
          <w:lang w:eastAsia="zh-CN"/>
        </w:rPr>
        <w:t>。</w:t>
      </w:r>
      <w:bookmarkStart w:id="0" w:name="_GoBack"/>
      <w:bookmarkEnd w:id="0"/>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根据《中共重庆市委办公厅重庆市人民政府办公厅印发〈关进一步优化完善乡镇机构设置的指导意见〉的通知》（渝委办发2018〕10号）和《中共重庆市荣昌区委办公室重庆市荣昌区人民政府办公室关于印发〈重庆市荣昌区优化完善乡镇机构设置实方案〉的通知》（荣委办发〔2019〕44号）精神，广顺街道退役军人服务站主要负责退役军人关系转接、联络接待、困难帮扶、信息采集、情况反映、立功喜报、悬挂光荣牌和“八一”、春节等节日以及重大变故走访慰问等具体事务，搭建政策咨询、帮扶援助、沟通联系、学习交流等活动场所；承担其他涉及退役军人的相关服务等工作。</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right="0" w:rightChars="0" w:firstLine="640" w:firstLineChars="200"/>
        <w:jc w:val="both"/>
        <w:textAlignment w:val="auto"/>
        <w:rPr>
          <w:rFonts w:hint="eastAsia" w:ascii="Times New Roman" w:hAnsi="Times New Roman" w:eastAsia="方正楷体_GBK" w:cs="Times New Roman"/>
          <w:color w:val="auto"/>
          <w:kern w:val="0"/>
          <w:sz w:val="32"/>
          <w:szCs w:val="32"/>
          <w:lang w:eastAsia="zh-CN"/>
        </w:rPr>
      </w:pPr>
      <w:r>
        <w:rPr>
          <w:rFonts w:hint="default" w:ascii="Times New Roman" w:hAnsi="Times New Roman" w:eastAsia="方正楷体_GBK" w:cs="Times New Roman"/>
          <w:color w:val="auto"/>
          <w:kern w:val="0"/>
          <w:sz w:val="32"/>
          <w:szCs w:val="32"/>
        </w:rPr>
        <w:t>（二）机构设置</w:t>
      </w:r>
      <w:r>
        <w:rPr>
          <w:rFonts w:hint="eastAsia" w:ascii="Times New Roman" w:hAnsi="Times New Roman" w:eastAsia="方正楷体_GBK" w:cs="Times New Roman"/>
          <w:color w:val="auto"/>
          <w:kern w:val="0"/>
          <w:sz w:val="32"/>
          <w:szCs w:val="32"/>
          <w:lang w:eastAsia="zh-CN"/>
        </w:rPr>
        <w:t>。</w:t>
      </w:r>
    </w:p>
    <w:p>
      <w:pPr>
        <w:keepNext w:val="0"/>
        <w:keepLines w:val="0"/>
        <w:pageBreakBefore w:val="0"/>
        <w:widowControl w:val="0"/>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本单位</w:t>
      </w:r>
      <w:r>
        <w:rPr>
          <w:rFonts w:hint="eastAsia" w:ascii="Times New Roman" w:hAnsi="Times New Roman" w:eastAsia="方正仿宋_GBK" w:cs="Times New Roman"/>
          <w:color w:val="auto"/>
          <w:kern w:val="0"/>
          <w:sz w:val="32"/>
          <w:szCs w:val="32"/>
          <w:lang w:val="en-US" w:eastAsia="zh-CN"/>
        </w:rPr>
        <w:t>为广顺街道办事处二级预算单位，无内设科室</w:t>
      </w:r>
      <w:r>
        <w:rPr>
          <w:rFonts w:hint="default" w:ascii="Times New Roman" w:hAnsi="Times New Roman" w:eastAsia="方正仿宋_GBK" w:cs="Times New Roman"/>
          <w:color w:val="auto"/>
          <w:kern w:val="0"/>
          <w:sz w:val="32"/>
          <w:szCs w:val="32"/>
        </w:rPr>
        <w:t>。</w:t>
      </w:r>
    </w:p>
    <w:p>
      <w:pPr>
        <w:pStyle w:val="6"/>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default" w:ascii="Times New Roman" w:hAnsi="Times New Roman" w:eastAsia="方正黑体_GBK" w:cs="Times New Roman"/>
          <w:b w:val="0"/>
          <w:bCs/>
          <w:color w:val="auto"/>
          <w:sz w:val="32"/>
          <w:szCs w:val="32"/>
          <w:shd w:val="clear" w:color="auto" w:fill="FFFFFF"/>
        </w:rPr>
      </w:pPr>
      <w:r>
        <w:rPr>
          <w:rStyle w:val="11"/>
          <w:rFonts w:hint="default" w:ascii="Times New Roman" w:hAnsi="Times New Roman" w:eastAsia="方正黑体_GBK" w:cs="Times New Roman"/>
          <w:b w:val="0"/>
          <w:bCs/>
          <w:color w:val="auto"/>
          <w:sz w:val="32"/>
          <w:szCs w:val="32"/>
          <w:shd w:val="clear" w:color="auto" w:fill="FFFFFF"/>
        </w:rPr>
        <w:t>二、单位决算情况说明</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right="0" w:rightChars="0" w:firstLine="640" w:firstLineChars="200"/>
        <w:jc w:val="both"/>
        <w:textAlignment w:val="auto"/>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rPr>
        <w:t>（一）收入支出决算总体情况说明。</w:t>
      </w:r>
    </w:p>
    <w:p>
      <w:pPr>
        <w:pStyle w:val="6"/>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仿宋_GBK" w:cs="Times New Roman"/>
          <w:b w:val="0"/>
          <w:bCs/>
          <w:color w:val="auto"/>
          <w:sz w:val="32"/>
          <w:szCs w:val="32"/>
          <w:shd w:val="clear" w:color="auto" w:fill="FFFFFF"/>
        </w:rPr>
        <w:t>1.</w:t>
      </w:r>
      <w:r>
        <w:rPr>
          <w:rStyle w:val="11"/>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1"/>
          <w:rFonts w:hint="default" w:ascii="Times New Roman" w:hAnsi="Times New Roman" w:eastAsia="方正仿宋_GBK" w:cs="Times New Roman"/>
          <w:b w:val="0"/>
          <w:bCs/>
          <w:color w:val="auto"/>
          <w:sz w:val="32"/>
          <w:szCs w:val="32"/>
          <w:shd w:val="clear" w:color="auto" w:fill="FFFFFF"/>
        </w:rPr>
        <w:t>总体情况。</w:t>
      </w:r>
      <w:r>
        <w:rPr>
          <w:rFonts w:hint="default" w:ascii="Times New Roman" w:hAnsi="Times New Roman" w:eastAsia="方正仿宋_GBK" w:cs="Times New Roman"/>
          <w:b w:val="0"/>
          <w:bCs/>
          <w:color w:val="auto"/>
          <w:sz w:val="32"/>
          <w:szCs w:val="32"/>
          <w:shd w:val="clear" w:color="auto" w:fill="FFFFFF"/>
        </w:rPr>
        <w:t>2023年度收入总计57.66万元，支出总计</w:t>
      </w:r>
      <w:r>
        <w:rPr>
          <w:rFonts w:hint="default" w:ascii="Times New Roman" w:hAnsi="Times New Roman" w:eastAsia="方正仿宋_GBK" w:cs="Times New Roman"/>
          <w:b w:val="0"/>
          <w:bCs/>
          <w:color w:val="auto"/>
          <w:sz w:val="32"/>
          <w:szCs w:val="32"/>
        </w:rPr>
        <w:t>57.66</w:t>
      </w:r>
      <w:r>
        <w:rPr>
          <w:rFonts w:hint="default" w:ascii="Times New Roman" w:hAnsi="Times New Roman" w:eastAsia="方正仿宋_GBK" w:cs="Times New Roman"/>
          <w:b w:val="0"/>
          <w:bCs/>
          <w:color w:val="auto"/>
          <w:sz w:val="32"/>
          <w:szCs w:val="32"/>
          <w:shd w:val="clear" w:color="auto" w:fill="FFFFFF"/>
        </w:rPr>
        <w:t>万元。收支较上年决算数减少8.69万元，下降13.10%，主要原因是</w:t>
      </w:r>
      <w:r>
        <w:rPr>
          <w:rFonts w:hint="default" w:ascii="Times New Roman" w:hAnsi="Times New Roman" w:eastAsia="方正仿宋_GBK" w:cs="Times New Roman"/>
          <w:b w:val="0"/>
          <w:bCs/>
          <w:color w:val="auto"/>
          <w:sz w:val="32"/>
          <w:szCs w:val="32"/>
          <w:shd w:val="clear" w:color="auto" w:fill="FFFFFF"/>
          <w:lang w:val="en-US" w:eastAsia="zh-CN"/>
        </w:rPr>
        <w:t>本年度人员减少，工资福利等收支减少</w:t>
      </w:r>
      <w:r>
        <w:rPr>
          <w:rFonts w:hint="default" w:ascii="Times New Roman" w:hAnsi="Times New Roman" w:eastAsia="方正仿宋_GBK" w:cs="Times New Roman"/>
          <w:b w:val="0"/>
          <w:bCs/>
          <w:color w:val="auto"/>
          <w:sz w:val="32"/>
          <w:szCs w:val="32"/>
          <w:shd w:val="clear" w:color="auto" w:fill="FFFFFF"/>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Style w:val="11"/>
          <w:rFonts w:hint="default" w:ascii="Times New Roman" w:hAnsi="Times New Roman" w:eastAsia="方正仿宋_GBK" w:cs="Times New Roman"/>
          <w:b w:val="0"/>
          <w:bCs/>
          <w:color w:val="auto"/>
          <w:sz w:val="32"/>
          <w:szCs w:val="32"/>
          <w:shd w:val="clear" w:color="auto" w:fill="FFFFFF"/>
        </w:rPr>
        <w:t>2.</w:t>
      </w:r>
      <w:r>
        <w:rPr>
          <w:rStyle w:val="11"/>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1"/>
          <w:rFonts w:hint="default" w:ascii="Times New Roman" w:hAnsi="Times New Roman" w:eastAsia="方正仿宋_GBK" w:cs="Times New Roman"/>
          <w:b w:val="0"/>
          <w:bCs/>
          <w:color w:val="auto"/>
          <w:sz w:val="32"/>
          <w:szCs w:val="32"/>
          <w:shd w:val="clear" w:color="auto" w:fill="FFFFFF"/>
        </w:rPr>
        <w:t>收入情况。</w:t>
      </w:r>
      <w:r>
        <w:rPr>
          <w:rFonts w:hint="default" w:ascii="Times New Roman" w:hAnsi="Times New Roman" w:eastAsia="方正仿宋_GBK" w:cs="Times New Roman"/>
          <w:b w:val="0"/>
          <w:bCs/>
          <w:color w:val="auto"/>
          <w:sz w:val="32"/>
          <w:szCs w:val="32"/>
          <w:shd w:val="clear" w:color="auto" w:fill="FFFFFF"/>
        </w:rPr>
        <w:t>2023年度收入合计57.66万元，较上年决算数减少8.69万元，下降13.10%，主要原因是</w:t>
      </w:r>
      <w:r>
        <w:rPr>
          <w:rFonts w:hint="default" w:ascii="Times New Roman" w:hAnsi="Times New Roman" w:eastAsia="方正仿宋_GBK" w:cs="Times New Roman"/>
          <w:b w:val="0"/>
          <w:bCs/>
          <w:color w:val="auto"/>
          <w:sz w:val="32"/>
          <w:szCs w:val="32"/>
          <w:shd w:val="clear" w:color="auto" w:fill="FFFFFF"/>
          <w:lang w:val="en-US" w:eastAsia="zh-CN"/>
        </w:rPr>
        <w:t>退休一人</w:t>
      </w:r>
      <w:r>
        <w:rPr>
          <w:rFonts w:hint="default" w:ascii="Times New Roman" w:hAnsi="Times New Roman" w:eastAsia="方正仿宋_GBK" w:cs="Times New Roman"/>
          <w:b w:val="0"/>
          <w:bCs/>
          <w:color w:val="auto"/>
          <w:sz w:val="32"/>
          <w:szCs w:val="32"/>
          <w:shd w:val="clear" w:color="auto" w:fill="FFFFFF"/>
        </w:rPr>
        <w:t>。其中：财政拨款收入</w:t>
      </w:r>
      <w:r>
        <w:rPr>
          <w:rFonts w:hint="default" w:ascii="Times New Roman" w:hAnsi="Times New Roman" w:eastAsia="方正仿宋_GBK" w:cs="Times New Roman"/>
          <w:b w:val="0"/>
          <w:bCs/>
          <w:color w:val="auto"/>
          <w:sz w:val="32"/>
          <w:szCs w:val="32"/>
        </w:rPr>
        <w:t>57.66</w:t>
      </w:r>
      <w:r>
        <w:rPr>
          <w:rFonts w:hint="default" w:ascii="Times New Roman" w:hAnsi="Times New Roman" w:eastAsia="方正仿宋_GBK" w:cs="Times New Roman"/>
          <w:b w:val="0"/>
          <w:bCs/>
          <w:color w:val="auto"/>
          <w:sz w:val="32"/>
          <w:szCs w:val="32"/>
          <w:shd w:val="clear" w:color="auto" w:fill="FFFFFF"/>
        </w:rPr>
        <w:t>万元，占</w:t>
      </w:r>
      <w:r>
        <w:rPr>
          <w:rFonts w:hint="default" w:ascii="Times New Roman" w:hAnsi="Times New Roman" w:eastAsia="方正仿宋_GBK" w:cs="Times New Roman"/>
          <w:b w:val="0"/>
          <w:bCs/>
          <w:color w:val="auto"/>
          <w:sz w:val="32"/>
          <w:szCs w:val="32"/>
        </w:rPr>
        <w:t>100.00</w:t>
      </w:r>
      <w:r>
        <w:rPr>
          <w:rFonts w:hint="default" w:ascii="Times New Roman" w:hAnsi="Times New Roman" w:eastAsia="方正仿宋_GBK" w:cs="Times New Roman"/>
          <w:b w:val="0"/>
          <w:bCs/>
          <w:color w:val="auto"/>
          <w:sz w:val="32"/>
          <w:szCs w:val="32"/>
          <w:shd w:val="clear" w:color="auto" w:fill="FFFFFF"/>
        </w:rPr>
        <w:t>%；事业收入</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万元，占0.00%；经营收入</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万元，占0.00%；其他收入</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万元，占0.00%。此外，使用非财政拨款结余和专用结余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万元，年初结转和结余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Style w:val="11"/>
          <w:rFonts w:hint="default" w:ascii="Times New Roman" w:hAnsi="Times New Roman" w:eastAsia="方正仿宋_GBK" w:cs="Times New Roman"/>
          <w:b w:val="0"/>
          <w:bCs/>
          <w:color w:val="auto"/>
          <w:sz w:val="32"/>
          <w:szCs w:val="32"/>
          <w:shd w:val="clear" w:color="auto" w:fill="FFFFFF"/>
        </w:rPr>
        <w:t>3.</w:t>
      </w:r>
      <w:r>
        <w:rPr>
          <w:rStyle w:val="11"/>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1"/>
          <w:rFonts w:hint="default" w:ascii="Times New Roman" w:hAnsi="Times New Roman" w:eastAsia="方正仿宋_GBK" w:cs="Times New Roman"/>
          <w:b w:val="0"/>
          <w:bCs/>
          <w:color w:val="auto"/>
          <w:sz w:val="32"/>
          <w:szCs w:val="32"/>
          <w:shd w:val="clear" w:color="auto" w:fill="FFFFFF"/>
        </w:rPr>
        <w:t>支出情况。</w:t>
      </w:r>
      <w:r>
        <w:rPr>
          <w:rFonts w:hint="default" w:ascii="Times New Roman" w:hAnsi="Times New Roman" w:eastAsia="方正仿宋_GBK" w:cs="Times New Roman"/>
          <w:b w:val="0"/>
          <w:bCs/>
          <w:color w:val="auto"/>
          <w:sz w:val="32"/>
          <w:szCs w:val="32"/>
          <w:shd w:val="clear" w:color="auto" w:fill="FFFFFF"/>
        </w:rPr>
        <w:t>2023年度支出合计</w:t>
      </w:r>
      <w:r>
        <w:rPr>
          <w:rFonts w:hint="default" w:ascii="Times New Roman" w:hAnsi="Times New Roman" w:eastAsia="方正仿宋_GBK" w:cs="Times New Roman"/>
          <w:b w:val="0"/>
          <w:bCs/>
          <w:color w:val="auto"/>
          <w:sz w:val="32"/>
          <w:szCs w:val="32"/>
        </w:rPr>
        <w:t>57.66</w:t>
      </w:r>
      <w:r>
        <w:rPr>
          <w:rFonts w:hint="default" w:ascii="Times New Roman" w:hAnsi="Times New Roman" w:eastAsia="方正仿宋_GBK" w:cs="Times New Roman"/>
          <w:b w:val="0"/>
          <w:bCs/>
          <w:color w:val="auto"/>
          <w:sz w:val="32"/>
          <w:szCs w:val="32"/>
          <w:shd w:val="clear" w:color="auto" w:fill="FFFFFF"/>
        </w:rPr>
        <w:t>万元，较上年决算数减少8.69万元，下降13.10%，主要原因是</w:t>
      </w:r>
      <w:r>
        <w:rPr>
          <w:rFonts w:hint="default" w:ascii="Times New Roman" w:hAnsi="Times New Roman" w:eastAsia="方正仿宋_GBK" w:cs="Times New Roman"/>
          <w:b w:val="0"/>
          <w:bCs/>
          <w:color w:val="auto"/>
          <w:sz w:val="32"/>
          <w:szCs w:val="32"/>
          <w:shd w:val="clear" w:color="auto" w:fill="FFFFFF"/>
          <w:lang w:val="en-US" w:eastAsia="zh-CN"/>
        </w:rPr>
        <w:t>退休一人，基本支出减少</w:t>
      </w:r>
      <w:r>
        <w:rPr>
          <w:rFonts w:hint="default" w:ascii="Times New Roman" w:hAnsi="Times New Roman" w:eastAsia="方正仿宋_GBK" w:cs="Times New Roman"/>
          <w:b w:val="0"/>
          <w:bCs/>
          <w:color w:val="auto"/>
          <w:sz w:val="32"/>
          <w:szCs w:val="32"/>
          <w:shd w:val="clear" w:color="auto" w:fill="FFFFFF"/>
        </w:rPr>
        <w:t>。其中：基本支出</w:t>
      </w:r>
      <w:r>
        <w:rPr>
          <w:rFonts w:hint="default" w:ascii="Times New Roman" w:hAnsi="Times New Roman" w:eastAsia="方正仿宋_GBK" w:cs="Times New Roman"/>
          <w:b w:val="0"/>
          <w:bCs/>
          <w:color w:val="auto"/>
          <w:sz w:val="32"/>
          <w:szCs w:val="32"/>
        </w:rPr>
        <w:t>57.66</w:t>
      </w:r>
      <w:r>
        <w:rPr>
          <w:rFonts w:hint="default" w:ascii="Times New Roman" w:hAnsi="Times New Roman" w:eastAsia="方正仿宋_GBK" w:cs="Times New Roman"/>
          <w:b w:val="0"/>
          <w:bCs/>
          <w:color w:val="auto"/>
          <w:sz w:val="32"/>
          <w:szCs w:val="32"/>
          <w:shd w:val="clear" w:color="auto" w:fill="FFFFFF"/>
        </w:rPr>
        <w:t>万元，占100.00%；项目支出</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万元，占0.00%；经营支出</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万元，占0.00%。此外，结余分配</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仿宋_GBK" w:cs="Times New Roman"/>
          <w:b w:val="0"/>
          <w:bCs/>
          <w:color w:val="auto"/>
          <w:sz w:val="32"/>
          <w:szCs w:val="32"/>
          <w:shd w:val="clear" w:color="auto" w:fill="FFFFFF"/>
        </w:rPr>
        <w:t>4.</w:t>
      </w:r>
      <w:r>
        <w:rPr>
          <w:rStyle w:val="11"/>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1"/>
          <w:rFonts w:hint="default" w:ascii="Times New Roman" w:hAnsi="Times New Roman" w:eastAsia="方正仿宋_GBK" w:cs="Times New Roman"/>
          <w:b w:val="0"/>
          <w:bCs/>
          <w:color w:val="auto"/>
          <w:sz w:val="32"/>
          <w:szCs w:val="32"/>
          <w:shd w:val="clear" w:color="auto" w:fill="FFFFFF"/>
        </w:rPr>
        <w:t>结转结余情况。</w:t>
      </w:r>
      <w:r>
        <w:rPr>
          <w:rFonts w:hint="default" w:ascii="Times New Roman" w:hAnsi="Times New Roman" w:eastAsia="方正仿宋_GBK" w:cs="Times New Roman"/>
          <w:b w:val="0"/>
          <w:bCs/>
          <w:color w:val="auto"/>
          <w:sz w:val="32"/>
          <w:szCs w:val="32"/>
          <w:shd w:val="clear" w:color="auto" w:fill="FFFFFF"/>
        </w:rPr>
        <w:t>2023年度年末结转和结余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万元，较上年决算数无增减，主要原因是</w:t>
      </w:r>
      <w:r>
        <w:rPr>
          <w:rFonts w:hint="default" w:ascii="Times New Roman" w:hAnsi="Times New Roman" w:eastAsia="方正仿宋_GBK" w:cs="Times New Roman"/>
          <w:b w:val="0"/>
          <w:bCs/>
          <w:color w:val="auto"/>
          <w:sz w:val="32"/>
          <w:szCs w:val="32"/>
          <w:shd w:val="clear" w:color="auto" w:fill="FFFFFF"/>
          <w:lang w:val="en-US" w:eastAsia="zh-CN"/>
        </w:rPr>
        <w:t>本单位严格按预算执行无结转结余</w:t>
      </w:r>
      <w:r>
        <w:rPr>
          <w:rFonts w:hint="default" w:ascii="Times New Roman" w:hAnsi="Times New Roman" w:eastAsia="方正仿宋_GBK" w:cs="Times New Roman"/>
          <w:b w:val="0"/>
          <w:bCs/>
          <w:color w:val="auto"/>
          <w:sz w:val="32"/>
          <w:szCs w:val="32"/>
          <w:shd w:val="clear" w:color="auto" w:fill="FFFFFF"/>
        </w:rPr>
        <w:t>。</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right="0" w:rightChars="0" w:firstLine="640" w:firstLineChars="200"/>
        <w:jc w:val="both"/>
        <w:textAlignment w:val="auto"/>
        <w:rPr>
          <w:rFonts w:hint="eastAsia" w:ascii="Times New Roman" w:hAnsi="Times New Roman" w:eastAsia="方正楷体_GBK" w:cs="Times New Roman"/>
          <w:b w:val="0"/>
          <w:bCs/>
          <w:color w:val="auto"/>
          <w:kern w:val="0"/>
          <w:sz w:val="32"/>
          <w:szCs w:val="32"/>
          <w:lang w:eastAsia="zh-CN"/>
        </w:rPr>
      </w:pPr>
      <w:r>
        <w:rPr>
          <w:rFonts w:hint="default" w:ascii="Times New Roman" w:hAnsi="Times New Roman" w:eastAsia="方正楷体_GBK" w:cs="Times New Roman"/>
          <w:b w:val="0"/>
          <w:bCs/>
          <w:color w:val="auto"/>
          <w:kern w:val="0"/>
          <w:sz w:val="32"/>
          <w:szCs w:val="32"/>
        </w:rPr>
        <w:t>（二）财政拨款收入支出决算总体情况说明</w:t>
      </w:r>
      <w:r>
        <w:rPr>
          <w:rFonts w:hint="eastAsia" w:ascii="Times New Roman" w:hAnsi="Times New Roman" w:eastAsia="方正楷体_GBK" w:cs="Times New Roman"/>
          <w:b w:val="0"/>
          <w:bCs/>
          <w:color w:val="auto"/>
          <w:kern w:val="0"/>
          <w:sz w:val="32"/>
          <w:szCs w:val="32"/>
          <w:lang w:eastAsia="zh-CN"/>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2023年度财政拨款收、支总计57.66万元。与2022年相比，财政拨款收、支总计各减少8.69万元，下降13.10%。主要原因是</w:t>
      </w:r>
      <w:r>
        <w:rPr>
          <w:rFonts w:hint="default" w:ascii="Times New Roman" w:hAnsi="Times New Roman" w:eastAsia="方正仿宋_GBK" w:cs="Times New Roman"/>
          <w:b w:val="0"/>
          <w:bCs/>
          <w:color w:val="auto"/>
          <w:sz w:val="32"/>
          <w:szCs w:val="32"/>
          <w:shd w:val="clear" w:color="auto" w:fill="FFFFFF"/>
          <w:lang w:val="en-US" w:eastAsia="zh-CN"/>
        </w:rPr>
        <w:t>本年度人员减少，工资福利等减少</w:t>
      </w:r>
      <w:r>
        <w:rPr>
          <w:rFonts w:hint="default" w:ascii="Times New Roman" w:hAnsi="Times New Roman" w:eastAsia="方正仿宋_GBK" w:cs="Times New Roman"/>
          <w:b w:val="0"/>
          <w:bCs/>
          <w:color w:val="auto"/>
          <w:sz w:val="32"/>
          <w:szCs w:val="32"/>
          <w:shd w:val="clear" w:color="auto" w:fill="FFFFFF"/>
        </w:rPr>
        <w:t>。</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right="0" w:rightChars="0" w:firstLine="640" w:firstLineChars="200"/>
        <w:jc w:val="both"/>
        <w:textAlignment w:val="auto"/>
        <w:rPr>
          <w:rFonts w:hint="eastAsia" w:ascii="Times New Roman" w:hAnsi="Times New Roman" w:eastAsia="方正楷体_GBK" w:cs="Times New Roman"/>
          <w:b w:val="0"/>
          <w:bCs/>
          <w:color w:val="auto"/>
          <w:kern w:val="0"/>
          <w:sz w:val="32"/>
          <w:szCs w:val="32"/>
          <w:lang w:eastAsia="zh-CN"/>
        </w:rPr>
      </w:pPr>
      <w:r>
        <w:rPr>
          <w:rFonts w:hint="default" w:ascii="Times New Roman" w:hAnsi="Times New Roman" w:eastAsia="方正楷体_GBK" w:cs="Times New Roman"/>
          <w:b w:val="0"/>
          <w:bCs/>
          <w:color w:val="auto"/>
          <w:kern w:val="0"/>
          <w:sz w:val="32"/>
          <w:szCs w:val="32"/>
        </w:rPr>
        <w:t>（三）一般公共预算财政拨款收入支出决算情况说明</w:t>
      </w:r>
      <w:r>
        <w:rPr>
          <w:rFonts w:hint="eastAsia" w:ascii="Times New Roman" w:hAnsi="Times New Roman" w:eastAsia="方正楷体_GBK" w:cs="Times New Roman"/>
          <w:b w:val="0"/>
          <w:bCs/>
          <w:color w:val="auto"/>
          <w:kern w:val="0"/>
          <w:sz w:val="32"/>
          <w:szCs w:val="32"/>
          <w:lang w:eastAsia="zh-CN"/>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仿宋_GBK" w:cs="Times New Roman"/>
          <w:b w:val="0"/>
          <w:bCs/>
          <w:color w:val="auto"/>
          <w:sz w:val="32"/>
          <w:szCs w:val="32"/>
          <w:shd w:val="clear" w:color="auto" w:fill="FFFFFF"/>
        </w:rPr>
        <w:t>1.</w:t>
      </w:r>
      <w:r>
        <w:rPr>
          <w:rStyle w:val="11"/>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1"/>
          <w:rFonts w:hint="default" w:ascii="Times New Roman" w:hAnsi="Times New Roman" w:eastAsia="方正仿宋_GBK" w:cs="Times New Roman"/>
          <w:b w:val="0"/>
          <w:bCs/>
          <w:color w:val="auto"/>
          <w:sz w:val="32"/>
          <w:szCs w:val="32"/>
          <w:shd w:val="clear" w:color="auto" w:fill="FFFFFF"/>
        </w:rPr>
        <w:t>收入情况。</w:t>
      </w:r>
      <w:r>
        <w:rPr>
          <w:rFonts w:hint="default" w:ascii="Times New Roman" w:hAnsi="Times New Roman" w:eastAsia="方正仿宋_GBK" w:cs="Times New Roman"/>
          <w:b w:val="0"/>
          <w:bCs/>
          <w:color w:val="auto"/>
          <w:sz w:val="32"/>
          <w:szCs w:val="32"/>
          <w:shd w:val="clear" w:color="auto" w:fill="FFFFFF"/>
        </w:rPr>
        <w:t>2023年度一般公共预算财政拨款收入</w:t>
      </w:r>
      <w:r>
        <w:rPr>
          <w:rFonts w:hint="default" w:ascii="Times New Roman" w:hAnsi="Times New Roman" w:eastAsia="方正仿宋_GBK" w:cs="Times New Roman"/>
          <w:b w:val="0"/>
          <w:bCs/>
          <w:color w:val="auto"/>
          <w:sz w:val="32"/>
          <w:szCs w:val="32"/>
        </w:rPr>
        <w:t>57.66</w:t>
      </w:r>
      <w:r>
        <w:rPr>
          <w:rFonts w:hint="default" w:ascii="Times New Roman" w:hAnsi="Times New Roman" w:eastAsia="方正仿宋_GBK" w:cs="Times New Roman"/>
          <w:b w:val="0"/>
          <w:bCs/>
          <w:color w:val="auto"/>
          <w:sz w:val="32"/>
          <w:szCs w:val="32"/>
          <w:shd w:val="clear" w:color="auto" w:fill="FFFFFF"/>
        </w:rPr>
        <w:t>万元，较上年决算数减少8.69万元，下降13.10%。主要原因是</w:t>
      </w:r>
      <w:r>
        <w:rPr>
          <w:rFonts w:hint="default" w:ascii="Times New Roman" w:hAnsi="Times New Roman" w:eastAsia="方正仿宋_GBK" w:cs="Times New Roman"/>
          <w:b w:val="0"/>
          <w:bCs/>
          <w:color w:val="auto"/>
          <w:sz w:val="32"/>
          <w:szCs w:val="32"/>
          <w:shd w:val="clear" w:color="auto" w:fill="FFFFFF"/>
          <w:lang w:val="en-US" w:eastAsia="zh-CN"/>
        </w:rPr>
        <w:t>人员减少</w:t>
      </w:r>
      <w:r>
        <w:rPr>
          <w:rFonts w:hint="default" w:ascii="Times New Roman" w:hAnsi="Times New Roman" w:eastAsia="方正仿宋_GBK" w:cs="Times New Roman"/>
          <w:b w:val="0"/>
          <w:bCs/>
          <w:color w:val="auto"/>
          <w:sz w:val="32"/>
          <w:szCs w:val="32"/>
          <w:shd w:val="clear" w:color="auto" w:fill="FFFFFF"/>
        </w:rPr>
        <w:t>。较年初预算数减少7.78万元，下降11.89%。主要原因</w:t>
      </w:r>
      <w:r>
        <w:rPr>
          <w:rFonts w:hint="default" w:ascii="Times New Roman" w:hAnsi="Times New Roman" w:eastAsia="方正仿宋_GBK" w:cs="Times New Roman"/>
          <w:b w:val="0"/>
          <w:bCs/>
          <w:color w:val="auto"/>
          <w:sz w:val="32"/>
          <w:szCs w:val="32"/>
          <w:shd w:val="clear" w:color="auto" w:fill="FFFFFF"/>
          <w:lang w:eastAsia="zh-CN"/>
        </w:rPr>
        <w:t>是</w:t>
      </w:r>
      <w:r>
        <w:rPr>
          <w:rFonts w:hint="default" w:ascii="Times New Roman" w:hAnsi="Times New Roman" w:eastAsia="方正仿宋_GBK" w:cs="Times New Roman"/>
          <w:b w:val="0"/>
          <w:bCs/>
          <w:color w:val="auto"/>
          <w:sz w:val="32"/>
          <w:szCs w:val="32"/>
          <w:shd w:val="clear" w:color="auto" w:fill="FFFFFF"/>
          <w:lang w:val="en-US" w:eastAsia="zh-CN"/>
        </w:rPr>
        <w:t>本年度退休一人</w:t>
      </w:r>
      <w:r>
        <w:rPr>
          <w:rFonts w:hint="default" w:ascii="Times New Roman" w:hAnsi="Times New Roman" w:eastAsia="方正仿宋_GBK" w:cs="Times New Roman"/>
          <w:b w:val="0"/>
          <w:bCs/>
          <w:color w:val="auto"/>
          <w:sz w:val="32"/>
          <w:szCs w:val="32"/>
          <w:shd w:val="clear" w:color="auto" w:fill="FFFFFF"/>
        </w:rPr>
        <w:t>。此外，年初财政拨款结转和结余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仿宋_GBK" w:cs="Times New Roman"/>
          <w:b w:val="0"/>
          <w:bCs/>
          <w:color w:val="auto"/>
          <w:sz w:val="32"/>
          <w:szCs w:val="32"/>
          <w:shd w:val="clear" w:color="auto" w:fill="FFFFFF"/>
        </w:rPr>
        <w:t>2.</w:t>
      </w:r>
      <w:r>
        <w:rPr>
          <w:rStyle w:val="11"/>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1"/>
          <w:rFonts w:hint="default" w:ascii="Times New Roman" w:hAnsi="Times New Roman" w:eastAsia="方正仿宋_GBK" w:cs="Times New Roman"/>
          <w:b w:val="0"/>
          <w:bCs/>
          <w:color w:val="auto"/>
          <w:sz w:val="32"/>
          <w:szCs w:val="32"/>
          <w:shd w:val="clear" w:color="auto" w:fill="FFFFFF"/>
        </w:rPr>
        <w:t>支出情况。</w:t>
      </w:r>
      <w:r>
        <w:rPr>
          <w:rFonts w:hint="default" w:ascii="Times New Roman" w:hAnsi="Times New Roman" w:eastAsia="方正仿宋_GBK" w:cs="Times New Roman"/>
          <w:b w:val="0"/>
          <w:bCs/>
          <w:color w:val="auto"/>
          <w:sz w:val="32"/>
          <w:szCs w:val="32"/>
          <w:shd w:val="clear" w:color="auto" w:fill="FFFFFF"/>
        </w:rPr>
        <w:t>2023年度一般公共预算财政拨款支出</w:t>
      </w:r>
      <w:r>
        <w:rPr>
          <w:rFonts w:hint="default" w:ascii="Times New Roman" w:hAnsi="Times New Roman" w:eastAsia="方正仿宋_GBK" w:cs="Times New Roman"/>
          <w:b w:val="0"/>
          <w:bCs/>
          <w:color w:val="auto"/>
          <w:sz w:val="32"/>
          <w:szCs w:val="32"/>
        </w:rPr>
        <w:t>57.66</w:t>
      </w:r>
      <w:r>
        <w:rPr>
          <w:rFonts w:hint="default" w:ascii="Times New Roman" w:hAnsi="Times New Roman" w:eastAsia="方正仿宋_GBK" w:cs="Times New Roman"/>
          <w:b w:val="0"/>
          <w:bCs/>
          <w:color w:val="auto"/>
          <w:sz w:val="32"/>
          <w:szCs w:val="32"/>
          <w:shd w:val="clear" w:color="auto" w:fill="FFFFFF"/>
        </w:rPr>
        <w:t>万元，较上年决算数减少8.69万元，下降13.10%。主要原因是</w:t>
      </w:r>
      <w:r>
        <w:rPr>
          <w:rFonts w:hint="default" w:ascii="Times New Roman" w:hAnsi="Times New Roman" w:eastAsia="方正仿宋_GBK" w:cs="Times New Roman"/>
          <w:b w:val="0"/>
          <w:bCs/>
          <w:color w:val="auto"/>
          <w:sz w:val="32"/>
          <w:szCs w:val="32"/>
          <w:shd w:val="clear" w:color="auto" w:fill="FFFFFF"/>
          <w:lang w:eastAsia="zh-CN"/>
        </w:rPr>
        <w:t>，</w:t>
      </w:r>
      <w:r>
        <w:rPr>
          <w:rFonts w:hint="default" w:ascii="Times New Roman" w:hAnsi="Times New Roman" w:eastAsia="方正仿宋_GBK" w:cs="Times New Roman"/>
          <w:b w:val="0"/>
          <w:bCs/>
          <w:color w:val="auto"/>
          <w:sz w:val="32"/>
          <w:szCs w:val="32"/>
          <w:shd w:val="clear" w:color="auto" w:fill="FFFFFF"/>
          <w:lang w:val="en-US" w:eastAsia="zh-CN"/>
        </w:rPr>
        <w:t>人员减少，基本支出减少</w:t>
      </w:r>
      <w:r>
        <w:rPr>
          <w:rFonts w:hint="default" w:ascii="Times New Roman" w:hAnsi="Times New Roman" w:eastAsia="方正仿宋_GBK" w:cs="Times New Roman"/>
          <w:b w:val="0"/>
          <w:bCs/>
          <w:color w:val="auto"/>
          <w:sz w:val="32"/>
          <w:szCs w:val="32"/>
          <w:shd w:val="clear" w:color="auto" w:fill="FFFFFF"/>
        </w:rPr>
        <w:t>。较年初预算数减少7.78万元，下降11.89%。主要原因是</w:t>
      </w:r>
      <w:r>
        <w:rPr>
          <w:rFonts w:hint="default" w:ascii="Times New Roman" w:hAnsi="Times New Roman" w:eastAsia="方正仿宋_GBK" w:cs="Times New Roman"/>
          <w:b w:val="0"/>
          <w:bCs/>
          <w:color w:val="auto"/>
          <w:sz w:val="32"/>
          <w:szCs w:val="32"/>
          <w:shd w:val="clear" w:color="auto" w:fill="FFFFFF"/>
          <w:lang w:val="en-US" w:eastAsia="zh-CN"/>
        </w:rPr>
        <w:t>本年度退休一人</w:t>
      </w:r>
      <w:r>
        <w:rPr>
          <w:rFonts w:hint="default" w:ascii="Times New Roman" w:hAnsi="Times New Roman" w:eastAsia="方正仿宋_GBK" w:cs="Times New Roman"/>
          <w:b w:val="0"/>
          <w:bCs/>
          <w:color w:val="auto"/>
          <w:sz w:val="32"/>
          <w:szCs w:val="32"/>
          <w:shd w:val="clear" w:color="auto" w:fill="FFFFFF"/>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仿宋_GBK" w:cs="Times New Roman"/>
          <w:b w:val="0"/>
          <w:bCs/>
          <w:color w:val="auto"/>
          <w:sz w:val="32"/>
          <w:szCs w:val="32"/>
          <w:shd w:val="clear" w:color="auto" w:fill="FFFFFF"/>
        </w:rPr>
        <w:t>3.</w:t>
      </w:r>
      <w:r>
        <w:rPr>
          <w:rStyle w:val="11"/>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1"/>
          <w:rFonts w:hint="default" w:ascii="Times New Roman" w:hAnsi="Times New Roman" w:eastAsia="方正仿宋_GBK" w:cs="Times New Roman"/>
          <w:b w:val="0"/>
          <w:bCs/>
          <w:color w:val="auto"/>
          <w:sz w:val="32"/>
          <w:szCs w:val="32"/>
          <w:shd w:val="clear" w:color="auto" w:fill="FFFFFF"/>
        </w:rPr>
        <w:t>结转结余情况。</w:t>
      </w:r>
      <w:r>
        <w:rPr>
          <w:rFonts w:hint="default" w:ascii="Times New Roman" w:hAnsi="Times New Roman" w:eastAsia="方正仿宋_GBK" w:cs="Times New Roman"/>
          <w:b w:val="0"/>
          <w:bCs/>
          <w:color w:val="auto"/>
          <w:sz w:val="32"/>
          <w:szCs w:val="32"/>
          <w:shd w:val="clear" w:color="auto" w:fill="FFFFFF"/>
        </w:rPr>
        <w:t>2023年度年末一般公共预算财政拨款结转和结余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万元，较上年决算数无增减，主要原因是</w:t>
      </w:r>
      <w:r>
        <w:rPr>
          <w:rFonts w:hint="default" w:ascii="Times New Roman" w:hAnsi="Times New Roman" w:eastAsia="方正仿宋_GBK" w:cs="Times New Roman"/>
          <w:b w:val="0"/>
          <w:bCs/>
          <w:color w:val="auto"/>
          <w:sz w:val="32"/>
          <w:szCs w:val="32"/>
          <w:shd w:val="clear" w:color="auto" w:fill="FFFFFF"/>
          <w:lang w:val="en-US" w:eastAsia="zh-CN"/>
        </w:rPr>
        <w:t>本单位严格按预算执行无结转结余</w:t>
      </w:r>
      <w:r>
        <w:rPr>
          <w:rFonts w:hint="default" w:ascii="Times New Roman" w:hAnsi="Times New Roman" w:eastAsia="方正仿宋_GBK" w:cs="Times New Roman"/>
          <w:b w:val="0"/>
          <w:bCs/>
          <w:color w:val="auto"/>
          <w:sz w:val="32"/>
          <w:szCs w:val="32"/>
          <w:shd w:val="clear" w:color="auto" w:fill="FFFFFF"/>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cyan"/>
          <w:shd w:val="clear" w:color="auto" w:fill="FFFFFF"/>
        </w:rPr>
      </w:pPr>
      <w:r>
        <w:rPr>
          <w:rStyle w:val="11"/>
          <w:rFonts w:hint="default" w:ascii="Times New Roman" w:hAnsi="Times New Roman" w:eastAsia="方正仿宋_GBK" w:cs="Times New Roman"/>
          <w:b w:val="0"/>
          <w:bCs/>
          <w:color w:val="auto"/>
          <w:sz w:val="32"/>
          <w:szCs w:val="32"/>
          <w:shd w:val="clear" w:color="auto" w:fill="FFFFFF"/>
        </w:rPr>
        <w:t>4.</w:t>
      </w:r>
      <w:r>
        <w:rPr>
          <w:rStyle w:val="11"/>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1"/>
          <w:rFonts w:hint="default" w:ascii="Times New Roman" w:hAnsi="Times New Roman" w:eastAsia="方正仿宋_GBK" w:cs="Times New Roman"/>
          <w:b w:val="0"/>
          <w:bCs/>
          <w:color w:val="auto"/>
          <w:sz w:val="32"/>
          <w:szCs w:val="32"/>
          <w:shd w:val="clear" w:color="auto" w:fill="FFFFFF"/>
        </w:rPr>
        <w:t>比较情况。</w:t>
      </w:r>
      <w:r>
        <w:rPr>
          <w:rFonts w:hint="default" w:ascii="Times New Roman" w:hAnsi="Times New Roman" w:eastAsia="方正仿宋_GBK" w:cs="Times New Roman"/>
          <w:color w:val="auto"/>
          <w:sz w:val="32"/>
          <w:szCs w:val="32"/>
          <w:shd w:val="clear" w:color="auto" w:fill="FFFFFF"/>
        </w:rPr>
        <w:t>本单位2023年度一般公共预算财政拨款支出主要用于以下几个方面：</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52.21</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90.54</w:t>
      </w:r>
      <w:r>
        <w:rPr>
          <w:rFonts w:hint="default" w:ascii="Times New Roman" w:hAnsi="Times New Roman" w:eastAsia="方正仿宋_GBK" w:cs="Times New Roman"/>
          <w:color w:val="auto"/>
          <w:sz w:val="32"/>
          <w:szCs w:val="32"/>
          <w:shd w:val="clear" w:color="auto" w:fill="FFFFFF"/>
        </w:rPr>
        <w:t>%，较年初预算数减少7.15万元，下降12.05%，主要原因是</w:t>
      </w:r>
      <w:r>
        <w:rPr>
          <w:rFonts w:hint="default" w:ascii="Times New Roman" w:hAnsi="Times New Roman" w:eastAsia="方正仿宋_GBK" w:cs="Times New Roman"/>
          <w:color w:val="auto"/>
          <w:sz w:val="32"/>
          <w:szCs w:val="32"/>
          <w:shd w:val="clear" w:color="auto" w:fill="FFFFFF"/>
          <w:lang w:val="en-US" w:eastAsia="zh-CN"/>
        </w:rPr>
        <w:t>人员减少，职工社保缴费减少</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2.40</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4.16</w:t>
      </w:r>
      <w:r>
        <w:rPr>
          <w:rFonts w:hint="default" w:ascii="Times New Roman" w:hAnsi="Times New Roman" w:eastAsia="方正仿宋_GBK" w:cs="Times New Roman"/>
          <w:color w:val="auto"/>
          <w:sz w:val="32"/>
          <w:szCs w:val="32"/>
          <w:shd w:val="clear" w:color="auto" w:fill="FFFFFF"/>
        </w:rPr>
        <w:t>%，较年初预算数减少0.62万元，下降20.53%，主要原因是</w:t>
      </w:r>
      <w:r>
        <w:rPr>
          <w:rFonts w:hint="default" w:ascii="Times New Roman" w:hAnsi="Times New Roman" w:eastAsia="方正仿宋_GBK" w:cs="Times New Roman"/>
          <w:color w:val="auto"/>
          <w:sz w:val="32"/>
          <w:szCs w:val="32"/>
          <w:shd w:val="clear" w:color="auto" w:fill="FFFFFF"/>
          <w:lang w:val="en-US" w:eastAsia="zh-CN"/>
        </w:rPr>
        <w:t>人员减少，职工医疗保障缴费减少。</w:t>
      </w:r>
    </w:p>
    <w:p>
      <w:pPr>
        <w:keepNext w:val="0"/>
        <w:keepLines w:val="0"/>
        <w:pageBreakBefore w:val="0"/>
        <w:widowControl w:val="0"/>
        <w:kinsoku/>
        <w:wordWrap/>
        <w:overflowPunct/>
        <w:topLinePunct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住房保障支出3.05</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5.30</w:t>
      </w:r>
      <w:r>
        <w:rPr>
          <w:rFonts w:hint="default" w:ascii="Times New Roman" w:hAnsi="Times New Roman" w:eastAsia="方正仿宋_GBK" w:cs="Times New Roman"/>
          <w:color w:val="auto"/>
          <w:sz w:val="32"/>
          <w:szCs w:val="32"/>
          <w:shd w:val="clear" w:color="auto" w:fill="FFFFFF"/>
        </w:rPr>
        <w:t>%，较年初预算数无增减，主要原因是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本年度职工住房公积金缴费支出按照年初预算严格执行。</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right="0" w:rightChars="0" w:firstLine="640" w:firstLineChars="200"/>
        <w:jc w:val="both"/>
        <w:textAlignment w:val="auto"/>
        <w:rPr>
          <w:rFonts w:hint="eastAsia" w:ascii="Times New Roman" w:hAnsi="Times New Roman" w:eastAsia="方正楷体_GBK" w:cs="Times New Roman"/>
          <w:color w:val="auto"/>
          <w:kern w:val="0"/>
          <w:sz w:val="32"/>
          <w:szCs w:val="32"/>
          <w:lang w:eastAsia="zh-CN"/>
        </w:rPr>
      </w:pPr>
      <w:r>
        <w:rPr>
          <w:rFonts w:hint="default" w:ascii="Times New Roman" w:hAnsi="Times New Roman" w:eastAsia="方正楷体_GBK" w:cs="Times New Roman"/>
          <w:color w:val="auto"/>
          <w:kern w:val="0"/>
          <w:sz w:val="32"/>
          <w:szCs w:val="32"/>
        </w:rPr>
        <w:t>（四）一般公共预算财政拨款基本支出决算情况说明</w:t>
      </w:r>
      <w:r>
        <w:rPr>
          <w:rFonts w:hint="eastAsia" w:ascii="Times New Roman" w:hAnsi="Times New Roman" w:eastAsia="方正楷体_GBK" w:cs="Times New Roman"/>
          <w:color w:val="auto"/>
          <w:kern w:val="0"/>
          <w:sz w:val="32"/>
          <w:szCs w:val="32"/>
          <w:lang w:eastAsia="zh-CN"/>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2023年度一般公共财政拨款基本支出</w:t>
      </w:r>
      <w:r>
        <w:rPr>
          <w:rFonts w:hint="default" w:ascii="Times New Roman" w:hAnsi="Times New Roman" w:eastAsia="方正仿宋_GBK" w:cs="Times New Roman"/>
          <w:color w:val="auto"/>
          <w:sz w:val="32"/>
          <w:szCs w:val="32"/>
        </w:rPr>
        <w:t>57.66</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51.29</w:t>
      </w:r>
      <w:r>
        <w:rPr>
          <w:rFonts w:hint="default" w:ascii="Times New Roman" w:hAnsi="Times New Roman" w:eastAsia="方正仿宋_GBK" w:cs="Times New Roman"/>
          <w:color w:val="auto"/>
          <w:sz w:val="32"/>
          <w:szCs w:val="32"/>
          <w:shd w:val="clear" w:color="auto" w:fill="FFFFFF"/>
        </w:rPr>
        <w:t>万元，较上年决算数减少3.27万元，下降5.99%，主要原因是</w:t>
      </w:r>
      <w:r>
        <w:rPr>
          <w:rFonts w:hint="default" w:ascii="Times New Roman" w:hAnsi="Times New Roman" w:eastAsia="方正仿宋_GBK" w:cs="Times New Roman"/>
          <w:color w:val="auto"/>
          <w:sz w:val="32"/>
          <w:szCs w:val="32"/>
          <w:shd w:val="clear" w:color="auto" w:fill="FFFFFF"/>
          <w:lang w:val="en-US" w:eastAsia="zh-CN"/>
        </w:rPr>
        <w:t>人员减少，基本支出减少</w:t>
      </w:r>
      <w:r>
        <w:rPr>
          <w:rFonts w:hint="default" w:ascii="Times New Roman" w:hAnsi="Times New Roman" w:eastAsia="方正仿宋_GBK" w:cs="Times New Roman"/>
          <w:color w:val="auto"/>
          <w:sz w:val="32"/>
          <w:szCs w:val="32"/>
          <w:shd w:val="clear" w:color="auto" w:fill="FFFFFF"/>
        </w:rPr>
        <w:t>。人员经费用途主要包括基本工资、津贴补贴、绩效工资、社会保障缴费、住房公积金。公用经费</w:t>
      </w:r>
      <w:r>
        <w:rPr>
          <w:rFonts w:hint="default" w:ascii="Times New Roman" w:hAnsi="Times New Roman" w:eastAsia="方正仿宋_GBK" w:cs="Times New Roman"/>
          <w:color w:val="auto"/>
          <w:sz w:val="32"/>
          <w:szCs w:val="32"/>
        </w:rPr>
        <w:t>6.37</w:t>
      </w:r>
      <w:r>
        <w:rPr>
          <w:rFonts w:hint="default" w:ascii="Times New Roman" w:hAnsi="Times New Roman" w:eastAsia="方正仿宋_GBK" w:cs="Times New Roman"/>
          <w:color w:val="auto"/>
          <w:sz w:val="32"/>
          <w:szCs w:val="32"/>
          <w:shd w:val="clear" w:color="auto" w:fill="FFFFFF"/>
        </w:rPr>
        <w:t>万元，较上年决算数减少5.43万元，下降46.02%，主要原因是</w:t>
      </w:r>
      <w:r>
        <w:rPr>
          <w:rFonts w:hint="default" w:ascii="Times New Roman" w:hAnsi="Times New Roman" w:eastAsia="方正仿宋_GBK" w:cs="Times New Roman"/>
          <w:color w:val="auto"/>
          <w:sz w:val="32"/>
          <w:szCs w:val="32"/>
          <w:shd w:val="clear" w:color="auto" w:fill="FFFFFF"/>
          <w:lang w:val="en-US" w:eastAsia="zh-CN"/>
        </w:rPr>
        <w:t>厉行节约，减少公用经费支出</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b w:val="0"/>
          <w:color w:val="auto"/>
          <w:kern w:val="0"/>
          <w:sz w:val="32"/>
          <w:szCs w:val="32"/>
          <w:shd w:val="clear" w:fill="FFFFFF"/>
        </w:rPr>
        <w:t>办公费、</w:t>
      </w:r>
      <w:r>
        <w:rPr>
          <w:rFonts w:hint="default" w:ascii="Times New Roman" w:hAnsi="Times New Roman" w:eastAsia="方正仿宋_GBK" w:cs="Times New Roman"/>
          <w:b w:val="0"/>
          <w:color w:val="auto"/>
          <w:kern w:val="0"/>
          <w:sz w:val="32"/>
          <w:szCs w:val="32"/>
          <w:shd w:val="clear" w:fill="FFFFFF"/>
          <w:lang w:val="en-US" w:eastAsia="zh-CN"/>
        </w:rPr>
        <w:t>水费、</w:t>
      </w:r>
      <w:r>
        <w:rPr>
          <w:rFonts w:hint="default" w:ascii="Times New Roman" w:hAnsi="Times New Roman" w:eastAsia="方正仿宋_GBK" w:cs="Times New Roman"/>
          <w:b w:val="0"/>
          <w:color w:val="auto"/>
          <w:kern w:val="0"/>
          <w:sz w:val="32"/>
          <w:szCs w:val="32"/>
          <w:shd w:val="clear" w:fill="FFFFFF"/>
        </w:rPr>
        <w:t>电费、</w:t>
      </w:r>
      <w:r>
        <w:rPr>
          <w:rFonts w:hint="default" w:ascii="Times New Roman" w:hAnsi="Times New Roman" w:eastAsia="方正仿宋_GBK" w:cs="Times New Roman"/>
          <w:b w:val="0"/>
          <w:color w:val="auto"/>
          <w:kern w:val="0"/>
          <w:sz w:val="32"/>
          <w:szCs w:val="32"/>
          <w:shd w:val="clear" w:fill="FFFFFF"/>
          <w:lang w:val="en-US" w:eastAsia="zh-CN"/>
        </w:rPr>
        <w:t>培训费</w:t>
      </w:r>
      <w:r>
        <w:rPr>
          <w:rFonts w:hint="default" w:ascii="Times New Roman" w:hAnsi="Times New Roman" w:eastAsia="方正仿宋_GBK" w:cs="Times New Roman"/>
          <w:b w:val="0"/>
          <w:color w:val="auto"/>
          <w:kern w:val="0"/>
          <w:sz w:val="32"/>
          <w:szCs w:val="32"/>
          <w:shd w:val="clear" w:fill="FFFFFF"/>
        </w:rPr>
        <w:t>、</w:t>
      </w:r>
      <w:r>
        <w:rPr>
          <w:rFonts w:hint="default" w:ascii="Times New Roman" w:hAnsi="Times New Roman" w:eastAsia="方正仿宋_GBK" w:cs="Times New Roman"/>
          <w:b w:val="0"/>
          <w:color w:val="auto"/>
          <w:kern w:val="0"/>
          <w:sz w:val="32"/>
          <w:szCs w:val="32"/>
          <w:shd w:val="clear" w:fill="FFFFFF"/>
          <w:lang w:val="en-US" w:eastAsia="zh-CN"/>
        </w:rPr>
        <w:t>差旅费</w:t>
      </w:r>
      <w:r>
        <w:rPr>
          <w:rFonts w:hint="default" w:ascii="Times New Roman" w:hAnsi="Times New Roman" w:eastAsia="方正仿宋_GBK" w:cs="Times New Roman"/>
          <w:b w:val="0"/>
          <w:color w:val="auto"/>
          <w:kern w:val="0"/>
          <w:sz w:val="32"/>
          <w:szCs w:val="32"/>
          <w:shd w:val="clear" w:fill="FFFFFF"/>
        </w:rPr>
        <w:t>和其他商品和服务支出</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val="0"/>
        <w:numPr>
          <w:ilvl w:val="0"/>
          <w:numId w:val="0"/>
        </w:numPr>
        <w:kinsoku/>
        <w:wordWrap/>
        <w:overflowPunct/>
        <w:topLinePunct w:val="0"/>
        <w:autoSpaceDE w:val="0"/>
        <w:autoSpaceDN/>
        <w:bidi w:val="0"/>
        <w:adjustRightInd/>
        <w:snapToGrid/>
        <w:spacing w:afterAutospacing="0" w:line="560" w:lineRule="exact"/>
        <w:ind w:firstLine="640" w:firstLineChars="200"/>
        <w:textAlignment w:val="auto"/>
        <w:rPr>
          <w:rStyle w:val="11"/>
          <w:rFonts w:hint="default" w:ascii="Times New Roman" w:hAnsi="Times New Roman" w:eastAsia="方正楷体_GBK" w:cs="Times New Roman"/>
          <w:b w:val="0"/>
          <w:bCs w:val="0"/>
          <w:color w:val="auto"/>
          <w:sz w:val="32"/>
          <w:szCs w:val="32"/>
          <w:shd w:val="clear" w:color="auto" w:fill="FFFFFF"/>
          <w:lang w:val="en-US" w:eastAsia="zh-CN" w:bidi="ar-SA"/>
        </w:rPr>
      </w:pPr>
      <w:r>
        <w:rPr>
          <w:rStyle w:val="11"/>
          <w:rFonts w:hint="default" w:ascii="Times New Roman" w:hAnsi="Times New Roman" w:eastAsia="方正楷体_GBK" w:cs="Times New Roman"/>
          <w:b w:val="0"/>
          <w:bCs w:val="0"/>
          <w:color w:val="auto"/>
          <w:sz w:val="32"/>
          <w:szCs w:val="32"/>
          <w:shd w:val="clear" w:color="auto" w:fill="FFFFFF"/>
          <w:lang w:val="en-US" w:eastAsia="zh-CN" w:bidi="ar-SA"/>
        </w:rPr>
        <w:t>（五）政府性你基金预算收支决算情况说明</w:t>
      </w:r>
      <w:r>
        <w:rPr>
          <w:rStyle w:val="11"/>
          <w:rFonts w:hint="eastAsia" w:ascii="Times New Roman" w:hAnsi="Times New Roman" w:eastAsia="方正楷体_GBK" w:cs="Times New Roman"/>
          <w:b w:val="0"/>
          <w:bCs w:val="0"/>
          <w:color w:val="auto"/>
          <w:sz w:val="32"/>
          <w:szCs w:val="32"/>
          <w:shd w:val="clear" w:color="auto" w:fill="FFFFFF"/>
          <w:lang w:val="en-US" w:eastAsia="zh-CN" w:bidi="ar-SA"/>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b w:val="0"/>
          <w:bCs/>
          <w:color w:val="auto"/>
          <w:sz w:val="32"/>
          <w:szCs w:val="32"/>
          <w:shd w:val="clear" w:color="auto" w:fill="FFFFFF"/>
          <w:lang w:eastAsia="zh-CN"/>
        </w:rPr>
      </w:pPr>
      <w:r>
        <w:rPr>
          <w:rFonts w:hint="default" w:ascii="Times New Roman" w:hAnsi="Times New Roman" w:eastAsia="方正仿宋_GBK" w:cs="Times New Roman"/>
          <w:b w:val="0"/>
          <w:bCs/>
          <w:color w:val="auto"/>
          <w:sz w:val="32"/>
          <w:szCs w:val="32"/>
          <w:shd w:val="clear" w:color="auto" w:fill="FFFFFF"/>
        </w:rPr>
        <w:t>本单位2023年度无政府性基金预算财政拨款收支。</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Style w:val="11"/>
          <w:rFonts w:hint="default" w:ascii="Times New Roman" w:hAnsi="Times New Roman" w:eastAsia="方正楷体_GBK" w:cs="Times New Roman"/>
          <w:b w:val="0"/>
          <w:bCs w:val="0"/>
          <w:color w:val="auto"/>
          <w:sz w:val="32"/>
          <w:szCs w:val="32"/>
          <w:shd w:val="clear" w:color="auto" w:fill="FFFFFF"/>
          <w:lang w:val="en-US" w:eastAsia="zh-CN" w:bidi="ar-SA"/>
        </w:rPr>
      </w:pPr>
      <w:r>
        <w:rPr>
          <w:rStyle w:val="11"/>
          <w:rFonts w:hint="default" w:ascii="Times New Roman" w:hAnsi="Times New Roman" w:eastAsia="方正楷体_GBK" w:cs="Times New Roman"/>
          <w:b w:val="0"/>
          <w:bCs w:val="0"/>
          <w:color w:val="auto"/>
          <w:sz w:val="32"/>
          <w:szCs w:val="32"/>
          <w:shd w:val="clear" w:color="auto" w:fill="FFFFFF"/>
          <w:lang w:val="en-US" w:eastAsia="zh-CN" w:bidi="ar-SA"/>
        </w:rPr>
        <w:t>（六）国有资本经营预算财政拨款支出决算情况说明</w:t>
      </w:r>
      <w:r>
        <w:rPr>
          <w:rStyle w:val="11"/>
          <w:rFonts w:hint="eastAsia" w:ascii="Times New Roman" w:hAnsi="Times New Roman" w:eastAsia="方正楷体_GBK" w:cs="Times New Roman"/>
          <w:b w:val="0"/>
          <w:bCs w:val="0"/>
          <w:color w:val="auto"/>
          <w:sz w:val="32"/>
          <w:szCs w:val="32"/>
          <w:shd w:val="clear" w:color="auto" w:fill="FFFFFF"/>
          <w:lang w:val="en-US" w:eastAsia="zh-CN" w:bidi="ar-SA"/>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color w:val="auto"/>
          <w:sz w:val="32"/>
          <w:szCs w:val="32"/>
          <w:shd w:val="clear" w:color="auto" w:fill="FFFFFF"/>
        </w:rPr>
        <w:t>本单位2023年度无国有资本经营预算财政拨款支出。</w:t>
      </w:r>
    </w:p>
    <w:p>
      <w:pPr>
        <w:pStyle w:val="6"/>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default" w:ascii="Times New Roman" w:hAnsi="Times New Roman" w:eastAsia="方正黑体_GBK" w:cs="Times New Roman"/>
          <w:b w:val="0"/>
          <w:bCs/>
          <w:color w:val="auto"/>
          <w:sz w:val="32"/>
          <w:szCs w:val="32"/>
          <w:shd w:val="clear" w:color="auto" w:fill="FFFFFF"/>
          <w:lang w:val="en-US" w:eastAsia="zh-CN"/>
        </w:rPr>
      </w:pPr>
      <w:r>
        <w:rPr>
          <w:rStyle w:val="11"/>
          <w:rFonts w:hint="default" w:ascii="Times New Roman" w:hAnsi="Times New Roman" w:eastAsia="方正黑体_GBK" w:cs="Times New Roman"/>
          <w:b w:val="0"/>
          <w:bCs/>
          <w:color w:val="auto"/>
          <w:sz w:val="32"/>
          <w:szCs w:val="32"/>
          <w:shd w:val="clear" w:color="auto" w:fill="FFFFFF"/>
          <w:lang w:val="en-US" w:eastAsia="zh-CN"/>
        </w:rPr>
        <w:t>三、“三公”经费情况说明</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right="0" w:rightChars="0" w:firstLine="640" w:firstLineChars="200"/>
        <w:jc w:val="both"/>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（一）“三公”经费支出总体情况说明</w:t>
      </w:r>
      <w:r>
        <w:rPr>
          <w:rFonts w:hint="eastAsia" w:ascii="Times New Roman" w:hAnsi="Times New Roman" w:eastAsia="方正楷体_GBK" w:cs="Times New Roman"/>
          <w:color w:val="auto"/>
          <w:kern w:val="0"/>
          <w:sz w:val="32"/>
          <w:szCs w:val="32"/>
          <w:lang w:val="en-US" w:eastAsia="zh-CN"/>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2023年度“三公”经费支出共计</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本单位2023年度无“三公”经费预算</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本单位2023年度无“三公”经费支出</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right="0" w:rightChars="0" w:firstLine="640" w:firstLineChars="200"/>
        <w:jc w:val="both"/>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（二）“三公”经费分项支出情况</w:t>
      </w:r>
      <w:r>
        <w:rPr>
          <w:rFonts w:hint="eastAsia" w:ascii="Times New Roman" w:hAnsi="Times New Roman" w:eastAsia="方正楷体_GBK" w:cs="Times New Roman"/>
          <w:color w:val="auto"/>
          <w:kern w:val="0"/>
          <w:sz w:val="32"/>
          <w:szCs w:val="32"/>
          <w:lang w:val="en-US" w:eastAsia="zh-CN"/>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2023年度本单位因公出国（境）费用</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本单位2023年度无</w:t>
      </w:r>
      <w:r>
        <w:rPr>
          <w:rFonts w:hint="default" w:ascii="Times New Roman" w:hAnsi="Times New Roman" w:eastAsia="方正仿宋_GBK" w:cs="Times New Roman"/>
          <w:color w:val="auto"/>
          <w:sz w:val="32"/>
          <w:szCs w:val="32"/>
          <w:shd w:val="clear" w:color="auto" w:fill="FFFFFF"/>
        </w:rPr>
        <w:t>因公出国（境）</w:t>
      </w:r>
      <w:r>
        <w:rPr>
          <w:rFonts w:hint="default" w:ascii="Times New Roman" w:hAnsi="Times New Roman" w:eastAsia="方正仿宋_GBK" w:cs="Times New Roman"/>
          <w:color w:val="auto"/>
          <w:sz w:val="32"/>
          <w:szCs w:val="32"/>
          <w:shd w:val="clear" w:color="auto" w:fill="FFFFFF"/>
          <w:lang w:val="en-US" w:eastAsia="zh-CN"/>
        </w:rPr>
        <w:t>支出</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本单位无</w:t>
      </w:r>
      <w:r>
        <w:rPr>
          <w:rFonts w:hint="default" w:ascii="Times New Roman" w:hAnsi="Times New Roman" w:eastAsia="方正仿宋_GBK" w:cs="Times New Roman"/>
          <w:color w:val="auto"/>
          <w:sz w:val="32"/>
          <w:szCs w:val="32"/>
          <w:shd w:val="clear" w:color="auto" w:fill="FFFFFF"/>
        </w:rPr>
        <w:t>因公出国（境）</w:t>
      </w:r>
      <w:r>
        <w:rPr>
          <w:rFonts w:hint="default" w:ascii="Times New Roman" w:hAnsi="Times New Roman" w:eastAsia="方正仿宋_GBK" w:cs="Times New Roman"/>
          <w:color w:val="auto"/>
          <w:sz w:val="32"/>
          <w:szCs w:val="32"/>
          <w:shd w:val="clear" w:color="auto" w:fill="FFFFFF"/>
          <w:lang w:val="en-US" w:eastAsia="zh-CN"/>
        </w:rPr>
        <w:t>支出</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公务车购置费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万元。费用支出较年初预算数无增减，主要原因是</w:t>
      </w:r>
      <w:r>
        <w:rPr>
          <w:rFonts w:hint="default" w:ascii="Times New Roman" w:hAnsi="Times New Roman" w:eastAsia="方正仿宋_GBK" w:cs="Times New Roman"/>
          <w:b w:val="0"/>
          <w:color w:val="auto"/>
          <w:kern w:val="0"/>
          <w:sz w:val="32"/>
          <w:szCs w:val="32"/>
          <w:shd w:val="clear" w:fill="FFFFFF"/>
        </w:rPr>
        <w:t>本单位202</w:t>
      </w:r>
      <w:r>
        <w:rPr>
          <w:rFonts w:hint="default" w:ascii="Times New Roman" w:hAnsi="Times New Roman" w:eastAsia="方正仿宋_GBK" w:cs="Times New Roman"/>
          <w:b w:val="0"/>
          <w:color w:val="auto"/>
          <w:kern w:val="0"/>
          <w:sz w:val="32"/>
          <w:szCs w:val="32"/>
          <w:shd w:val="clear" w:fill="FFFFFF"/>
          <w:lang w:val="en-US" w:eastAsia="zh-CN"/>
        </w:rPr>
        <w:t>3</w:t>
      </w:r>
      <w:r>
        <w:rPr>
          <w:rFonts w:hint="default" w:ascii="Times New Roman" w:hAnsi="Times New Roman" w:eastAsia="方正仿宋_GBK" w:cs="Times New Roman"/>
          <w:b w:val="0"/>
          <w:color w:val="auto"/>
          <w:kern w:val="0"/>
          <w:sz w:val="32"/>
          <w:szCs w:val="32"/>
          <w:shd w:val="clear" w:fill="FFFFFF"/>
        </w:rPr>
        <w:t>年度未发生公务车购置费用</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b w:val="0"/>
          <w:color w:val="auto"/>
          <w:kern w:val="0"/>
          <w:sz w:val="32"/>
          <w:szCs w:val="32"/>
          <w:shd w:val="clear" w:fill="FFFFFF"/>
        </w:rPr>
        <w:t>本单位</w:t>
      </w:r>
      <w:r>
        <w:rPr>
          <w:rFonts w:hint="default" w:ascii="Times New Roman" w:hAnsi="Times New Roman" w:eastAsia="方正仿宋_GBK" w:cs="Times New Roman"/>
          <w:b w:val="0"/>
          <w:color w:val="auto"/>
          <w:kern w:val="0"/>
          <w:sz w:val="32"/>
          <w:szCs w:val="32"/>
          <w:shd w:val="clear" w:fill="FFFFFF"/>
          <w:lang w:val="en-US" w:eastAsia="zh-CN"/>
        </w:rPr>
        <w:t>无</w:t>
      </w:r>
      <w:r>
        <w:rPr>
          <w:rFonts w:hint="default" w:ascii="Times New Roman" w:hAnsi="Times New Roman" w:eastAsia="方正仿宋_GBK" w:cs="Times New Roman"/>
          <w:b w:val="0"/>
          <w:color w:val="auto"/>
          <w:kern w:val="0"/>
          <w:sz w:val="32"/>
          <w:szCs w:val="32"/>
          <w:shd w:val="clear" w:fill="FFFFFF"/>
        </w:rPr>
        <w:t>公务车购置费用</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公务车运行维护费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万元。费用支出较年初预算数无增减，主要原因是</w:t>
      </w:r>
      <w:r>
        <w:rPr>
          <w:rFonts w:hint="default" w:ascii="Times New Roman" w:hAnsi="Times New Roman" w:eastAsia="方正仿宋_GBK" w:cs="Times New Roman"/>
          <w:b w:val="0"/>
          <w:color w:val="auto"/>
          <w:kern w:val="0"/>
          <w:sz w:val="32"/>
          <w:szCs w:val="32"/>
          <w:shd w:val="clear" w:fill="FFFFFF"/>
        </w:rPr>
        <w:t>本单位202</w:t>
      </w:r>
      <w:r>
        <w:rPr>
          <w:rFonts w:hint="default" w:ascii="Times New Roman" w:hAnsi="Times New Roman" w:eastAsia="方正仿宋_GBK" w:cs="Times New Roman"/>
          <w:b w:val="0"/>
          <w:color w:val="auto"/>
          <w:kern w:val="0"/>
          <w:sz w:val="32"/>
          <w:szCs w:val="32"/>
          <w:shd w:val="clear" w:fill="FFFFFF"/>
          <w:lang w:val="en-US" w:eastAsia="zh-CN"/>
        </w:rPr>
        <w:t>3</w:t>
      </w:r>
      <w:r>
        <w:rPr>
          <w:rFonts w:hint="default" w:ascii="Times New Roman" w:hAnsi="Times New Roman" w:eastAsia="方正仿宋_GBK" w:cs="Times New Roman"/>
          <w:b w:val="0"/>
          <w:color w:val="auto"/>
          <w:kern w:val="0"/>
          <w:sz w:val="32"/>
          <w:szCs w:val="32"/>
          <w:shd w:val="clear" w:fill="FFFFFF"/>
        </w:rPr>
        <w:t>年度未发生</w:t>
      </w:r>
      <w:r>
        <w:rPr>
          <w:rFonts w:hint="default" w:ascii="Times New Roman" w:hAnsi="Times New Roman" w:eastAsia="方正仿宋_GBK" w:cs="Times New Roman"/>
          <w:color w:val="auto"/>
          <w:sz w:val="32"/>
          <w:szCs w:val="32"/>
          <w:shd w:val="clear" w:color="auto" w:fill="FFFFFF"/>
        </w:rPr>
        <w:t>公务车运行维护费。较上年支出数无增减，主要原因是</w:t>
      </w:r>
      <w:r>
        <w:rPr>
          <w:rFonts w:hint="default" w:ascii="Times New Roman" w:hAnsi="Times New Roman" w:eastAsia="方正仿宋_GBK" w:cs="Times New Roman"/>
          <w:b w:val="0"/>
          <w:color w:val="auto"/>
          <w:kern w:val="0"/>
          <w:sz w:val="32"/>
          <w:szCs w:val="32"/>
          <w:shd w:val="clear" w:fill="FFFFFF"/>
        </w:rPr>
        <w:t>本单位</w:t>
      </w:r>
      <w:r>
        <w:rPr>
          <w:rFonts w:hint="default" w:ascii="Times New Roman" w:hAnsi="Times New Roman" w:eastAsia="方正仿宋_GBK" w:cs="Times New Roman"/>
          <w:b w:val="0"/>
          <w:color w:val="auto"/>
          <w:kern w:val="0"/>
          <w:sz w:val="32"/>
          <w:szCs w:val="32"/>
          <w:shd w:val="clear" w:fill="FFFFFF"/>
          <w:lang w:val="en-US" w:eastAsia="zh-CN"/>
        </w:rPr>
        <w:t>无</w:t>
      </w:r>
      <w:r>
        <w:rPr>
          <w:rFonts w:hint="default" w:ascii="Times New Roman" w:hAnsi="Times New Roman" w:eastAsia="方正仿宋_GBK" w:cs="Times New Roman"/>
          <w:color w:val="auto"/>
          <w:sz w:val="32"/>
          <w:szCs w:val="32"/>
          <w:shd w:val="clear" w:color="auto" w:fill="FFFFFF"/>
        </w:rPr>
        <w:t>公务车运行维护费。</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公务接待费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万元。费用支出较年初预算数无增减，主要原因是</w:t>
      </w:r>
      <w:r>
        <w:rPr>
          <w:rFonts w:hint="default" w:ascii="Times New Roman" w:hAnsi="Times New Roman" w:eastAsia="方正仿宋_GBK" w:cs="Times New Roman"/>
          <w:b w:val="0"/>
          <w:color w:val="auto"/>
          <w:kern w:val="0"/>
          <w:sz w:val="32"/>
          <w:szCs w:val="32"/>
          <w:shd w:val="clear" w:fill="FFFFFF"/>
        </w:rPr>
        <w:t>本单位202</w:t>
      </w:r>
      <w:r>
        <w:rPr>
          <w:rFonts w:hint="default" w:ascii="Times New Roman" w:hAnsi="Times New Roman" w:eastAsia="方正仿宋_GBK" w:cs="Times New Roman"/>
          <w:b w:val="0"/>
          <w:color w:val="auto"/>
          <w:kern w:val="0"/>
          <w:sz w:val="32"/>
          <w:szCs w:val="32"/>
          <w:shd w:val="clear" w:fill="FFFFFF"/>
          <w:lang w:val="en-US" w:eastAsia="zh-CN"/>
        </w:rPr>
        <w:t>3</w:t>
      </w:r>
      <w:r>
        <w:rPr>
          <w:rFonts w:hint="default" w:ascii="Times New Roman" w:hAnsi="Times New Roman" w:eastAsia="方正仿宋_GBK" w:cs="Times New Roman"/>
          <w:b w:val="0"/>
          <w:color w:val="auto"/>
          <w:kern w:val="0"/>
          <w:sz w:val="32"/>
          <w:szCs w:val="32"/>
          <w:shd w:val="clear" w:fill="FFFFFF"/>
        </w:rPr>
        <w:t>年度未发生</w:t>
      </w:r>
      <w:r>
        <w:rPr>
          <w:rFonts w:hint="default" w:ascii="Times New Roman" w:hAnsi="Times New Roman" w:eastAsia="方正仿宋_GBK" w:cs="Times New Roman"/>
          <w:color w:val="auto"/>
          <w:sz w:val="32"/>
          <w:szCs w:val="32"/>
          <w:shd w:val="clear" w:color="auto" w:fill="FFFFFF"/>
        </w:rPr>
        <w:t>公务接待费。较上年支出数无增减，主要原因是</w:t>
      </w:r>
      <w:r>
        <w:rPr>
          <w:rFonts w:hint="default" w:ascii="Times New Roman" w:hAnsi="Times New Roman" w:eastAsia="方正仿宋_GBK" w:cs="Times New Roman"/>
          <w:b w:val="0"/>
          <w:color w:val="auto"/>
          <w:kern w:val="0"/>
          <w:sz w:val="32"/>
          <w:szCs w:val="32"/>
          <w:shd w:val="clear" w:fill="FFFFFF"/>
        </w:rPr>
        <w:t>本单位</w:t>
      </w:r>
      <w:r>
        <w:rPr>
          <w:rFonts w:hint="default" w:ascii="Times New Roman" w:hAnsi="Times New Roman" w:eastAsia="方正仿宋_GBK" w:cs="Times New Roman"/>
          <w:b w:val="0"/>
          <w:color w:val="auto"/>
          <w:kern w:val="0"/>
          <w:sz w:val="32"/>
          <w:szCs w:val="32"/>
          <w:shd w:val="clear" w:fill="FFFFFF"/>
          <w:lang w:val="en-US" w:eastAsia="zh-CN"/>
        </w:rPr>
        <w:t>无</w:t>
      </w:r>
      <w:r>
        <w:rPr>
          <w:rFonts w:hint="default" w:ascii="Times New Roman" w:hAnsi="Times New Roman" w:eastAsia="方正仿宋_GBK" w:cs="Times New Roman"/>
          <w:color w:val="auto"/>
          <w:sz w:val="32"/>
          <w:szCs w:val="32"/>
          <w:shd w:val="clear" w:color="auto" w:fill="FFFFFF"/>
        </w:rPr>
        <w:t>公务接待费。</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right="0" w:rightChars="0" w:firstLine="640" w:firstLineChars="200"/>
        <w:jc w:val="both"/>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（三）“三公”经费实物量情况</w:t>
      </w:r>
      <w:r>
        <w:rPr>
          <w:rFonts w:hint="eastAsia" w:ascii="Times New Roman" w:hAnsi="Times New Roman" w:eastAsia="方正楷体_GBK" w:cs="Times New Roman"/>
          <w:color w:val="auto"/>
          <w:kern w:val="0"/>
          <w:sz w:val="32"/>
          <w:szCs w:val="32"/>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2023年度本单位因公出国（境）共计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辆，公务车保有量为</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人。2023年本单位人均接待费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default" w:ascii="Times New Roman" w:hAnsi="Times New Roman" w:eastAsia="方正黑体_GBK" w:cs="Times New Roman"/>
          <w:b w:val="0"/>
          <w:bCs/>
          <w:color w:val="auto"/>
          <w:sz w:val="32"/>
          <w:szCs w:val="32"/>
          <w:shd w:val="clear" w:color="auto" w:fill="FFFFFF"/>
          <w:lang w:val="en-US" w:eastAsia="zh-CN"/>
        </w:rPr>
      </w:pPr>
      <w:r>
        <w:rPr>
          <w:rStyle w:val="11"/>
          <w:rFonts w:hint="default" w:ascii="Times New Roman" w:hAnsi="Times New Roman" w:eastAsia="方正黑体_GBK" w:cs="Times New Roman"/>
          <w:b w:val="0"/>
          <w:bCs/>
          <w:color w:val="auto"/>
          <w:sz w:val="32"/>
          <w:szCs w:val="32"/>
          <w:shd w:val="clear" w:color="auto" w:fill="FFFFFF"/>
          <w:lang w:val="en-US" w:eastAsia="zh-CN"/>
        </w:rPr>
        <w:t>四、其他需要说明的事项</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right="0" w:rightChars="0" w:firstLine="640" w:firstLineChars="200"/>
        <w:jc w:val="both"/>
        <w:textAlignment w:val="auto"/>
        <w:rPr>
          <w:rFonts w:hint="eastAsia" w:ascii="Times New Roman" w:hAnsi="Times New Roman" w:eastAsia="方正楷体_GBK" w:cs="Times New Roman"/>
          <w:color w:val="auto"/>
          <w:kern w:val="0"/>
          <w:sz w:val="32"/>
          <w:szCs w:val="32"/>
          <w:lang w:eastAsia="zh-CN"/>
        </w:rPr>
      </w:pPr>
      <w:r>
        <w:rPr>
          <w:rFonts w:hint="default" w:ascii="Times New Roman" w:hAnsi="Times New Roman" w:eastAsia="方正楷体_GBK" w:cs="Times New Roman"/>
          <w:color w:val="auto"/>
          <w:kern w:val="0"/>
          <w:sz w:val="32"/>
          <w:szCs w:val="32"/>
        </w:rPr>
        <w:t>（一）财政拨款会议费和培训费情况说明</w:t>
      </w:r>
      <w:r>
        <w:rPr>
          <w:rFonts w:hint="eastAsia" w:ascii="Times New Roman" w:hAnsi="Times New Roman" w:eastAsia="方正楷体_GBK" w:cs="Times New Roman"/>
          <w:color w:val="auto"/>
          <w:kern w:val="0"/>
          <w:sz w:val="32"/>
          <w:szCs w:val="32"/>
          <w:lang w:eastAsia="zh-CN"/>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本年度会议费支出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万元，较上年决算数减少0.17万元，下降100.00%，主要原因是</w:t>
      </w:r>
      <w:r>
        <w:rPr>
          <w:rFonts w:hint="default" w:ascii="Times New Roman" w:hAnsi="Times New Roman" w:eastAsia="方正仿宋_GBK" w:cs="Times New Roman"/>
          <w:color w:val="auto"/>
          <w:sz w:val="32"/>
          <w:szCs w:val="32"/>
          <w:shd w:val="clear" w:color="auto" w:fill="FFFFFF"/>
          <w:lang w:val="en-US" w:eastAsia="zh-CN"/>
        </w:rPr>
        <w:t>本单位2023年度未开展相关会议</w:t>
      </w:r>
      <w:r>
        <w:rPr>
          <w:rFonts w:hint="default" w:ascii="Times New Roman" w:hAnsi="Times New Roman" w:eastAsia="方正仿宋_GBK" w:cs="Times New Roman"/>
          <w:color w:val="auto"/>
          <w:sz w:val="32"/>
          <w:szCs w:val="32"/>
          <w:shd w:val="clear" w:color="auto" w:fill="FFFFFF"/>
        </w:rPr>
        <w:t>。本年度培训费支出</w:t>
      </w:r>
      <w:r>
        <w:rPr>
          <w:rFonts w:hint="default" w:ascii="Times New Roman" w:hAnsi="Times New Roman" w:eastAsia="方正仿宋_GBK" w:cs="Times New Roman"/>
          <w:color w:val="auto"/>
          <w:sz w:val="32"/>
          <w:szCs w:val="32"/>
        </w:rPr>
        <w:t>0.38</w:t>
      </w:r>
      <w:r>
        <w:rPr>
          <w:rFonts w:hint="default" w:ascii="Times New Roman" w:hAnsi="Times New Roman" w:eastAsia="方正仿宋_GBK" w:cs="Times New Roman"/>
          <w:color w:val="auto"/>
          <w:sz w:val="32"/>
          <w:szCs w:val="32"/>
          <w:shd w:val="clear" w:color="auto" w:fill="FFFFFF"/>
        </w:rPr>
        <w:t>万元，较上年决算数增加0.18万元，增长90.00%，主要原因是</w:t>
      </w:r>
      <w:r>
        <w:rPr>
          <w:rFonts w:hint="default" w:ascii="Times New Roman" w:hAnsi="Times New Roman" w:eastAsia="方正仿宋_GBK" w:cs="Times New Roman"/>
          <w:b w:val="0"/>
          <w:bCs/>
          <w:color w:val="auto"/>
          <w:sz w:val="32"/>
          <w:szCs w:val="32"/>
          <w:shd w:val="clear" w:color="auto" w:fill="FFFFFF"/>
          <w:lang w:val="en-US" w:eastAsia="zh-CN"/>
        </w:rPr>
        <w:t>本单位2023年度</w:t>
      </w:r>
      <w:r>
        <w:rPr>
          <w:rFonts w:hint="default" w:ascii="Times New Roman" w:hAnsi="Times New Roman" w:eastAsia="方正仿宋_GBK" w:cs="Times New Roman"/>
          <w:b w:val="0"/>
          <w:bCs/>
          <w:color w:val="auto"/>
          <w:kern w:val="0"/>
          <w:sz w:val="32"/>
          <w:szCs w:val="32"/>
          <w:shd w:val="clear" w:fill="FFFFFF"/>
        </w:rPr>
        <w:t>新增职工教育经费</w:t>
      </w:r>
      <w:r>
        <w:rPr>
          <w:rFonts w:hint="default" w:ascii="Times New Roman" w:hAnsi="Times New Roman" w:eastAsia="方正仿宋_GBK" w:cs="Times New Roman"/>
          <w:b w:val="0"/>
          <w:bCs/>
          <w:color w:val="auto"/>
          <w:kern w:val="0"/>
          <w:sz w:val="32"/>
          <w:szCs w:val="32"/>
          <w:shd w:val="clear" w:fill="FFFFFF"/>
          <w:lang w:val="en-US" w:eastAsia="zh-CN"/>
        </w:rPr>
        <w:t>支出</w:t>
      </w:r>
      <w:r>
        <w:rPr>
          <w:rFonts w:hint="default" w:ascii="Times New Roman" w:hAnsi="Times New Roman" w:eastAsia="方正仿宋_GBK" w:cs="Times New Roman"/>
          <w:b w:val="0"/>
          <w:bCs/>
          <w:color w:val="auto"/>
          <w:sz w:val="32"/>
          <w:szCs w:val="32"/>
          <w:shd w:val="clear" w:color="auto" w:fill="FFFFFF"/>
        </w:rPr>
        <w:t>。</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right="0" w:rightChars="0" w:firstLine="640" w:firstLineChars="200"/>
        <w:jc w:val="both"/>
        <w:textAlignment w:val="auto"/>
        <w:rPr>
          <w:rFonts w:hint="eastAsia" w:ascii="Times New Roman" w:hAnsi="Times New Roman" w:eastAsia="方正楷体_GBK" w:cs="Times New Roman"/>
          <w:color w:val="auto"/>
          <w:kern w:val="0"/>
          <w:sz w:val="32"/>
          <w:szCs w:val="32"/>
          <w:lang w:eastAsia="zh-CN"/>
        </w:rPr>
      </w:pPr>
      <w:r>
        <w:rPr>
          <w:rFonts w:hint="default" w:ascii="Times New Roman" w:hAnsi="Times New Roman" w:eastAsia="方正楷体_GBK" w:cs="Times New Roman"/>
          <w:color w:val="auto"/>
          <w:kern w:val="0"/>
          <w:sz w:val="32"/>
          <w:szCs w:val="32"/>
        </w:rPr>
        <w:t>（二）机关运行经费情况说明</w:t>
      </w:r>
      <w:r>
        <w:rPr>
          <w:rFonts w:hint="eastAsia" w:ascii="Times New Roman" w:hAnsi="Times New Roman" w:eastAsia="方正楷体_GBK" w:cs="Times New Roman"/>
          <w:color w:val="auto"/>
          <w:kern w:val="0"/>
          <w:sz w:val="32"/>
          <w:szCs w:val="32"/>
          <w:lang w:eastAsia="zh-CN"/>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按照部门决算列报口径，我单位不在机关运行经费统计范围之内</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right="0" w:rightChars="0" w:firstLine="640" w:firstLineChars="200"/>
        <w:jc w:val="both"/>
        <w:textAlignment w:val="auto"/>
        <w:rPr>
          <w:rFonts w:hint="eastAsia" w:ascii="Times New Roman" w:hAnsi="Times New Roman" w:eastAsia="方正楷体_GBK" w:cs="Times New Roman"/>
          <w:color w:val="auto"/>
          <w:kern w:val="0"/>
          <w:sz w:val="32"/>
          <w:szCs w:val="32"/>
          <w:lang w:eastAsia="zh-CN"/>
        </w:rPr>
      </w:pPr>
      <w:r>
        <w:rPr>
          <w:rFonts w:hint="default" w:ascii="Times New Roman" w:hAnsi="Times New Roman" w:eastAsia="方正楷体_GBK" w:cs="Times New Roman"/>
          <w:color w:val="auto"/>
          <w:kern w:val="0"/>
          <w:sz w:val="32"/>
          <w:szCs w:val="32"/>
        </w:rPr>
        <w:t>（三）国有资产占用情况说明</w:t>
      </w:r>
      <w:r>
        <w:rPr>
          <w:rFonts w:hint="eastAsia" w:ascii="Times New Roman" w:hAnsi="Times New Roman" w:eastAsia="方正楷体_GBK" w:cs="Times New Roman"/>
          <w:color w:val="auto"/>
          <w:kern w:val="0"/>
          <w:sz w:val="32"/>
          <w:szCs w:val="32"/>
          <w:lang w:eastAsia="zh-CN"/>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截至2023年12月31日，本单位共有车辆</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辆。单价100万元（含）以上专用设备</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台（套）。</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right="0" w:rightChars="0" w:firstLine="640" w:firstLineChars="200"/>
        <w:jc w:val="both"/>
        <w:textAlignment w:val="auto"/>
        <w:rPr>
          <w:rFonts w:hint="eastAsia" w:ascii="Times New Roman" w:hAnsi="Times New Roman" w:eastAsia="方正楷体_GBK" w:cs="Times New Roman"/>
          <w:color w:val="auto"/>
          <w:kern w:val="0"/>
          <w:sz w:val="32"/>
          <w:szCs w:val="32"/>
          <w:lang w:eastAsia="zh-CN"/>
        </w:rPr>
      </w:pPr>
      <w:r>
        <w:rPr>
          <w:rFonts w:hint="default" w:ascii="Times New Roman" w:hAnsi="Times New Roman" w:eastAsia="方正楷体_GBK" w:cs="Times New Roman"/>
          <w:color w:val="auto"/>
          <w:kern w:val="0"/>
          <w:sz w:val="32"/>
          <w:szCs w:val="32"/>
        </w:rPr>
        <w:t>（四）政府采购支出情况说明</w:t>
      </w:r>
      <w:r>
        <w:rPr>
          <w:rFonts w:hint="eastAsia" w:ascii="Times New Roman" w:hAnsi="Times New Roman" w:eastAsia="方正楷体_GBK" w:cs="Times New Roman"/>
          <w:color w:val="auto"/>
          <w:kern w:val="0"/>
          <w:sz w:val="32"/>
          <w:szCs w:val="32"/>
          <w:lang w:eastAsia="zh-CN"/>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2023年度我单位未发生政府采购事项，无相关经费支出。</w:t>
      </w:r>
    </w:p>
    <w:p>
      <w:pPr>
        <w:pStyle w:val="6"/>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default" w:ascii="Times New Roman" w:hAnsi="Times New Roman" w:eastAsia="方正黑体_GBK" w:cs="Times New Roman"/>
          <w:b w:val="0"/>
          <w:bCs/>
          <w:color w:val="auto"/>
          <w:sz w:val="32"/>
          <w:szCs w:val="32"/>
          <w:shd w:val="clear" w:color="auto" w:fill="FFFFFF"/>
        </w:rPr>
      </w:pPr>
      <w:r>
        <w:rPr>
          <w:rStyle w:val="11"/>
          <w:rFonts w:hint="default" w:ascii="Times New Roman" w:hAnsi="Times New Roman" w:eastAsia="方正黑体_GBK" w:cs="Times New Roman"/>
          <w:b w:val="0"/>
          <w:bCs/>
          <w:color w:val="auto"/>
          <w:sz w:val="32"/>
          <w:szCs w:val="32"/>
          <w:shd w:val="clear" w:color="auto" w:fill="FFFFFF"/>
          <w:lang w:val="en-US" w:eastAsia="zh-CN"/>
        </w:rPr>
        <w:t>五、</w:t>
      </w:r>
      <w:r>
        <w:rPr>
          <w:rStyle w:val="11"/>
          <w:rFonts w:hint="default" w:ascii="Times New Roman" w:hAnsi="Times New Roman" w:eastAsia="方正黑体_GBK" w:cs="Times New Roman"/>
          <w:b w:val="0"/>
          <w:bCs/>
          <w:color w:val="auto"/>
          <w:sz w:val="32"/>
          <w:szCs w:val="32"/>
          <w:shd w:val="clear" w:color="auto" w:fill="FFFFFF"/>
        </w:rPr>
        <w:t>预算绩效管理情况说明</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right="0" w:rightChars="0" w:firstLine="640" w:firstLineChars="200"/>
        <w:jc w:val="both"/>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（一）单位自评情况</w:t>
      </w:r>
      <w:r>
        <w:rPr>
          <w:rFonts w:hint="eastAsia" w:ascii="Times New Roman" w:hAnsi="Times New Roman" w:eastAsia="方正楷体_GBK" w:cs="Times New Roman"/>
          <w:color w:val="auto"/>
          <w:kern w:val="0"/>
          <w:sz w:val="32"/>
          <w:szCs w:val="32"/>
          <w:lang w:val="en-US" w:eastAsia="zh-CN"/>
        </w:rPr>
        <w:t>。</w:t>
      </w:r>
    </w:p>
    <w:p>
      <w:pPr>
        <w:pStyle w:val="13"/>
        <w:keepNext w:val="0"/>
        <w:keepLines w:val="0"/>
        <w:pageBreakBefore w:val="0"/>
        <w:widowControl w:val="0"/>
        <w:kinsoku/>
        <w:wordWrap/>
        <w:overflowPunct/>
        <w:topLinePunct w:val="0"/>
        <w:autoSpaceDE w:val="0"/>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lang w:val="en-US" w:eastAsia="zh-CN"/>
        </w:rPr>
        <w:t>本单位2023年度无项目支出，未开展绩效自评。</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right="0" w:rightChars="0" w:firstLine="640" w:firstLineChars="200"/>
        <w:jc w:val="both"/>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（二）单位绩效评价情况</w:t>
      </w:r>
      <w:r>
        <w:rPr>
          <w:rFonts w:hint="eastAsia" w:ascii="Times New Roman" w:hAnsi="Times New Roman" w:eastAsia="方正楷体_GBK" w:cs="Times New Roman"/>
          <w:color w:val="auto"/>
          <w:kern w:val="0"/>
          <w:sz w:val="32"/>
          <w:szCs w:val="32"/>
          <w:lang w:val="en-US" w:eastAsia="zh-CN"/>
        </w:rPr>
        <w:t>。</w:t>
      </w:r>
    </w:p>
    <w:p>
      <w:pPr>
        <w:pStyle w:val="12"/>
        <w:keepNext w:val="0"/>
        <w:keepLines w:val="0"/>
        <w:pageBreakBefore w:val="0"/>
        <w:widowControl w:val="0"/>
        <w:kinsoku/>
        <w:wordWrap/>
        <w:overflowPunct/>
        <w:topLinePunct w:val="0"/>
        <w:autoSpaceDE w:val="0"/>
        <w:autoSpaceDN/>
        <w:bidi w:val="0"/>
        <w:adjustRightInd/>
        <w:snapToGrid/>
        <w:spacing w:afterAutospacing="0"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val="en-US" w:eastAsia="zh-CN" w:bidi="ar-SA"/>
        </w:rPr>
      </w:pPr>
      <w:r>
        <w:rPr>
          <w:rFonts w:hint="default" w:ascii="Times New Roman" w:hAnsi="Times New Roman" w:eastAsia="方正仿宋_GBK" w:cs="Times New Roman"/>
          <w:color w:val="auto"/>
          <w:sz w:val="32"/>
          <w:szCs w:val="32"/>
          <w:highlight w:val="none"/>
          <w:shd w:val="clear" w:color="auto" w:fill="FFFFFF"/>
          <w:lang w:val="en-US" w:eastAsia="zh-CN" w:bidi="ar-SA"/>
        </w:rPr>
        <w:t>我单位未组织开展绩效评价。</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right="0" w:rightChars="0" w:firstLine="640" w:firstLineChars="200"/>
        <w:jc w:val="both"/>
        <w:textAlignment w:val="auto"/>
        <w:rPr>
          <w:rFonts w:hint="eastAsia"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（三）财政绩效评价情况</w:t>
      </w:r>
      <w:r>
        <w:rPr>
          <w:rFonts w:hint="eastAsia" w:ascii="Times New Roman" w:hAnsi="Times New Roman" w:eastAsia="方正楷体_GBK" w:cs="Times New Roman"/>
          <w:color w:val="auto"/>
          <w:kern w:val="0"/>
          <w:sz w:val="32"/>
          <w:szCs w:val="32"/>
          <w:lang w:val="en-US" w:eastAsia="zh-CN"/>
        </w:rPr>
        <w:t>。</w:t>
      </w:r>
    </w:p>
    <w:p>
      <w:pPr>
        <w:pStyle w:val="12"/>
        <w:keepNext w:val="0"/>
        <w:keepLines w:val="0"/>
        <w:pageBreakBefore w:val="0"/>
        <w:widowControl w:val="0"/>
        <w:kinsoku/>
        <w:wordWrap/>
        <w:overflowPunct/>
        <w:topLinePunct w:val="0"/>
        <w:autoSpaceDE w:val="0"/>
        <w:autoSpaceDN/>
        <w:bidi w:val="0"/>
        <w:adjustRightInd/>
        <w:snapToGrid/>
        <w:spacing w:afterAutospacing="0"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val="en-US" w:eastAsia="zh-CN" w:bidi="ar-SA"/>
        </w:rPr>
      </w:pPr>
      <w:r>
        <w:rPr>
          <w:rFonts w:hint="default" w:ascii="Times New Roman" w:hAnsi="Times New Roman" w:eastAsia="方正仿宋_GBK" w:cs="Times New Roman"/>
          <w:color w:val="auto"/>
          <w:sz w:val="32"/>
          <w:szCs w:val="32"/>
          <w:highlight w:val="none"/>
          <w:shd w:val="clear" w:color="auto" w:fill="FFFFFF"/>
          <w:lang w:val="en-US" w:eastAsia="zh-CN" w:bidi="ar-SA"/>
        </w:rPr>
        <w:t>市财政局未委托第三方对我单位开展绩效评价。</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hint="default" w:ascii="Times New Roman" w:hAnsi="Times New Roman" w:eastAsia="方正黑体_GBK" w:cs="Times New Roman"/>
          <w:b w:val="0"/>
          <w:bCs/>
          <w:color w:val="auto"/>
          <w:sz w:val="32"/>
          <w:szCs w:val="32"/>
          <w:shd w:val="clear" w:color="auto" w:fill="FFFFFF"/>
        </w:rPr>
      </w:pPr>
      <w:r>
        <w:rPr>
          <w:rStyle w:val="11"/>
          <w:rFonts w:hint="default" w:ascii="Times New Roman" w:hAnsi="Times New Roman" w:eastAsia="方正黑体_GBK" w:cs="Times New Roman"/>
          <w:b w:val="0"/>
          <w:bCs/>
          <w:color w:val="auto"/>
          <w:sz w:val="32"/>
          <w:szCs w:val="32"/>
          <w:shd w:val="clear" w:color="auto" w:fill="FFFFFF"/>
        </w:rPr>
        <w:t>六、专业名词解释</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（一）财政拨款收入：</w:t>
      </w:r>
      <w:r>
        <w:rPr>
          <w:rFonts w:hint="default" w:ascii="Times New Roman" w:hAnsi="Times New Roman" w:eastAsia="方正仿宋_GBK" w:cs="Times New Roman"/>
          <w:color w:val="auto"/>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（二）事业收入：</w:t>
      </w:r>
      <w:r>
        <w:rPr>
          <w:rFonts w:hint="default" w:ascii="Times New Roman" w:hAnsi="Times New Roman" w:eastAsia="方正仿宋_GBK" w:cs="Times New Roman"/>
          <w:color w:val="auto"/>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（三）经营收入：</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楷体_GBK" w:cs="Times New Roman"/>
          <w:color w:val="auto"/>
          <w:kern w:val="0"/>
          <w:sz w:val="32"/>
          <w:szCs w:val="32"/>
          <w:lang w:val="en-US" w:eastAsia="zh-CN" w:bidi="ar-SA"/>
        </w:rPr>
        <w:t>（四）其他收入：</w:t>
      </w:r>
      <w:r>
        <w:rPr>
          <w:rFonts w:hint="default" w:ascii="Times New Roman" w:hAnsi="Times New Roman" w:eastAsia="方正仿宋_GBK" w:cs="Times New Roman"/>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（五）使用非财政拨款结余：</w:t>
      </w:r>
      <w:r>
        <w:rPr>
          <w:rFonts w:hint="default" w:ascii="Times New Roman" w:hAnsi="Times New Roman" w:eastAsia="方正仿宋_GBK" w:cs="Times New Roman"/>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（六）年初结转和结余：</w:t>
      </w:r>
      <w:r>
        <w:rPr>
          <w:rFonts w:hint="default" w:ascii="Times New Roman" w:hAnsi="Times New Roman" w:eastAsia="方正仿宋_GBK" w:cs="Times New Roman"/>
          <w:color w:val="auto"/>
          <w:sz w:val="32"/>
          <w:szCs w:val="32"/>
          <w:shd w:val="clear" w:color="auto" w:fill="FFFFFF"/>
        </w:rPr>
        <w:t>指单位上年结转本年使用的基本支出结转、项目支出结转和结余、经营结余。</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（七）结余分配：</w:t>
      </w:r>
      <w:r>
        <w:rPr>
          <w:rFonts w:hint="default" w:ascii="Times New Roman" w:hAnsi="Times New Roman" w:eastAsia="方正仿宋_GBK" w:cs="Times New Roman"/>
          <w:color w:val="auto"/>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（八）年末结转和结余：</w:t>
      </w:r>
      <w:r>
        <w:rPr>
          <w:rFonts w:hint="default" w:ascii="Times New Roman" w:hAnsi="Times New Roman" w:eastAsia="方正仿宋_GBK" w:cs="Times New Roman"/>
          <w:color w:val="auto"/>
          <w:sz w:val="32"/>
          <w:szCs w:val="32"/>
          <w:shd w:val="clear" w:color="auto" w:fill="FFFFFF"/>
        </w:rPr>
        <w:t>指单位结转下年的基本支出结转、项目支出结转和结余、经营结余。</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（九）基本支出：</w:t>
      </w:r>
      <w:r>
        <w:rPr>
          <w:rFonts w:hint="default" w:ascii="Times New Roman" w:hAnsi="Times New Roman" w:eastAsia="方正仿宋_GBK" w:cs="Times New Roman"/>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（十）项目支出：</w:t>
      </w:r>
      <w:r>
        <w:rPr>
          <w:rFonts w:hint="default" w:ascii="Times New Roman" w:hAnsi="Times New Roman" w:eastAsia="方正仿宋_GBK" w:cs="Times New Roman"/>
          <w:color w:val="auto"/>
          <w:sz w:val="32"/>
          <w:szCs w:val="32"/>
          <w:shd w:val="clear" w:color="auto" w:fill="FFFFFF"/>
        </w:rPr>
        <w:t>指在基本支出之外为完成特定行政任务和事业发展目标所发生的支出。</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（十一）经营支出：</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（十二）“三公”经费：</w:t>
      </w:r>
      <w:r>
        <w:rPr>
          <w:rFonts w:hint="default" w:ascii="Times New Roman" w:hAnsi="Times New Roman" w:eastAsia="方正仿宋_GBK" w:cs="Times New Roman"/>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（十三）机关运行经费：</w:t>
      </w:r>
      <w:r>
        <w:rPr>
          <w:rFonts w:hint="default" w:ascii="Times New Roman" w:hAnsi="Times New Roman" w:eastAsia="方正仿宋_GBK" w:cs="Times New Roman"/>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（十四）工资福利支出（支出经济分类科目类级）：</w:t>
      </w:r>
      <w:r>
        <w:rPr>
          <w:rFonts w:hint="default" w:ascii="Times New Roman" w:hAnsi="Times New Roman" w:eastAsia="方正仿宋_GBK" w:cs="Times New Roman"/>
          <w:color w:val="auto"/>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（十五）商品和服务支出（支出经济分类科目类级）：</w:t>
      </w:r>
      <w:r>
        <w:rPr>
          <w:rFonts w:hint="default" w:ascii="Times New Roman" w:hAnsi="Times New Roman" w:eastAsia="方正仿宋_GBK" w:cs="Times New Roman"/>
          <w:color w:val="auto"/>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（十六）对个人和家庭的补助（支出经济分类科目类级）：</w:t>
      </w:r>
      <w:r>
        <w:rPr>
          <w:rFonts w:hint="default" w:ascii="Times New Roman" w:hAnsi="Times New Roman" w:eastAsia="方正仿宋_GBK" w:cs="Times New Roman"/>
          <w:color w:val="auto"/>
          <w:sz w:val="32"/>
          <w:szCs w:val="32"/>
          <w:shd w:val="clear" w:color="auto" w:fill="FFFFFF"/>
        </w:rPr>
        <w:t>反映用于对个人和家庭的补助支出。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（十七）其他资本性支出（支出经济分类科目类级）：</w:t>
      </w:r>
      <w:r>
        <w:rPr>
          <w:rFonts w:hint="default" w:ascii="Times New Roman" w:hAnsi="Times New Roman" w:eastAsia="方正仿宋_GBK" w:cs="Times New Roman"/>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default" w:ascii="Times New Roman" w:hAnsi="Times New Roman" w:eastAsia="方正黑体_GBK" w:cs="Times New Roman"/>
          <w:b w:val="0"/>
          <w:bCs/>
          <w:color w:val="auto"/>
          <w:sz w:val="32"/>
          <w:szCs w:val="32"/>
          <w:shd w:val="clear" w:color="auto" w:fill="FFFFFF"/>
        </w:rPr>
      </w:pPr>
      <w:r>
        <w:rPr>
          <w:rStyle w:val="11"/>
          <w:rFonts w:hint="default" w:ascii="Times New Roman" w:hAnsi="Times New Roman" w:eastAsia="方正黑体_GBK" w:cs="Times New Roman"/>
          <w:b w:val="0"/>
          <w:bCs/>
          <w:color w:val="auto"/>
          <w:sz w:val="32"/>
          <w:szCs w:val="32"/>
          <w:shd w:val="clear" w:color="auto" w:fill="FFFFFF"/>
        </w:rPr>
        <w:t>七、决算公开联系方式及信息反馈渠道</w:t>
      </w:r>
    </w:p>
    <w:p>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本单位决算公开信息反馈和联系方式：</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b w:val="0"/>
          <w:color w:val="auto"/>
          <w:kern w:val="0"/>
          <w:sz w:val="32"/>
          <w:szCs w:val="32"/>
          <w:shd w:val="clear" w:fill="FFFFFF"/>
        </w:rPr>
        <w:t>许发琼   023-4635</w:t>
      </w:r>
      <w:r>
        <w:rPr>
          <w:rFonts w:hint="default" w:ascii="Times New Roman" w:hAnsi="Times New Roman" w:eastAsia="方正仿宋_GBK" w:cs="Times New Roman"/>
          <w:b w:val="0"/>
          <w:color w:val="auto"/>
          <w:kern w:val="0"/>
          <w:sz w:val="32"/>
          <w:szCs w:val="32"/>
          <w:shd w:val="clear" w:fill="FFFFFF"/>
          <w:lang w:val="en-US" w:eastAsia="zh-CN"/>
        </w:rPr>
        <w:t>7757</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38" w:leftChars="266" w:firstLine="640" w:firstLineChars="200"/>
        <w:jc w:val="both"/>
        <w:textAlignment w:val="auto"/>
        <w:rPr>
          <w:rFonts w:hint="default" w:ascii="Times New Roman" w:hAnsi="Times New Roman" w:eastAsia="方正仿宋_GBK" w:cs="Times New Roman"/>
          <w:b w:val="0"/>
          <w:color w:val="auto"/>
          <w:kern w:val="0"/>
          <w:sz w:val="32"/>
          <w:szCs w:val="32"/>
          <w:shd w:val="clear" w:fill="FFFFFF"/>
        </w:rPr>
      </w:pP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1598" w:leftChars="266" w:hanging="960" w:hangingChars="300"/>
        <w:jc w:val="both"/>
        <w:textAlignment w:val="auto"/>
        <w:rPr>
          <w:rFonts w:hint="default" w:ascii="Times New Roman" w:hAnsi="Times New Roman" w:eastAsia="方正仿宋_GBK" w:cs="Times New Roman"/>
          <w:color w:val="auto"/>
          <w:kern w:val="0"/>
          <w:sz w:val="32"/>
          <w:szCs w:val="32"/>
          <w:shd w:val="clear" w:fill="FFFFFF"/>
          <w:lang w:val="en-US" w:eastAsia="zh-CN"/>
        </w:rPr>
      </w:pPr>
      <w:r>
        <w:rPr>
          <w:rFonts w:hint="default" w:ascii="Times New Roman" w:hAnsi="Times New Roman" w:eastAsia="方正仿宋_GBK" w:cs="Times New Roman"/>
          <w:b w:val="0"/>
          <w:color w:val="auto"/>
          <w:kern w:val="0"/>
          <w:sz w:val="32"/>
          <w:szCs w:val="32"/>
          <w:shd w:val="clear" w:fill="FFFFFF"/>
        </w:rPr>
        <w:t>附件：</w:t>
      </w:r>
      <w:r>
        <w:rPr>
          <w:rFonts w:hint="default" w:ascii="Times New Roman" w:hAnsi="Times New Roman" w:eastAsia="方正仿宋_GBK" w:cs="Times New Roman"/>
          <w:color w:val="auto"/>
          <w:kern w:val="0"/>
          <w:sz w:val="32"/>
          <w:szCs w:val="32"/>
          <w:shd w:val="clear" w:fill="FFFFFF"/>
        </w:rPr>
        <w:t>重庆市荣昌区人民政府广顺街道退役军人服务站202</w:t>
      </w:r>
      <w:r>
        <w:rPr>
          <w:rFonts w:hint="default" w:ascii="Times New Roman" w:hAnsi="Times New Roman" w:eastAsia="方正仿宋_GBK" w:cs="Times New Roman"/>
          <w:color w:val="auto"/>
          <w:kern w:val="0"/>
          <w:sz w:val="32"/>
          <w:szCs w:val="32"/>
          <w:shd w:val="clear" w:fill="FFFFFF"/>
          <w:lang w:val="en-US" w:eastAsia="zh-CN"/>
        </w:rPr>
        <w:t>3</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1736" w:leftChars="590" w:hanging="320" w:hangingChars="100"/>
        <w:jc w:val="both"/>
        <w:textAlignment w:val="auto"/>
        <w:rPr>
          <w:rFonts w:hint="default" w:ascii="Times New Roman" w:hAnsi="Times New Roman" w:eastAsia="方正仿宋_GBK" w:cs="Times New Roman"/>
          <w:color w:val="auto"/>
          <w:kern w:val="0"/>
          <w:sz w:val="32"/>
          <w:szCs w:val="32"/>
          <w:shd w:val="clear" w:fill="FFFFFF"/>
        </w:rPr>
      </w:pPr>
      <w:r>
        <w:rPr>
          <w:rFonts w:hint="default" w:ascii="Times New Roman" w:hAnsi="Times New Roman" w:eastAsia="方正仿宋_GBK" w:cs="Times New Roman"/>
          <w:color w:val="auto"/>
          <w:kern w:val="0"/>
          <w:sz w:val="32"/>
          <w:szCs w:val="32"/>
          <w:shd w:val="clear" w:fill="FFFFFF"/>
        </w:rPr>
        <w:t>年度</w:t>
      </w:r>
      <w:r>
        <w:rPr>
          <w:rFonts w:hint="eastAsia" w:ascii="Times New Roman" w:hAnsi="Times New Roman" w:eastAsia="方正仿宋_GBK" w:cs="Times New Roman"/>
          <w:color w:val="auto"/>
          <w:kern w:val="0"/>
          <w:sz w:val="32"/>
          <w:szCs w:val="32"/>
          <w:shd w:val="clear" w:fill="FFFFFF"/>
          <w:lang w:val="en-US" w:eastAsia="zh-CN"/>
        </w:rPr>
        <w:t>单位</w:t>
      </w:r>
      <w:r>
        <w:rPr>
          <w:rFonts w:hint="default" w:ascii="Times New Roman" w:hAnsi="Times New Roman" w:eastAsia="方正仿宋_GBK" w:cs="Times New Roman"/>
          <w:color w:val="auto"/>
          <w:kern w:val="0"/>
          <w:sz w:val="32"/>
          <w:szCs w:val="32"/>
          <w:shd w:val="clear" w:fill="FFFFFF"/>
        </w:rPr>
        <w:t>决算公开报表（公开01—09表）</w:t>
      </w:r>
    </w:p>
    <w:p>
      <w:pPr>
        <w:pStyle w:val="12"/>
        <w:keepNext w:val="0"/>
        <w:keepLines w:val="0"/>
        <w:pageBreakBefore w:val="0"/>
        <w:widowControl/>
        <w:kinsoku/>
        <w:wordWrap/>
        <w:overflowPunct/>
        <w:topLinePunct w:val="0"/>
        <w:autoSpaceDE w:val="0"/>
        <w:autoSpaceDN/>
        <w:bidi w:val="0"/>
        <w:adjustRightInd/>
        <w:spacing w:beforeAutospacing="0" w:line="560" w:lineRule="exact"/>
        <w:ind w:firstLine="0" w:firstLineChars="0"/>
        <w:rPr>
          <w:rFonts w:hint="default" w:ascii="Times New Roman" w:hAnsi="Times New Roman" w:eastAsia="方正仿宋_GBK" w:cs="Times New Roman"/>
          <w:color w:val="auto"/>
          <w:sz w:val="32"/>
          <w:szCs w:val="32"/>
          <w:shd w:val="clear" w:color="auto" w:fill="FFFFFF"/>
        </w:rPr>
        <w:sectPr>
          <w:footerReference r:id="rId3" w:type="default"/>
          <w:pgSz w:w="11915" w:h="16840"/>
          <w:pgMar w:top="2098" w:right="1474" w:bottom="1984" w:left="1587" w:header="851" w:footer="1474" w:gutter="0"/>
          <w:pgNumType w:fmt="decimal"/>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w:t>
      </w:r>
    </w:p>
    <w:p>
      <w:pPr>
        <w:pStyle w:val="7"/>
        <w:rPr>
          <w:rFonts w:hint="eastAsia"/>
          <w:lang w:val="en-US" w:eastAsia="zh-CN"/>
        </w:rPr>
      </w:pP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720" w:lineRule="atLeas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重庆市荣昌区人民政府广顺街道退役军人服务站202</w:t>
      </w:r>
      <w:r>
        <w:rPr>
          <w:rFonts w:hint="eastAsia" w:ascii="方正小标宋_GBK" w:hAnsi="方正小标宋_GBK" w:eastAsia="方正小标宋_GBK" w:cs="方正小标宋_GBK"/>
          <w:color w:val="auto"/>
          <w:sz w:val="44"/>
          <w:szCs w:val="44"/>
          <w:lang w:val="en-US" w:eastAsia="zh-CN"/>
        </w:rPr>
        <w:t>3</w:t>
      </w:r>
      <w:r>
        <w:rPr>
          <w:rFonts w:hint="eastAsia" w:ascii="方正小标宋_GBK" w:hAnsi="方正小标宋_GBK" w:eastAsia="方正小标宋_GBK" w:cs="方正小标宋_GBK"/>
          <w:color w:val="auto"/>
          <w:sz w:val="44"/>
          <w:szCs w:val="44"/>
        </w:rPr>
        <w:t>年度单位决算公开报表（公开01—09表）</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auto"/>
          <w:sz w:val="32"/>
          <w:szCs w:val="32"/>
          <w:lang w:val="en-US" w:eastAsia="zh-CN"/>
        </w:rPr>
      </w:pPr>
    </w:p>
    <w:tbl>
      <w:tblPr>
        <w:tblStyle w:val="8"/>
        <w:tblW w:w="8876" w:type="dxa"/>
        <w:tblInd w:w="0" w:type="dxa"/>
        <w:shd w:val="clear" w:color="auto" w:fill="auto"/>
        <w:tblLayout w:type="fixed"/>
        <w:tblCellMar>
          <w:top w:w="0" w:type="dxa"/>
          <w:left w:w="0" w:type="dxa"/>
          <w:bottom w:w="0" w:type="dxa"/>
          <w:right w:w="0" w:type="dxa"/>
        </w:tblCellMar>
      </w:tblPr>
      <w:tblGrid>
        <w:gridCol w:w="2953"/>
        <w:gridCol w:w="1165"/>
        <w:gridCol w:w="3106"/>
        <w:gridCol w:w="1652"/>
      </w:tblGrid>
      <w:tr>
        <w:tblPrEx>
          <w:shd w:val="clear" w:color="auto" w:fill="auto"/>
          <w:tblLayout w:type="fixed"/>
          <w:tblCellMar>
            <w:top w:w="0" w:type="dxa"/>
            <w:left w:w="0" w:type="dxa"/>
            <w:bottom w:w="0" w:type="dxa"/>
            <w:right w:w="0" w:type="dxa"/>
          </w:tblCellMar>
        </w:tblPrEx>
        <w:trPr>
          <w:trHeight w:val="232" w:hRule="atLeast"/>
        </w:trPr>
        <w:tc>
          <w:tcPr>
            <w:tcW w:w="8876"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295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10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65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公开01表</w:t>
            </w:r>
          </w:p>
        </w:tc>
      </w:tr>
      <w:tr>
        <w:tblPrEx>
          <w:tblLayout w:type="fixed"/>
          <w:tblCellMar>
            <w:top w:w="0" w:type="dxa"/>
            <w:left w:w="0" w:type="dxa"/>
            <w:bottom w:w="0" w:type="dxa"/>
            <w:right w:w="0" w:type="dxa"/>
          </w:tblCellMar>
        </w:tblPrEx>
        <w:trPr>
          <w:trHeight w:val="232" w:hRule="atLeast"/>
        </w:trPr>
        <w:tc>
          <w:tcPr>
            <w:tcW w:w="7224"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2"/>
                <w:szCs w:val="22"/>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重庆市荣昌区广顺街道退役军人服务站</w:t>
            </w:r>
          </w:p>
        </w:tc>
        <w:tc>
          <w:tcPr>
            <w:tcW w:w="165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243" w:hRule="atLeast"/>
        </w:trPr>
        <w:tc>
          <w:tcPr>
            <w:tcW w:w="41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收入</w:t>
            </w:r>
          </w:p>
        </w:tc>
        <w:tc>
          <w:tcPr>
            <w:tcW w:w="4758"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支出</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c>
          <w:tcPr>
            <w:tcW w:w="3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一、一般公共预算财政拨款收入</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57.66</w:t>
            </w:r>
            <w:r>
              <w:rPr>
                <w:rFonts w:hint="default" w:ascii="Times New Roman" w:hAnsi="Times New Roman" w:cs="Times New Roman"/>
                <w:color w:val="auto"/>
                <w:sz w:val="20"/>
                <w:u w:color="auto"/>
              </w:rPr>
              <w:t xml:space="preserve"> </w:t>
            </w:r>
          </w:p>
        </w:tc>
        <w:tc>
          <w:tcPr>
            <w:tcW w:w="3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一、一般公共服务支出</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二、政府性基金预算财政拨款收入</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二、外交支出</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三、国有资本经营预算财政拨款收入</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三、国防支出</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四、上级补助收入</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四、公共安全支出</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五、事业收入</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五、教育支出</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六、经营收入</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六、科学技术支出</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七、附属单位上缴收入</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七、文化旅游体育与传媒支出</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八、其他收入</w:t>
            </w:r>
          </w:p>
        </w:tc>
        <w:tc>
          <w:tcPr>
            <w:tcW w:w="1165"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八、社会保障和就业支出</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52.21</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九、卫生健康支出</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2.40</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十、节能环保支出</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十一、城乡社区支出</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十二、农林水支出</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十三、交通运输支出</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十四、资源勘探工业信息等支出</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十五、商业服务业等支出</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十六、金融支出</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十七、援助其他地区支出</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十八、自然资源海洋气象等支出</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十九、住房保障支出</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3.05</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二十、粮油物资储备支出</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二十一、国有资本经营预算支出</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二十二、灾害防治及应急管理支出</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二十三、其他支出</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二十四、债务还本支出</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二十五、债务付息支出</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二十六、抗疫特别国债安排的支出</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57.66</w:t>
            </w:r>
            <w:r>
              <w:rPr>
                <w:rFonts w:hint="default" w:ascii="Times New Roman" w:hAnsi="Times New Roman" w:cs="Times New Roman"/>
                <w:color w:val="auto"/>
                <w:sz w:val="20"/>
                <w:u w:color="auto"/>
              </w:rPr>
              <w:t xml:space="preserve"> </w:t>
            </w:r>
          </w:p>
        </w:tc>
        <w:tc>
          <w:tcPr>
            <w:tcW w:w="3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57.66</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使用非财政拨款结余和专用结余</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结余分配</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年初结转和结余</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年末结转和结余</w:t>
            </w:r>
          </w:p>
        </w:tc>
        <w:tc>
          <w:tcPr>
            <w:tcW w:w="16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5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57.66</w:t>
            </w:r>
            <w:r>
              <w:rPr>
                <w:rFonts w:hint="default" w:ascii="Times New Roman" w:hAnsi="Times New Roman" w:cs="Times New Roman"/>
                <w:color w:val="auto"/>
                <w:sz w:val="20"/>
                <w:u w:color="auto"/>
              </w:rPr>
              <w:t xml:space="preserve"> </w:t>
            </w:r>
          </w:p>
        </w:tc>
        <w:tc>
          <w:tcPr>
            <w:tcW w:w="3106"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16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57.66</w:t>
            </w: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bl>
      <w:tblPr>
        <w:tblStyle w:val="8"/>
        <w:tblW w:w="8876" w:type="dxa"/>
        <w:tblInd w:w="0" w:type="dxa"/>
        <w:shd w:val="clear" w:color="auto" w:fill="auto"/>
        <w:tblLayout w:type="fixed"/>
        <w:tblCellMar>
          <w:top w:w="0" w:type="dxa"/>
          <w:left w:w="0" w:type="dxa"/>
          <w:bottom w:w="0" w:type="dxa"/>
          <w:right w:w="0" w:type="dxa"/>
        </w:tblCellMar>
      </w:tblPr>
      <w:tblGrid>
        <w:gridCol w:w="982"/>
        <w:gridCol w:w="1831"/>
        <w:gridCol w:w="711"/>
        <w:gridCol w:w="712"/>
        <w:gridCol w:w="712"/>
        <w:gridCol w:w="711"/>
        <w:gridCol w:w="1"/>
        <w:gridCol w:w="788"/>
        <w:gridCol w:w="754"/>
        <w:gridCol w:w="831"/>
        <w:gridCol w:w="843"/>
      </w:tblGrid>
      <w:tr>
        <w:tblPrEx>
          <w:shd w:val="clear" w:color="auto" w:fill="auto"/>
          <w:tblLayout w:type="fixed"/>
          <w:tblCellMar>
            <w:top w:w="0" w:type="dxa"/>
            <w:left w:w="0" w:type="dxa"/>
            <w:bottom w:w="0" w:type="dxa"/>
            <w:right w:w="0" w:type="dxa"/>
          </w:tblCellMar>
        </w:tblPrEx>
        <w:trPr>
          <w:trHeight w:val="641" w:hRule="atLeast"/>
        </w:trPr>
        <w:tc>
          <w:tcPr>
            <w:tcW w:w="8876" w:type="dxa"/>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收入决算表</w:t>
            </w:r>
          </w:p>
        </w:tc>
      </w:tr>
      <w:tr>
        <w:tblPrEx>
          <w:tblLayout w:type="fixed"/>
          <w:tblCellMar>
            <w:top w:w="0" w:type="dxa"/>
            <w:left w:w="0" w:type="dxa"/>
            <w:bottom w:w="0" w:type="dxa"/>
            <w:right w:w="0" w:type="dxa"/>
          </w:tblCellMar>
        </w:tblPrEx>
        <w:trPr>
          <w:trHeight w:val="328" w:hRule="atLeast"/>
        </w:trPr>
        <w:tc>
          <w:tcPr>
            <w:tcW w:w="5659" w:type="dxa"/>
            <w:gridSpan w:val="6"/>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重庆市荣昌区广顺街道退役军人服务站</w:t>
            </w:r>
          </w:p>
        </w:tc>
        <w:tc>
          <w:tcPr>
            <w:tcW w:w="789"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2428"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公开02表</w:t>
            </w:r>
          </w:p>
        </w:tc>
      </w:tr>
      <w:tr>
        <w:tblPrEx>
          <w:tblLayout w:type="fixed"/>
          <w:tblCellMar>
            <w:top w:w="0" w:type="dxa"/>
            <w:left w:w="0" w:type="dxa"/>
            <w:bottom w:w="0" w:type="dxa"/>
            <w:right w:w="0" w:type="dxa"/>
          </w:tblCellMar>
        </w:tblPrEx>
        <w:trPr>
          <w:trHeight w:val="328" w:hRule="atLeast"/>
        </w:trPr>
        <w:tc>
          <w:tcPr>
            <w:tcW w:w="5659" w:type="dxa"/>
            <w:gridSpan w:val="6"/>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789"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2428"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431" w:hRule="atLeast"/>
        </w:trPr>
        <w:tc>
          <w:tcPr>
            <w:tcW w:w="2813"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财政拨款收入</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上级补助收入</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事业收入</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经营收入</w:t>
            </w: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附属单位上缴收入</w:t>
            </w: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其他收入</w:t>
            </w:r>
          </w:p>
        </w:tc>
      </w:tr>
      <w:tr>
        <w:tblPrEx>
          <w:tblLayout w:type="fixed"/>
          <w:tblCellMar>
            <w:top w:w="0" w:type="dxa"/>
            <w:left w:w="0" w:type="dxa"/>
            <w:bottom w:w="0" w:type="dxa"/>
            <w:right w:w="0" w:type="dxa"/>
          </w:tblCellMar>
        </w:tblPrEx>
        <w:trPr>
          <w:trHeight w:val="334" w:hRule="atLeast"/>
        </w:trPr>
        <w:tc>
          <w:tcPr>
            <w:tcW w:w="98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831"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小计</w:t>
            </w: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其中：教育收费</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4" w:hRule="atLeast"/>
        </w:trPr>
        <w:tc>
          <w:tcPr>
            <w:tcW w:w="98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831"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4" w:hRule="atLeast"/>
        </w:trPr>
        <w:tc>
          <w:tcPr>
            <w:tcW w:w="98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831"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4" w:hRule="atLeast"/>
        </w:trPr>
        <w:tc>
          <w:tcPr>
            <w:tcW w:w="98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831"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28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57.66</w:t>
            </w:r>
            <w:r>
              <w:rPr>
                <w:rFonts w:hint="default" w:ascii="Times New Roman" w:hAnsi="Times New Roman" w:cs="Times New Roman"/>
                <w:b/>
                <w:color w:val="auto"/>
                <w:sz w:val="20"/>
                <w:u w:color="auto"/>
              </w:rPr>
              <w:t xml:space="preserve"> </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57.66</w:t>
            </w:r>
            <w:r>
              <w:rPr>
                <w:rFonts w:hint="default" w:ascii="Times New Roman" w:hAnsi="Times New Roman" w:cs="Times New Roman"/>
                <w:b/>
                <w:color w:val="auto"/>
                <w:sz w:val="20"/>
                <w:u w:color="auto"/>
              </w:rPr>
              <w:t xml:space="preserve"> </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71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7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7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8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18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52.21</w:t>
            </w:r>
            <w:r>
              <w:rPr>
                <w:rFonts w:hint="default" w:ascii="Times New Roman" w:hAnsi="Times New Roman" w:cs="Times New Roman"/>
                <w:b/>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52.21</w:t>
            </w:r>
            <w:r>
              <w:rPr>
                <w:rFonts w:hint="default" w:ascii="Times New Roman" w:hAnsi="Times New Roman" w:cs="Times New Roman"/>
                <w:b/>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18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6.59</w:t>
            </w:r>
            <w:r>
              <w:rPr>
                <w:rFonts w:hint="default" w:ascii="Times New Roman" w:hAnsi="Times New Roman" w:cs="Times New Roman"/>
                <w:b/>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6.59</w:t>
            </w:r>
            <w:r>
              <w:rPr>
                <w:rFonts w:hint="default" w:ascii="Times New Roman" w:hAnsi="Times New Roman" w:cs="Times New Roman"/>
                <w:b/>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18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3.13</w:t>
            </w:r>
            <w:r>
              <w:rPr>
                <w:rFonts w:hint="default" w:ascii="Times New Roman" w:hAnsi="Times New Roman" w:cs="Times New Roman"/>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3.13</w:t>
            </w:r>
            <w:r>
              <w:rPr>
                <w:rFonts w:hint="default" w:ascii="Times New Roman" w:hAnsi="Times New Roman" w:cs="Times New Roman"/>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18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1.57</w:t>
            </w:r>
            <w:r>
              <w:rPr>
                <w:rFonts w:hint="default" w:ascii="Times New Roman" w:hAnsi="Times New Roman" w:cs="Times New Roman"/>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1.57</w:t>
            </w:r>
            <w:r>
              <w:rPr>
                <w:rFonts w:hint="default" w:ascii="Times New Roman" w:hAnsi="Times New Roman" w:cs="Times New Roman"/>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2080599</w:t>
            </w:r>
          </w:p>
        </w:tc>
        <w:tc>
          <w:tcPr>
            <w:tcW w:w="18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其他行政事业单位养老支出</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1.89</w:t>
            </w:r>
            <w:r>
              <w:rPr>
                <w:rFonts w:hint="default" w:ascii="Times New Roman" w:hAnsi="Times New Roman" w:cs="Times New Roman"/>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1.89</w:t>
            </w:r>
            <w:r>
              <w:rPr>
                <w:rFonts w:hint="default" w:ascii="Times New Roman" w:hAnsi="Times New Roman" w:cs="Times New Roman"/>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20828</w:t>
            </w:r>
          </w:p>
        </w:tc>
        <w:tc>
          <w:tcPr>
            <w:tcW w:w="18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退役军人管理事务</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45.62</w:t>
            </w:r>
            <w:r>
              <w:rPr>
                <w:rFonts w:hint="default" w:ascii="Times New Roman" w:hAnsi="Times New Roman" w:cs="Times New Roman"/>
                <w:b/>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45.62</w:t>
            </w:r>
            <w:r>
              <w:rPr>
                <w:rFonts w:hint="default" w:ascii="Times New Roman" w:hAnsi="Times New Roman" w:cs="Times New Roman"/>
                <w:b/>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2082850</w:t>
            </w:r>
          </w:p>
        </w:tc>
        <w:tc>
          <w:tcPr>
            <w:tcW w:w="18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45.62</w:t>
            </w:r>
            <w:r>
              <w:rPr>
                <w:rFonts w:hint="default" w:ascii="Times New Roman" w:hAnsi="Times New Roman" w:cs="Times New Roman"/>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45.62</w:t>
            </w:r>
            <w:r>
              <w:rPr>
                <w:rFonts w:hint="default" w:ascii="Times New Roman" w:hAnsi="Times New Roman" w:cs="Times New Roman"/>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18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2.40</w:t>
            </w:r>
            <w:r>
              <w:rPr>
                <w:rFonts w:hint="default" w:ascii="Times New Roman" w:hAnsi="Times New Roman" w:cs="Times New Roman"/>
                <w:b/>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2.40</w:t>
            </w:r>
            <w:r>
              <w:rPr>
                <w:rFonts w:hint="default" w:ascii="Times New Roman" w:hAnsi="Times New Roman" w:cs="Times New Roman"/>
                <w:b/>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18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2.40</w:t>
            </w:r>
            <w:r>
              <w:rPr>
                <w:rFonts w:hint="default" w:ascii="Times New Roman" w:hAnsi="Times New Roman" w:cs="Times New Roman"/>
                <w:b/>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2.40</w:t>
            </w:r>
            <w:r>
              <w:rPr>
                <w:rFonts w:hint="default" w:ascii="Times New Roman" w:hAnsi="Times New Roman" w:cs="Times New Roman"/>
                <w:b/>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18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1.66</w:t>
            </w:r>
            <w:r>
              <w:rPr>
                <w:rFonts w:hint="default" w:ascii="Times New Roman" w:hAnsi="Times New Roman" w:cs="Times New Roman"/>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1.66</w:t>
            </w:r>
            <w:r>
              <w:rPr>
                <w:rFonts w:hint="default" w:ascii="Times New Roman" w:hAnsi="Times New Roman" w:cs="Times New Roman"/>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18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0.73</w:t>
            </w:r>
            <w:r>
              <w:rPr>
                <w:rFonts w:hint="default" w:ascii="Times New Roman" w:hAnsi="Times New Roman" w:cs="Times New Roman"/>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0.73</w:t>
            </w:r>
            <w:r>
              <w:rPr>
                <w:rFonts w:hint="default" w:ascii="Times New Roman" w:hAnsi="Times New Roman" w:cs="Times New Roman"/>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18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3.05</w:t>
            </w:r>
            <w:r>
              <w:rPr>
                <w:rFonts w:hint="default" w:ascii="Times New Roman" w:hAnsi="Times New Roman" w:cs="Times New Roman"/>
                <w:b/>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3.05</w:t>
            </w:r>
            <w:r>
              <w:rPr>
                <w:rFonts w:hint="default" w:ascii="Times New Roman" w:hAnsi="Times New Roman" w:cs="Times New Roman"/>
                <w:b/>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18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3.05</w:t>
            </w:r>
            <w:r>
              <w:rPr>
                <w:rFonts w:hint="default" w:ascii="Times New Roman" w:hAnsi="Times New Roman" w:cs="Times New Roman"/>
                <w:b/>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3.05</w:t>
            </w:r>
            <w:r>
              <w:rPr>
                <w:rFonts w:hint="default" w:ascii="Times New Roman" w:hAnsi="Times New Roman" w:cs="Times New Roman"/>
                <w:b/>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18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3.05</w:t>
            </w:r>
            <w:r>
              <w:rPr>
                <w:rFonts w:hint="default" w:ascii="Times New Roman" w:hAnsi="Times New Roman" w:cs="Times New Roman"/>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3.05</w:t>
            </w:r>
            <w:r>
              <w:rPr>
                <w:rFonts w:hint="default" w:ascii="Times New Roman" w:hAnsi="Times New Roman" w:cs="Times New Roman"/>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ind w:left="600" w:hanging="600" w:hangingChars="30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备注：1.本表反映单位本年度取得的各项收入情况。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br w:type="page"/>
      </w:r>
    </w:p>
    <w:tbl>
      <w:tblPr>
        <w:tblStyle w:val="8"/>
        <w:tblW w:w="8876" w:type="dxa"/>
        <w:tblInd w:w="0" w:type="dxa"/>
        <w:shd w:val="clear" w:color="auto" w:fill="auto"/>
        <w:tblLayout w:type="fixed"/>
        <w:tblCellMar>
          <w:top w:w="0" w:type="dxa"/>
          <w:left w:w="0" w:type="dxa"/>
          <w:bottom w:w="0" w:type="dxa"/>
          <w:right w:w="0" w:type="dxa"/>
        </w:tblCellMar>
      </w:tblPr>
      <w:tblGrid>
        <w:gridCol w:w="1041"/>
        <w:gridCol w:w="1936"/>
        <w:gridCol w:w="982"/>
        <w:gridCol w:w="982"/>
        <w:gridCol w:w="982"/>
        <w:gridCol w:w="972"/>
        <w:gridCol w:w="973"/>
        <w:gridCol w:w="1008"/>
      </w:tblGrid>
      <w:tr>
        <w:tblPrEx>
          <w:shd w:val="clear" w:color="auto" w:fill="auto"/>
          <w:tblLayout w:type="fixed"/>
          <w:tblCellMar>
            <w:top w:w="0" w:type="dxa"/>
            <w:left w:w="0" w:type="dxa"/>
            <w:bottom w:w="0" w:type="dxa"/>
            <w:right w:w="0" w:type="dxa"/>
          </w:tblCellMar>
        </w:tblPrEx>
        <w:trPr>
          <w:trHeight w:val="654" w:hRule="atLeast"/>
        </w:trPr>
        <w:tc>
          <w:tcPr>
            <w:tcW w:w="8876"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支出决算表</w:t>
            </w:r>
          </w:p>
        </w:tc>
      </w:tr>
      <w:tr>
        <w:tblPrEx>
          <w:tblLayout w:type="fixed"/>
          <w:tblCellMar>
            <w:top w:w="0" w:type="dxa"/>
            <w:left w:w="0" w:type="dxa"/>
            <w:bottom w:w="0" w:type="dxa"/>
            <w:right w:w="0" w:type="dxa"/>
          </w:tblCellMar>
        </w:tblPrEx>
        <w:trPr>
          <w:trHeight w:val="342" w:hRule="atLeast"/>
        </w:trPr>
        <w:tc>
          <w:tcPr>
            <w:tcW w:w="4941" w:type="dxa"/>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 xml:space="preserve">重庆市荣昌区广顺街道退役军人服务站 </w:t>
            </w:r>
          </w:p>
        </w:tc>
        <w:tc>
          <w:tcPr>
            <w:tcW w:w="98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97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981"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公开03表</w:t>
            </w:r>
          </w:p>
        </w:tc>
      </w:tr>
      <w:tr>
        <w:tblPrEx>
          <w:tblLayout w:type="fixed"/>
          <w:tblCellMar>
            <w:top w:w="0" w:type="dxa"/>
            <w:left w:w="0" w:type="dxa"/>
            <w:bottom w:w="0" w:type="dxa"/>
            <w:right w:w="0" w:type="dxa"/>
          </w:tblCellMar>
        </w:tblPrEx>
        <w:trPr>
          <w:trHeight w:val="342" w:hRule="atLeast"/>
        </w:trPr>
        <w:tc>
          <w:tcPr>
            <w:tcW w:w="4941" w:type="dxa"/>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98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97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981"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62" w:hRule="atLeast"/>
        </w:trPr>
        <w:tc>
          <w:tcPr>
            <w:tcW w:w="29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上缴上级支出</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经营支出</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0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93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0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93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0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93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0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93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62" w:hRule="atLeast"/>
        </w:trPr>
        <w:tc>
          <w:tcPr>
            <w:tcW w:w="29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57.66</w:t>
            </w:r>
            <w:r>
              <w:rPr>
                <w:rFonts w:hint="default" w:ascii="Times New Roman" w:hAnsi="Times New Roman" w:cs="Times New Roman"/>
                <w:b/>
                <w:color w:val="auto"/>
                <w:sz w:val="20"/>
                <w:u w:color="auto"/>
              </w:rPr>
              <w:t xml:space="preserve"> </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57.66</w:t>
            </w:r>
            <w:r>
              <w:rPr>
                <w:rFonts w:hint="default" w:ascii="Times New Roman" w:hAnsi="Times New Roman" w:cs="Times New Roman"/>
                <w:b/>
                <w:color w:val="auto"/>
                <w:sz w:val="20"/>
                <w:u w:color="auto"/>
              </w:rPr>
              <w:t xml:space="preserve"> </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9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19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52.21</w:t>
            </w:r>
            <w:r>
              <w:rPr>
                <w:rFonts w:hint="default" w:ascii="Times New Roman" w:hAnsi="Times New Roman" w:cs="Times New Roman"/>
                <w:b/>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52.21</w:t>
            </w:r>
            <w:r>
              <w:rPr>
                <w:rFonts w:hint="default" w:ascii="Times New Roman" w:hAnsi="Times New Roman" w:cs="Times New Roman"/>
                <w:b/>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19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6.59</w:t>
            </w:r>
            <w:r>
              <w:rPr>
                <w:rFonts w:hint="default" w:ascii="Times New Roman" w:hAnsi="Times New Roman" w:cs="Times New Roman"/>
                <w:b/>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6.59</w:t>
            </w:r>
            <w:r>
              <w:rPr>
                <w:rFonts w:hint="default" w:ascii="Times New Roman" w:hAnsi="Times New Roman" w:cs="Times New Roman"/>
                <w:b/>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19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3.13</w:t>
            </w:r>
            <w:r>
              <w:rPr>
                <w:rFonts w:hint="default" w:ascii="Times New Roman" w:hAnsi="Times New Roman" w:cs="Times New Roman"/>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3.13</w:t>
            </w:r>
            <w:r>
              <w:rPr>
                <w:rFonts w:hint="default" w:ascii="Times New Roman" w:hAnsi="Times New Roman" w:cs="Times New Roman"/>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19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1.57</w:t>
            </w:r>
            <w:r>
              <w:rPr>
                <w:rFonts w:hint="default" w:ascii="Times New Roman" w:hAnsi="Times New Roman" w:cs="Times New Roman"/>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1.57</w:t>
            </w:r>
            <w:r>
              <w:rPr>
                <w:rFonts w:hint="default" w:ascii="Times New Roman" w:hAnsi="Times New Roman" w:cs="Times New Roman"/>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2080599</w:t>
            </w:r>
          </w:p>
        </w:tc>
        <w:tc>
          <w:tcPr>
            <w:tcW w:w="19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其他行政事业单位养老支出</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1.89</w:t>
            </w:r>
            <w:r>
              <w:rPr>
                <w:rFonts w:hint="default" w:ascii="Times New Roman" w:hAnsi="Times New Roman" w:cs="Times New Roman"/>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1.89</w:t>
            </w:r>
            <w:r>
              <w:rPr>
                <w:rFonts w:hint="default" w:ascii="Times New Roman" w:hAnsi="Times New Roman" w:cs="Times New Roman"/>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20828</w:t>
            </w:r>
          </w:p>
        </w:tc>
        <w:tc>
          <w:tcPr>
            <w:tcW w:w="19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退役军人管理事务</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45.62</w:t>
            </w:r>
            <w:r>
              <w:rPr>
                <w:rFonts w:hint="default" w:ascii="Times New Roman" w:hAnsi="Times New Roman" w:cs="Times New Roman"/>
                <w:b/>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45.62</w:t>
            </w:r>
            <w:r>
              <w:rPr>
                <w:rFonts w:hint="default" w:ascii="Times New Roman" w:hAnsi="Times New Roman" w:cs="Times New Roman"/>
                <w:b/>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2082850</w:t>
            </w:r>
          </w:p>
        </w:tc>
        <w:tc>
          <w:tcPr>
            <w:tcW w:w="19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45.62</w:t>
            </w:r>
            <w:r>
              <w:rPr>
                <w:rFonts w:hint="default" w:ascii="Times New Roman" w:hAnsi="Times New Roman" w:cs="Times New Roman"/>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45.62</w:t>
            </w:r>
            <w:r>
              <w:rPr>
                <w:rFonts w:hint="default" w:ascii="Times New Roman" w:hAnsi="Times New Roman" w:cs="Times New Roman"/>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19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2.40</w:t>
            </w:r>
            <w:r>
              <w:rPr>
                <w:rFonts w:hint="default" w:ascii="Times New Roman" w:hAnsi="Times New Roman" w:cs="Times New Roman"/>
                <w:b/>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2.40</w:t>
            </w:r>
            <w:r>
              <w:rPr>
                <w:rFonts w:hint="default" w:ascii="Times New Roman" w:hAnsi="Times New Roman" w:cs="Times New Roman"/>
                <w:b/>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19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2.40</w:t>
            </w:r>
            <w:r>
              <w:rPr>
                <w:rFonts w:hint="default" w:ascii="Times New Roman" w:hAnsi="Times New Roman" w:cs="Times New Roman"/>
                <w:b/>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2.40</w:t>
            </w:r>
            <w:r>
              <w:rPr>
                <w:rFonts w:hint="default" w:ascii="Times New Roman" w:hAnsi="Times New Roman" w:cs="Times New Roman"/>
                <w:b/>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19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1.66</w:t>
            </w:r>
            <w:r>
              <w:rPr>
                <w:rFonts w:hint="default" w:ascii="Times New Roman" w:hAnsi="Times New Roman" w:cs="Times New Roman"/>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1.66</w:t>
            </w:r>
            <w:r>
              <w:rPr>
                <w:rFonts w:hint="default" w:ascii="Times New Roman" w:hAnsi="Times New Roman" w:cs="Times New Roman"/>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19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0.73</w:t>
            </w:r>
            <w:r>
              <w:rPr>
                <w:rFonts w:hint="default" w:ascii="Times New Roman" w:hAnsi="Times New Roman" w:cs="Times New Roman"/>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0.73</w:t>
            </w:r>
            <w:r>
              <w:rPr>
                <w:rFonts w:hint="default" w:ascii="Times New Roman" w:hAnsi="Times New Roman" w:cs="Times New Roman"/>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19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3.05</w:t>
            </w:r>
            <w:r>
              <w:rPr>
                <w:rFonts w:hint="default" w:ascii="Times New Roman" w:hAnsi="Times New Roman" w:cs="Times New Roman"/>
                <w:b/>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3.05</w:t>
            </w:r>
            <w:r>
              <w:rPr>
                <w:rFonts w:hint="default" w:ascii="Times New Roman" w:hAnsi="Times New Roman" w:cs="Times New Roman"/>
                <w:b/>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19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3.05</w:t>
            </w:r>
            <w:r>
              <w:rPr>
                <w:rFonts w:hint="default" w:ascii="Times New Roman" w:hAnsi="Times New Roman" w:cs="Times New Roman"/>
                <w:b/>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3.05</w:t>
            </w:r>
            <w:r>
              <w:rPr>
                <w:rFonts w:hint="default" w:ascii="Times New Roman" w:hAnsi="Times New Roman" w:cs="Times New Roman"/>
                <w:b/>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19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3.05</w:t>
            </w:r>
            <w:r>
              <w:rPr>
                <w:rFonts w:hint="default" w:ascii="Times New Roman" w:hAnsi="Times New Roman" w:cs="Times New Roman"/>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3.05</w:t>
            </w:r>
            <w:r>
              <w:rPr>
                <w:rFonts w:hint="default" w:ascii="Times New Roman" w:hAnsi="Times New Roman" w:cs="Times New Roman"/>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备注：1.本表反映单位本年度各项支出情况。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1"/>
          <w:szCs w:val="21"/>
        </w:rPr>
      </w:pPr>
    </w:p>
    <w:tbl>
      <w:tblPr>
        <w:tblStyle w:val="8"/>
        <w:tblW w:w="8876" w:type="dxa"/>
        <w:tblInd w:w="0" w:type="dxa"/>
        <w:shd w:val="clear" w:color="auto" w:fill="auto"/>
        <w:tblLayout w:type="fixed"/>
        <w:tblCellMar>
          <w:top w:w="0" w:type="dxa"/>
          <w:left w:w="0" w:type="dxa"/>
          <w:bottom w:w="0" w:type="dxa"/>
          <w:right w:w="0" w:type="dxa"/>
        </w:tblCellMar>
      </w:tblPr>
      <w:tblGrid>
        <w:gridCol w:w="1795"/>
        <w:gridCol w:w="919"/>
        <w:gridCol w:w="1922"/>
        <w:gridCol w:w="1"/>
        <w:gridCol w:w="802"/>
        <w:gridCol w:w="1077"/>
        <w:gridCol w:w="1193"/>
        <w:gridCol w:w="1167"/>
      </w:tblGrid>
      <w:tr>
        <w:tblPrEx>
          <w:shd w:val="clear" w:color="auto" w:fill="auto"/>
          <w:tblLayout w:type="fixed"/>
          <w:tblCellMar>
            <w:top w:w="0" w:type="dxa"/>
            <w:left w:w="0" w:type="dxa"/>
            <w:bottom w:w="0" w:type="dxa"/>
            <w:right w:w="0" w:type="dxa"/>
          </w:tblCellMar>
        </w:tblPrEx>
        <w:trPr>
          <w:trHeight w:val="90" w:hRule="atLeast"/>
        </w:trPr>
        <w:tc>
          <w:tcPr>
            <w:tcW w:w="8876"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637" w:type="dxa"/>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重庆市荣昌区广顺街道退役军人服务站</w:t>
            </w:r>
          </w:p>
        </w:tc>
        <w:tc>
          <w:tcPr>
            <w:tcW w:w="80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7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2360"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公开04表</w:t>
            </w:r>
          </w:p>
        </w:tc>
      </w:tr>
      <w:tr>
        <w:tblPrEx>
          <w:tblLayout w:type="fixed"/>
          <w:tblCellMar>
            <w:top w:w="0" w:type="dxa"/>
            <w:left w:w="0" w:type="dxa"/>
            <w:bottom w:w="0" w:type="dxa"/>
            <w:right w:w="0" w:type="dxa"/>
          </w:tblCellMar>
        </w:tblPrEx>
        <w:trPr>
          <w:trHeight w:val="90" w:hRule="atLeast"/>
        </w:trPr>
        <w:tc>
          <w:tcPr>
            <w:tcW w:w="4637" w:type="dxa"/>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80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7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2360"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27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收     入</w:t>
            </w:r>
          </w:p>
        </w:tc>
        <w:tc>
          <w:tcPr>
            <w:tcW w:w="616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支     出</w:t>
            </w:r>
          </w:p>
        </w:tc>
      </w:tr>
      <w:tr>
        <w:tblPrEx>
          <w:tblLayout w:type="fixed"/>
          <w:tblCellMar>
            <w:top w:w="0" w:type="dxa"/>
            <w:left w:w="0" w:type="dxa"/>
            <w:bottom w:w="0" w:type="dxa"/>
            <w:right w:w="0" w:type="dxa"/>
          </w:tblCellMar>
        </w:tblPrEx>
        <w:trPr>
          <w:trHeight w:val="90" w:hRule="atLeast"/>
        </w:trPr>
        <w:tc>
          <w:tcPr>
            <w:tcW w:w="1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项目</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c>
          <w:tcPr>
            <w:tcW w:w="19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功能分类科目</w:t>
            </w:r>
          </w:p>
        </w:tc>
        <w:tc>
          <w:tcPr>
            <w:tcW w:w="424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r>
      <w:tr>
        <w:tblPrEx>
          <w:tblLayout w:type="fixed"/>
          <w:tblCellMar>
            <w:top w:w="0" w:type="dxa"/>
            <w:left w:w="0" w:type="dxa"/>
            <w:bottom w:w="0" w:type="dxa"/>
            <w:right w:w="0" w:type="dxa"/>
          </w:tblCellMar>
        </w:tblPrEx>
        <w:trPr>
          <w:trHeight w:val="90"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19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小计</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一般公共预算财政拨款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政府性基金预算财政拨款</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一、一般公共预算财政拨款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57.66</w:t>
            </w:r>
            <w:r>
              <w:rPr>
                <w:rFonts w:hint="default" w:ascii="Times New Roman" w:hAnsi="Times New Roman" w:cs="Times New Roman"/>
                <w:color w:val="auto"/>
                <w:sz w:val="18"/>
                <w:u w:color="auto"/>
              </w:rPr>
              <w:t xml:space="preserve"> </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一、一般公共服务支出</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二、政府性基金预算财政拨款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二、外交支出</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三、国有资本经营预算财政拨款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三、国防支出</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四、公共安全支出</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五、教育支出</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六、科学技术支出</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七、文化旅游体育与传媒支出</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八、社会保障和就业支出</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52.21</w:t>
            </w:r>
            <w:r>
              <w:rPr>
                <w:rFonts w:hint="default" w:ascii="Times New Roman" w:hAnsi="Times New Roman" w:cs="Times New Roman"/>
                <w:color w:val="auto"/>
                <w:sz w:val="18"/>
                <w:u w:color="auto"/>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52.21</w:t>
            </w:r>
            <w:r>
              <w:rPr>
                <w:rFonts w:hint="default" w:ascii="Times New Roman" w:hAnsi="Times New Roman" w:cs="Times New Roman"/>
                <w:color w:val="auto"/>
                <w:sz w:val="18"/>
                <w:u w:color="auto"/>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九、卫生健康支出</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2.40</w:t>
            </w:r>
            <w:r>
              <w:rPr>
                <w:rFonts w:hint="default" w:ascii="Times New Roman" w:hAnsi="Times New Roman" w:cs="Times New Roman"/>
                <w:color w:val="auto"/>
                <w:sz w:val="18"/>
                <w:u w:color="auto"/>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2.40</w:t>
            </w:r>
            <w:r>
              <w:rPr>
                <w:rFonts w:hint="default" w:ascii="Times New Roman" w:hAnsi="Times New Roman" w:cs="Times New Roman"/>
                <w:color w:val="auto"/>
                <w:sz w:val="18"/>
                <w:u w:color="auto"/>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十、节能环保支出</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十一、城乡社区支出</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十二、农林水支出</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十三、交通运输支出</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十四、资源勘探工业信息等支出</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十五、商业服务业等支出</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十六、金融支出</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十七、援助其他地区支出</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十八、自然资源海洋气象等支出</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十九、住房保障支出</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3.05</w:t>
            </w:r>
            <w:r>
              <w:rPr>
                <w:rFonts w:hint="default" w:ascii="Times New Roman" w:hAnsi="Times New Roman" w:cs="Times New Roman"/>
                <w:color w:val="auto"/>
                <w:sz w:val="18"/>
                <w:u w:color="auto"/>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3.05</w:t>
            </w:r>
            <w:r>
              <w:rPr>
                <w:rFonts w:hint="default" w:ascii="Times New Roman" w:hAnsi="Times New Roman" w:cs="Times New Roman"/>
                <w:color w:val="auto"/>
                <w:sz w:val="18"/>
                <w:u w:color="auto"/>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二十、粮油物资储备支出</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二十一、国有资本经营预算支出</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二十二、灾害防治及应急管理支出</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二十三、其他支出</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二十四、债务还本支出</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二十五、债务付息支出</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二十六、抗疫特别国债安排的支出</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本年收入合计</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57.66</w:t>
            </w:r>
            <w:r>
              <w:rPr>
                <w:rFonts w:hint="default" w:ascii="Times New Roman" w:hAnsi="Times New Roman" w:cs="Times New Roman"/>
                <w:color w:val="auto"/>
                <w:sz w:val="18"/>
                <w:u w:color="auto"/>
              </w:rPr>
              <w:t xml:space="preserve"> </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本年支出合计</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57.66</w:t>
            </w:r>
            <w:r>
              <w:rPr>
                <w:rFonts w:hint="default" w:ascii="Times New Roman" w:hAnsi="Times New Roman" w:cs="Times New Roman"/>
                <w:color w:val="auto"/>
                <w:sz w:val="18"/>
                <w:u w:color="auto"/>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57.66</w:t>
            </w:r>
            <w:r>
              <w:rPr>
                <w:rFonts w:hint="default" w:ascii="Times New Roman" w:hAnsi="Times New Roman" w:cs="Times New Roman"/>
                <w:color w:val="auto"/>
                <w:sz w:val="18"/>
                <w:u w:color="auto"/>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年初财政拨款结转和结余</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年末财政拨款结转和结余</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一般公共预算财政拨款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政府性基金预算财政拨款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国有资本经营预算财政拨款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57.66</w:t>
            </w:r>
            <w:r>
              <w:rPr>
                <w:rFonts w:hint="default" w:ascii="Times New Roman" w:hAnsi="Times New Roman" w:cs="Times New Roman"/>
                <w:color w:val="auto"/>
                <w:sz w:val="18"/>
                <w:u w:color="auto"/>
              </w:rPr>
              <w:t xml:space="preserve"> </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57.66</w:t>
            </w:r>
            <w:r>
              <w:rPr>
                <w:rFonts w:hint="default" w:ascii="Times New Roman" w:hAnsi="Times New Roman" w:cs="Times New Roman"/>
                <w:color w:val="auto"/>
                <w:sz w:val="18"/>
                <w:u w:color="auto"/>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57.66</w:t>
            </w:r>
            <w:r>
              <w:rPr>
                <w:rFonts w:hint="default" w:ascii="Times New Roman" w:hAnsi="Times New Roman" w:cs="Times New Roman"/>
                <w:color w:val="auto"/>
                <w:sz w:val="18"/>
                <w:u w:color="auto"/>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8"/>
        <w:tblW w:w="8876" w:type="dxa"/>
        <w:tblInd w:w="0" w:type="dxa"/>
        <w:shd w:val="clear" w:color="auto" w:fill="auto"/>
        <w:tblLayout w:type="fixed"/>
        <w:tblCellMar>
          <w:top w:w="0" w:type="dxa"/>
          <w:left w:w="0" w:type="dxa"/>
          <w:bottom w:w="0" w:type="dxa"/>
          <w:right w:w="0" w:type="dxa"/>
        </w:tblCellMar>
      </w:tblPr>
      <w:tblGrid>
        <w:gridCol w:w="1072"/>
        <w:gridCol w:w="3507"/>
        <w:gridCol w:w="1418"/>
        <w:gridCol w:w="1283"/>
        <w:gridCol w:w="1596"/>
      </w:tblGrid>
      <w:tr>
        <w:tblPrEx>
          <w:shd w:val="clear" w:color="auto" w:fill="auto"/>
          <w:tblLayout w:type="fixed"/>
          <w:tblCellMar>
            <w:top w:w="0" w:type="dxa"/>
            <w:left w:w="0" w:type="dxa"/>
            <w:bottom w:w="0" w:type="dxa"/>
            <w:right w:w="0" w:type="dxa"/>
          </w:tblCellMar>
        </w:tblPrEx>
        <w:trPr>
          <w:trHeight w:val="510" w:hRule="atLeast"/>
        </w:trPr>
        <w:tc>
          <w:tcPr>
            <w:tcW w:w="8876"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997"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重庆市荣昌区广顺街道退役军人服务站</w:t>
            </w:r>
          </w:p>
        </w:tc>
        <w:tc>
          <w:tcPr>
            <w:tcW w:w="128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59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公开05表</w:t>
            </w:r>
          </w:p>
        </w:tc>
      </w:tr>
      <w:tr>
        <w:tblPrEx>
          <w:tblLayout w:type="fixed"/>
          <w:tblCellMar>
            <w:top w:w="0" w:type="dxa"/>
            <w:left w:w="0" w:type="dxa"/>
            <w:bottom w:w="0" w:type="dxa"/>
            <w:right w:w="0" w:type="dxa"/>
          </w:tblCellMar>
        </w:tblPrEx>
        <w:trPr>
          <w:trHeight w:val="285" w:hRule="atLeast"/>
        </w:trPr>
        <w:tc>
          <w:tcPr>
            <w:tcW w:w="5997"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28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59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08" w:hRule="atLeast"/>
        </w:trPr>
        <w:tc>
          <w:tcPr>
            <w:tcW w:w="45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429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Layout w:type="fixed"/>
          <w:tblCellMar>
            <w:top w:w="0" w:type="dxa"/>
            <w:left w:w="0" w:type="dxa"/>
            <w:bottom w:w="0" w:type="dxa"/>
            <w:right w:w="0" w:type="dxa"/>
          </w:tblCellMar>
        </w:tblPrEx>
        <w:trPr>
          <w:trHeight w:val="326" w:hRule="atLeast"/>
        </w:trPr>
        <w:tc>
          <w:tcPr>
            <w:tcW w:w="10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2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59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Layout w:type="fixed"/>
          <w:tblCellMar>
            <w:top w:w="0" w:type="dxa"/>
            <w:left w:w="0" w:type="dxa"/>
            <w:bottom w:w="0" w:type="dxa"/>
            <w:right w:w="0" w:type="dxa"/>
          </w:tblCellMar>
        </w:tblPrEx>
        <w:trPr>
          <w:trHeight w:val="326" w:hRule="atLeast"/>
        </w:trPr>
        <w:tc>
          <w:tcPr>
            <w:tcW w:w="10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3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2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5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15" w:hRule="atLeast"/>
        </w:trPr>
        <w:tc>
          <w:tcPr>
            <w:tcW w:w="10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3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2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5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08" w:hRule="atLeast"/>
        </w:trPr>
        <w:tc>
          <w:tcPr>
            <w:tcW w:w="45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57.66</w:t>
            </w:r>
            <w:r>
              <w:rPr>
                <w:rFonts w:hint="default" w:ascii="Times New Roman" w:hAnsi="Times New Roman" w:cs="Times New Roman"/>
                <w:b/>
                <w:color w:val="auto"/>
                <w:sz w:val="20"/>
                <w:u w:color="auto"/>
              </w:rPr>
              <w:t xml:space="preserve"> </w:t>
            </w:r>
          </w:p>
        </w:tc>
        <w:tc>
          <w:tcPr>
            <w:tcW w:w="1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57.66</w:t>
            </w:r>
            <w:r>
              <w:rPr>
                <w:rFonts w:hint="default" w:ascii="Times New Roman" w:hAnsi="Times New Roman" w:cs="Times New Roman"/>
                <w:b/>
                <w:color w:val="auto"/>
                <w:sz w:val="20"/>
                <w:u w:color="auto"/>
              </w:rPr>
              <w:t xml:space="preserve"> </w:t>
            </w:r>
          </w:p>
        </w:tc>
        <w:tc>
          <w:tcPr>
            <w:tcW w:w="1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52.21</w:t>
            </w:r>
            <w:r>
              <w:rPr>
                <w:rFonts w:hint="default" w:ascii="Times New Roman" w:hAnsi="Times New Roman" w:cs="Times New Roman"/>
                <w:b/>
                <w:color w:val="auto"/>
                <w:sz w:val="20"/>
                <w:u w:color="auto"/>
              </w:rPr>
              <w:t xml:space="preserve"> </w:t>
            </w:r>
          </w:p>
        </w:tc>
        <w:tc>
          <w:tcPr>
            <w:tcW w:w="1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52.21</w:t>
            </w:r>
            <w:r>
              <w:rPr>
                <w:rFonts w:hint="default" w:ascii="Times New Roman" w:hAnsi="Times New Roman" w:cs="Times New Roman"/>
                <w:b/>
                <w:color w:val="auto"/>
                <w:sz w:val="20"/>
                <w:u w:color="auto"/>
              </w:rPr>
              <w:t xml:space="preserve"> </w:t>
            </w:r>
          </w:p>
        </w:tc>
        <w:tc>
          <w:tcPr>
            <w:tcW w:w="1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6.59</w:t>
            </w:r>
            <w:r>
              <w:rPr>
                <w:rFonts w:hint="default" w:ascii="Times New Roman" w:hAnsi="Times New Roman" w:cs="Times New Roman"/>
                <w:b/>
                <w:color w:val="auto"/>
                <w:sz w:val="20"/>
                <w:u w:color="auto"/>
              </w:rPr>
              <w:t xml:space="preserve"> </w:t>
            </w:r>
          </w:p>
        </w:tc>
        <w:tc>
          <w:tcPr>
            <w:tcW w:w="1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6.59</w:t>
            </w:r>
            <w:r>
              <w:rPr>
                <w:rFonts w:hint="default" w:ascii="Times New Roman" w:hAnsi="Times New Roman" w:cs="Times New Roman"/>
                <w:b/>
                <w:color w:val="auto"/>
                <w:sz w:val="20"/>
                <w:u w:color="auto"/>
              </w:rPr>
              <w:t xml:space="preserve"> </w:t>
            </w:r>
          </w:p>
        </w:tc>
        <w:tc>
          <w:tcPr>
            <w:tcW w:w="1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3.13</w:t>
            </w:r>
            <w:r>
              <w:rPr>
                <w:rFonts w:hint="default" w:ascii="Times New Roman" w:hAnsi="Times New Roman" w:cs="Times New Roman"/>
                <w:color w:val="auto"/>
                <w:sz w:val="20"/>
                <w:u w:color="auto"/>
              </w:rPr>
              <w:t xml:space="preserve"> </w:t>
            </w:r>
          </w:p>
        </w:tc>
        <w:tc>
          <w:tcPr>
            <w:tcW w:w="1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3.13</w:t>
            </w:r>
            <w:r>
              <w:rPr>
                <w:rFonts w:hint="default" w:ascii="Times New Roman" w:hAnsi="Times New Roman" w:cs="Times New Roman"/>
                <w:color w:val="auto"/>
                <w:sz w:val="20"/>
                <w:u w:color="auto"/>
              </w:rPr>
              <w:t xml:space="preserve"> </w:t>
            </w:r>
          </w:p>
        </w:tc>
        <w:tc>
          <w:tcPr>
            <w:tcW w:w="1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1.57</w:t>
            </w:r>
            <w:r>
              <w:rPr>
                <w:rFonts w:hint="default" w:ascii="Times New Roman" w:hAnsi="Times New Roman" w:cs="Times New Roman"/>
                <w:color w:val="auto"/>
                <w:sz w:val="20"/>
                <w:u w:color="auto"/>
              </w:rPr>
              <w:t xml:space="preserve"> </w:t>
            </w:r>
          </w:p>
        </w:tc>
        <w:tc>
          <w:tcPr>
            <w:tcW w:w="1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1.57</w:t>
            </w:r>
            <w:r>
              <w:rPr>
                <w:rFonts w:hint="default" w:ascii="Times New Roman" w:hAnsi="Times New Roman" w:cs="Times New Roman"/>
                <w:color w:val="auto"/>
                <w:sz w:val="20"/>
                <w:u w:color="auto"/>
              </w:rPr>
              <w:t xml:space="preserve"> </w:t>
            </w:r>
          </w:p>
        </w:tc>
        <w:tc>
          <w:tcPr>
            <w:tcW w:w="1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2080599</w:t>
            </w:r>
          </w:p>
        </w:tc>
        <w:tc>
          <w:tcPr>
            <w:tcW w:w="3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其他行政事业单位养老支出</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1.89</w:t>
            </w:r>
            <w:r>
              <w:rPr>
                <w:rFonts w:hint="default" w:ascii="Times New Roman" w:hAnsi="Times New Roman" w:cs="Times New Roman"/>
                <w:color w:val="auto"/>
                <w:sz w:val="20"/>
                <w:u w:color="auto"/>
              </w:rPr>
              <w:t xml:space="preserve"> </w:t>
            </w:r>
          </w:p>
        </w:tc>
        <w:tc>
          <w:tcPr>
            <w:tcW w:w="1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1.89</w:t>
            </w:r>
            <w:r>
              <w:rPr>
                <w:rFonts w:hint="default" w:ascii="Times New Roman" w:hAnsi="Times New Roman" w:cs="Times New Roman"/>
                <w:color w:val="auto"/>
                <w:sz w:val="20"/>
                <w:u w:color="auto"/>
              </w:rPr>
              <w:t xml:space="preserve"> </w:t>
            </w:r>
          </w:p>
        </w:tc>
        <w:tc>
          <w:tcPr>
            <w:tcW w:w="1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20828</w:t>
            </w:r>
          </w:p>
        </w:tc>
        <w:tc>
          <w:tcPr>
            <w:tcW w:w="3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退役军人管理事务</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45.62</w:t>
            </w:r>
            <w:r>
              <w:rPr>
                <w:rFonts w:hint="default" w:ascii="Times New Roman" w:hAnsi="Times New Roman" w:cs="Times New Roman"/>
                <w:b/>
                <w:color w:val="auto"/>
                <w:sz w:val="20"/>
                <w:u w:color="auto"/>
              </w:rPr>
              <w:t xml:space="preserve"> </w:t>
            </w:r>
          </w:p>
        </w:tc>
        <w:tc>
          <w:tcPr>
            <w:tcW w:w="1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45.62</w:t>
            </w:r>
            <w:r>
              <w:rPr>
                <w:rFonts w:hint="default" w:ascii="Times New Roman" w:hAnsi="Times New Roman" w:cs="Times New Roman"/>
                <w:b/>
                <w:color w:val="auto"/>
                <w:sz w:val="20"/>
                <w:u w:color="auto"/>
              </w:rPr>
              <w:t xml:space="preserve"> </w:t>
            </w:r>
          </w:p>
        </w:tc>
        <w:tc>
          <w:tcPr>
            <w:tcW w:w="1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2082850</w:t>
            </w:r>
          </w:p>
        </w:tc>
        <w:tc>
          <w:tcPr>
            <w:tcW w:w="3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45.62</w:t>
            </w:r>
            <w:r>
              <w:rPr>
                <w:rFonts w:hint="default" w:ascii="Times New Roman" w:hAnsi="Times New Roman" w:cs="Times New Roman"/>
                <w:color w:val="auto"/>
                <w:sz w:val="20"/>
                <w:u w:color="auto"/>
              </w:rPr>
              <w:t xml:space="preserve"> </w:t>
            </w:r>
          </w:p>
        </w:tc>
        <w:tc>
          <w:tcPr>
            <w:tcW w:w="1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45.62</w:t>
            </w:r>
            <w:r>
              <w:rPr>
                <w:rFonts w:hint="default" w:ascii="Times New Roman" w:hAnsi="Times New Roman" w:cs="Times New Roman"/>
                <w:color w:val="auto"/>
                <w:sz w:val="20"/>
                <w:u w:color="auto"/>
              </w:rPr>
              <w:t xml:space="preserve"> </w:t>
            </w:r>
          </w:p>
        </w:tc>
        <w:tc>
          <w:tcPr>
            <w:tcW w:w="1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2.40</w:t>
            </w:r>
            <w:r>
              <w:rPr>
                <w:rFonts w:hint="default" w:ascii="Times New Roman" w:hAnsi="Times New Roman" w:cs="Times New Roman"/>
                <w:b/>
                <w:color w:val="auto"/>
                <w:sz w:val="20"/>
                <w:u w:color="auto"/>
              </w:rPr>
              <w:t xml:space="preserve"> </w:t>
            </w:r>
          </w:p>
        </w:tc>
        <w:tc>
          <w:tcPr>
            <w:tcW w:w="1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2.40</w:t>
            </w:r>
            <w:r>
              <w:rPr>
                <w:rFonts w:hint="default" w:ascii="Times New Roman" w:hAnsi="Times New Roman" w:cs="Times New Roman"/>
                <w:b/>
                <w:color w:val="auto"/>
                <w:sz w:val="20"/>
                <w:u w:color="auto"/>
              </w:rPr>
              <w:t xml:space="preserve"> </w:t>
            </w:r>
          </w:p>
        </w:tc>
        <w:tc>
          <w:tcPr>
            <w:tcW w:w="1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2.40</w:t>
            </w:r>
            <w:r>
              <w:rPr>
                <w:rFonts w:hint="default" w:ascii="Times New Roman" w:hAnsi="Times New Roman" w:cs="Times New Roman"/>
                <w:b/>
                <w:color w:val="auto"/>
                <w:sz w:val="20"/>
                <w:u w:color="auto"/>
              </w:rPr>
              <w:t xml:space="preserve"> </w:t>
            </w:r>
          </w:p>
        </w:tc>
        <w:tc>
          <w:tcPr>
            <w:tcW w:w="1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2.40</w:t>
            </w:r>
            <w:r>
              <w:rPr>
                <w:rFonts w:hint="default" w:ascii="Times New Roman" w:hAnsi="Times New Roman" w:cs="Times New Roman"/>
                <w:b/>
                <w:color w:val="auto"/>
                <w:sz w:val="20"/>
                <w:u w:color="auto"/>
              </w:rPr>
              <w:t xml:space="preserve"> </w:t>
            </w:r>
          </w:p>
        </w:tc>
        <w:tc>
          <w:tcPr>
            <w:tcW w:w="1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3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1.66</w:t>
            </w:r>
            <w:r>
              <w:rPr>
                <w:rFonts w:hint="default" w:ascii="Times New Roman" w:hAnsi="Times New Roman" w:cs="Times New Roman"/>
                <w:color w:val="auto"/>
                <w:sz w:val="20"/>
                <w:u w:color="auto"/>
              </w:rPr>
              <w:t xml:space="preserve"> </w:t>
            </w:r>
          </w:p>
        </w:tc>
        <w:tc>
          <w:tcPr>
            <w:tcW w:w="1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1.66</w:t>
            </w:r>
            <w:r>
              <w:rPr>
                <w:rFonts w:hint="default" w:ascii="Times New Roman" w:hAnsi="Times New Roman" w:cs="Times New Roman"/>
                <w:color w:val="auto"/>
                <w:sz w:val="20"/>
                <w:u w:color="auto"/>
              </w:rPr>
              <w:t xml:space="preserve"> </w:t>
            </w:r>
          </w:p>
        </w:tc>
        <w:tc>
          <w:tcPr>
            <w:tcW w:w="1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3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0.73</w:t>
            </w:r>
            <w:r>
              <w:rPr>
                <w:rFonts w:hint="default" w:ascii="Times New Roman" w:hAnsi="Times New Roman" w:cs="Times New Roman"/>
                <w:color w:val="auto"/>
                <w:sz w:val="20"/>
                <w:u w:color="auto"/>
              </w:rPr>
              <w:t xml:space="preserve"> </w:t>
            </w:r>
          </w:p>
        </w:tc>
        <w:tc>
          <w:tcPr>
            <w:tcW w:w="1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0.73</w:t>
            </w:r>
            <w:r>
              <w:rPr>
                <w:rFonts w:hint="default" w:ascii="Times New Roman" w:hAnsi="Times New Roman" w:cs="Times New Roman"/>
                <w:color w:val="auto"/>
                <w:sz w:val="20"/>
                <w:u w:color="auto"/>
              </w:rPr>
              <w:t xml:space="preserve"> </w:t>
            </w:r>
          </w:p>
        </w:tc>
        <w:tc>
          <w:tcPr>
            <w:tcW w:w="1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3.05</w:t>
            </w:r>
            <w:r>
              <w:rPr>
                <w:rFonts w:hint="default" w:ascii="Times New Roman" w:hAnsi="Times New Roman" w:cs="Times New Roman"/>
                <w:b/>
                <w:color w:val="auto"/>
                <w:sz w:val="20"/>
                <w:u w:color="auto"/>
              </w:rPr>
              <w:t xml:space="preserve"> </w:t>
            </w:r>
          </w:p>
        </w:tc>
        <w:tc>
          <w:tcPr>
            <w:tcW w:w="1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3.05</w:t>
            </w:r>
            <w:r>
              <w:rPr>
                <w:rFonts w:hint="default" w:ascii="Times New Roman" w:hAnsi="Times New Roman" w:cs="Times New Roman"/>
                <w:b/>
                <w:color w:val="auto"/>
                <w:sz w:val="20"/>
                <w:u w:color="auto"/>
              </w:rPr>
              <w:t xml:space="preserve"> </w:t>
            </w:r>
          </w:p>
        </w:tc>
        <w:tc>
          <w:tcPr>
            <w:tcW w:w="1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3.05</w:t>
            </w:r>
            <w:r>
              <w:rPr>
                <w:rFonts w:hint="default" w:ascii="Times New Roman" w:hAnsi="Times New Roman" w:cs="Times New Roman"/>
                <w:b/>
                <w:color w:val="auto"/>
                <w:sz w:val="20"/>
                <w:u w:color="auto"/>
              </w:rPr>
              <w:t xml:space="preserve"> </w:t>
            </w:r>
          </w:p>
        </w:tc>
        <w:tc>
          <w:tcPr>
            <w:tcW w:w="1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3.05</w:t>
            </w:r>
            <w:r>
              <w:rPr>
                <w:rFonts w:hint="default" w:ascii="Times New Roman" w:hAnsi="Times New Roman" w:cs="Times New Roman"/>
                <w:b/>
                <w:color w:val="auto"/>
                <w:sz w:val="20"/>
                <w:u w:color="auto"/>
              </w:rPr>
              <w:t xml:space="preserve"> </w:t>
            </w:r>
          </w:p>
        </w:tc>
        <w:tc>
          <w:tcPr>
            <w:tcW w:w="1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3.05</w:t>
            </w:r>
            <w:r>
              <w:rPr>
                <w:rFonts w:hint="default" w:ascii="Times New Roman" w:hAnsi="Times New Roman" w:cs="Times New Roman"/>
                <w:color w:val="auto"/>
                <w:sz w:val="20"/>
                <w:u w:color="auto"/>
              </w:rPr>
              <w:t xml:space="preserve"> </w:t>
            </w:r>
          </w:p>
        </w:tc>
        <w:tc>
          <w:tcPr>
            <w:tcW w:w="1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3.05</w:t>
            </w:r>
            <w:r>
              <w:rPr>
                <w:rFonts w:hint="default" w:ascii="Times New Roman" w:hAnsi="Times New Roman" w:cs="Times New Roman"/>
                <w:color w:val="auto"/>
                <w:sz w:val="20"/>
                <w:u w:color="auto"/>
              </w:rPr>
              <w:t xml:space="preserve"> </w:t>
            </w:r>
          </w:p>
        </w:tc>
        <w:tc>
          <w:tcPr>
            <w:tcW w:w="1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备注：1.本表反映单位本年度一般公共预算财政拨款支出情况。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line="360" w:lineRule="exact"/>
        <w:ind w:firstLine="630" w:firstLineChars="3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8"/>
        <w:tblW w:w="8876" w:type="dxa"/>
        <w:tblInd w:w="0" w:type="dxa"/>
        <w:shd w:val="clear" w:color="auto" w:fill="auto"/>
        <w:tblLayout w:type="fixed"/>
        <w:tblCellMar>
          <w:top w:w="0" w:type="dxa"/>
          <w:left w:w="0" w:type="dxa"/>
          <w:bottom w:w="0" w:type="dxa"/>
          <w:right w:w="0" w:type="dxa"/>
        </w:tblCellMar>
      </w:tblPr>
      <w:tblGrid>
        <w:gridCol w:w="815"/>
        <w:gridCol w:w="1691"/>
        <w:gridCol w:w="600"/>
        <w:gridCol w:w="818"/>
        <w:gridCol w:w="1378"/>
        <w:gridCol w:w="736"/>
        <w:gridCol w:w="682"/>
        <w:gridCol w:w="1459"/>
        <w:gridCol w:w="697"/>
      </w:tblGrid>
      <w:tr>
        <w:tblPrEx>
          <w:shd w:val="clear" w:color="auto" w:fill="auto"/>
          <w:tblLayout w:type="fixed"/>
          <w:tblCellMar>
            <w:top w:w="0" w:type="dxa"/>
            <w:left w:w="0" w:type="dxa"/>
            <w:bottom w:w="0" w:type="dxa"/>
            <w:right w:w="0" w:type="dxa"/>
          </w:tblCellMar>
        </w:tblPrEx>
        <w:trPr>
          <w:trHeight w:val="90" w:hRule="atLeast"/>
        </w:trPr>
        <w:tc>
          <w:tcPr>
            <w:tcW w:w="8876"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6038" w:type="dxa"/>
            <w:gridSpan w:val="6"/>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重庆市荣昌区广顺街道退役军人服务站</w:t>
            </w:r>
          </w:p>
        </w:tc>
        <w:tc>
          <w:tcPr>
            <w:tcW w:w="68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2156"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公开06表</w:t>
            </w:r>
          </w:p>
        </w:tc>
      </w:tr>
      <w:tr>
        <w:tblPrEx>
          <w:tblLayout w:type="fixed"/>
          <w:tblCellMar>
            <w:top w:w="0" w:type="dxa"/>
            <w:left w:w="0" w:type="dxa"/>
            <w:bottom w:w="0" w:type="dxa"/>
            <w:right w:w="0" w:type="dxa"/>
          </w:tblCellMar>
        </w:tblPrEx>
        <w:trPr>
          <w:trHeight w:val="90" w:hRule="atLeast"/>
        </w:trPr>
        <w:tc>
          <w:tcPr>
            <w:tcW w:w="6038" w:type="dxa"/>
            <w:gridSpan w:val="6"/>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8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2156"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31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w:t>
            </w:r>
          </w:p>
        </w:tc>
        <w:tc>
          <w:tcPr>
            <w:tcW w:w="577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w:t>
            </w:r>
          </w:p>
        </w:tc>
      </w:tr>
      <w:tr>
        <w:tblPrEx>
          <w:tblLayout w:type="fixed"/>
          <w:tblCellMar>
            <w:top w:w="0" w:type="dxa"/>
            <w:left w:w="0" w:type="dxa"/>
            <w:bottom w:w="0" w:type="dxa"/>
            <w:right w:w="0" w:type="dxa"/>
          </w:tblCellMar>
        </w:tblPrEx>
        <w:trPr>
          <w:trHeight w:val="312" w:hRule="atLeast"/>
        </w:trPr>
        <w:tc>
          <w:tcPr>
            <w:tcW w:w="81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6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6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81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37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73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68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4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6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r>
      <w:tr>
        <w:tblPrEx>
          <w:tblLayout w:type="fixed"/>
          <w:tblCellMar>
            <w:top w:w="0" w:type="dxa"/>
            <w:left w:w="0" w:type="dxa"/>
            <w:bottom w:w="0" w:type="dxa"/>
            <w:right w:w="0" w:type="dxa"/>
          </w:tblCellMar>
        </w:tblPrEx>
        <w:trPr>
          <w:trHeight w:val="312" w:hRule="atLeast"/>
        </w:trPr>
        <w:tc>
          <w:tcPr>
            <w:tcW w:w="8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16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6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81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137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73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6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14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6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工资福利支出</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49.40</w:t>
            </w: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商品和服务支出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6.37</w:t>
            </w: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资本性支出</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基本工资</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11.63</w:t>
            </w: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30201</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0.20</w:t>
            </w: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31001</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房屋建筑物购建</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津贴补贴</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0.36</w:t>
            </w: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印刷费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31002</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办公设备购置</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奖金</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30203</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咨询费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31003</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专用设备购置</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30106</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伙食补助费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30204</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手续费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31005</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基础设施建设</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30107</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绩效工资</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26.72</w:t>
            </w: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水费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0.18</w:t>
            </w: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31006</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大型修缮</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30108</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机关事业单位基本养老保险缴费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3.13</w:t>
            </w: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30206</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电费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0.20</w:t>
            </w: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31007</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信息网络及软件购置更新</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30109</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职业年金缴费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1.57</w:t>
            </w: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30207</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邮电费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31008</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物资储备</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30110</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职工基本医疗保险缴费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1.66</w:t>
            </w: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30208</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取暖费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31009</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土地补偿</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公务员医疗补助缴费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30209</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物业管理费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安置补助</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其他社会保障缴费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0.45</w:t>
            </w: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30211</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差旅费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5.40</w:t>
            </w: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31011</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地上附着物和青苗补偿</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住房公积金</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3.05</w:t>
            </w: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因公出国（境）费用</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31012</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拆迁补偿</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0.44</w:t>
            </w: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30213</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维修（护）费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31013</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公务用车购置</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30199</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其他工资福利支出</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0.38</w:t>
            </w: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30214</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租赁费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31019</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其他交通工具购置</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对个人和家庭的补助</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1.89</w:t>
            </w: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会议费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31021</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文物和陈列品购置</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离休费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30216</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培训费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0.38</w:t>
            </w: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31022</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无形资产购置</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退休费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30217</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公务接待费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31099</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其他资本性支出</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退职（役）费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30218</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专用材料费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对企业补助</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抚恤金</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30224</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被装购置费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31201</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资本金注入</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30305</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生活补助</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专用燃料费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31203</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政府投资基金股权投资</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30306</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救济费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30226</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劳务费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31204</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费用补贴</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30307</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医疗费补助</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30227</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委托业务费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31205</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利息补贴</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30308</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助学金</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30228</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工会经费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31299</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其他对企业补助</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30309</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奖励金</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1.89</w:t>
            </w: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30229</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福利费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其他支出</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30310</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个人农业生产补贴</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30231</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公务用车运行维护费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39907</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国家赔偿费用支出</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代缴社会保险费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30239</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其他交通费用</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39908</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对民间非营利组织和群众性自治组织补贴</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30399</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其他对个人和家庭的补助</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30240</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税金及附加费用</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39909</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经常性赠与</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30299</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其他商品和服务支出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0.01</w:t>
            </w: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39910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资本性赠与</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债务利息及费用支出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39999</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其他支出</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30701</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国内债务付息</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国外债务付息</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30703</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国内债务发行费用</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30704</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国外债务发行费用</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50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人员经费合计</w:t>
            </w:r>
          </w:p>
        </w:tc>
        <w:tc>
          <w:tcPr>
            <w:tcW w:w="6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51.29</w:t>
            </w:r>
            <w:r>
              <w:rPr>
                <w:rFonts w:hint="default" w:ascii="Times New Roman" w:hAnsi="Times New Roman" w:cs="Times New Roman"/>
                <w:color w:val="auto"/>
                <w:sz w:val="18"/>
                <w:u w:color="auto"/>
              </w:rPr>
              <w:t xml:space="preserve"> </w:t>
            </w:r>
          </w:p>
        </w:tc>
        <w:tc>
          <w:tcPr>
            <w:tcW w:w="5073"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公用经费合计</w:t>
            </w:r>
          </w:p>
        </w:tc>
        <w:tc>
          <w:tcPr>
            <w:tcW w:w="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6.37</w:t>
            </w:r>
            <w:r>
              <w:rPr>
                <w:rFonts w:hint="default" w:ascii="Times New Roman" w:hAnsi="Times New Roman" w:cs="Times New Roman"/>
                <w:color w:val="auto"/>
                <w:sz w:val="18"/>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备注：1.本表反映单位本年度一般公共预算财政拨款基本支出明细情况。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8"/>
        <w:tblW w:w="8876" w:type="dxa"/>
        <w:tblInd w:w="0" w:type="dxa"/>
        <w:shd w:val="clear" w:color="auto" w:fill="auto"/>
        <w:tblLayout w:type="fixed"/>
        <w:tblCellMar>
          <w:top w:w="0" w:type="dxa"/>
          <w:left w:w="0" w:type="dxa"/>
          <w:bottom w:w="0" w:type="dxa"/>
          <w:right w:w="0" w:type="dxa"/>
        </w:tblCellMar>
      </w:tblPr>
      <w:tblGrid>
        <w:gridCol w:w="1070"/>
        <w:gridCol w:w="1782"/>
        <w:gridCol w:w="986"/>
        <w:gridCol w:w="985"/>
        <w:gridCol w:w="985"/>
        <w:gridCol w:w="986"/>
        <w:gridCol w:w="1022"/>
        <w:gridCol w:w="1060"/>
      </w:tblGrid>
      <w:tr>
        <w:tblPrEx>
          <w:shd w:val="clear" w:color="auto" w:fill="auto"/>
          <w:tblLayout w:type="fixed"/>
          <w:tblCellMar>
            <w:top w:w="0" w:type="dxa"/>
            <w:left w:w="0" w:type="dxa"/>
            <w:bottom w:w="0" w:type="dxa"/>
            <w:right w:w="0" w:type="dxa"/>
          </w:tblCellMar>
        </w:tblPrEx>
        <w:trPr>
          <w:trHeight w:val="644" w:hRule="atLeast"/>
        </w:trPr>
        <w:tc>
          <w:tcPr>
            <w:tcW w:w="8876"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5808" w:type="dxa"/>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重庆市荣昌区广顺街道退役军人服务站</w:t>
            </w:r>
          </w:p>
        </w:tc>
        <w:tc>
          <w:tcPr>
            <w:tcW w:w="98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02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06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公开07表</w:t>
            </w:r>
          </w:p>
        </w:tc>
      </w:tr>
      <w:tr>
        <w:tblPrEx>
          <w:tblLayout w:type="fixed"/>
          <w:tblCellMar>
            <w:top w:w="0" w:type="dxa"/>
            <w:left w:w="0" w:type="dxa"/>
            <w:bottom w:w="0" w:type="dxa"/>
            <w:right w:w="0" w:type="dxa"/>
          </w:tblCellMar>
        </w:tblPrEx>
        <w:trPr>
          <w:trHeight w:val="329" w:hRule="atLeast"/>
        </w:trPr>
        <w:tc>
          <w:tcPr>
            <w:tcW w:w="5808" w:type="dxa"/>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98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02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06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39" w:hRule="atLeast"/>
        </w:trPr>
        <w:tc>
          <w:tcPr>
            <w:tcW w:w="2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98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年初结转和结余</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w:t>
            </w:r>
          </w:p>
        </w:tc>
        <w:tc>
          <w:tcPr>
            <w:tcW w:w="299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年末结转和结余</w:t>
            </w:r>
          </w:p>
        </w:tc>
      </w:tr>
      <w:tr>
        <w:tblPrEx>
          <w:tblLayout w:type="fixed"/>
          <w:tblCellMar>
            <w:top w:w="0" w:type="dxa"/>
            <w:left w:w="0" w:type="dxa"/>
            <w:bottom w:w="0" w:type="dxa"/>
            <w:right w:w="0" w:type="dxa"/>
          </w:tblCellMar>
        </w:tblPrEx>
        <w:trPr>
          <w:trHeight w:val="335" w:hRule="atLeast"/>
        </w:trPr>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7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9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98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0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5"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0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45"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0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9" w:hRule="atLeast"/>
        </w:trPr>
        <w:tc>
          <w:tcPr>
            <w:tcW w:w="285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9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9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8"/>
        <w:tblW w:w="8876" w:type="dxa"/>
        <w:tblInd w:w="0" w:type="dxa"/>
        <w:shd w:val="clear" w:color="auto" w:fill="auto"/>
        <w:tblLayout w:type="fixed"/>
        <w:tblCellMar>
          <w:top w:w="0" w:type="dxa"/>
          <w:left w:w="0" w:type="dxa"/>
          <w:bottom w:w="0" w:type="dxa"/>
          <w:right w:w="0" w:type="dxa"/>
        </w:tblCellMar>
      </w:tblPr>
      <w:tblGrid>
        <w:gridCol w:w="1086"/>
        <w:gridCol w:w="1766"/>
        <w:gridCol w:w="2007"/>
        <w:gridCol w:w="2005"/>
        <w:gridCol w:w="45"/>
        <w:gridCol w:w="1967"/>
      </w:tblGrid>
      <w:tr>
        <w:tblPrEx>
          <w:tblLayout w:type="fixed"/>
          <w:tblCellMar>
            <w:top w:w="0" w:type="dxa"/>
            <w:left w:w="0" w:type="dxa"/>
            <w:bottom w:w="0" w:type="dxa"/>
            <w:right w:w="0" w:type="dxa"/>
          </w:tblCellMar>
        </w:tblPrEx>
        <w:trPr>
          <w:trHeight w:val="650" w:hRule="atLeast"/>
        </w:trPr>
        <w:tc>
          <w:tcPr>
            <w:tcW w:w="8876" w:type="dxa"/>
            <w:gridSpan w:val="6"/>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6909" w:type="dxa"/>
            <w:gridSpan w:val="5"/>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重庆市荣昌区广顺街道退役军人服务站</w:t>
            </w:r>
          </w:p>
        </w:tc>
        <w:tc>
          <w:tcPr>
            <w:tcW w:w="196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公开08表</w:t>
            </w:r>
          </w:p>
        </w:tc>
      </w:tr>
      <w:tr>
        <w:tblPrEx>
          <w:tblLayout w:type="fixed"/>
          <w:tblCellMar>
            <w:top w:w="0" w:type="dxa"/>
            <w:left w:w="0" w:type="dxa"/>
            <w:bottom w:w="0" w:type="dxa"/>
            <w:right w:w="0" w:type="dxa"/>
          </w:tblCellMar>
        </w:tblPrEx>
        <w:trPr>
          <w:trHeight w:val="332" w:hRule="atLeast"/>
        </w:trPr>
        <w:tc>
          <w:tcPr>
            <w:tcW w:w="6909" w:type="dxa"/>
            <w:gridSpan w:val="5"/>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196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422" w:hRule="atLeast"/>
        </w:trPr>
        <w:tc>
          <w:tcPr>
            <w:tcW w:w="2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60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Layout w:type="fixed"/>
          <w:tblCellMar>
            <w:top w:w="0" w:type="dxa"/>
            <w:left w:w="0" w:type="dxa"/>
            <w:bottom w:w="0" w:type="dxa"/>
            <w:right w:w="0" w:type="dxa"/>
          </w:tblCellMar>
        </w:tblPrEx>
        <w:trPr>
          <w:trHeight w:val="339" w:hRule="atLeast"/>
        </w:trPr>
        <w:tc>
          <w:tcPr>
            <w:tcW w:w="10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76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科目名称</w:t>
            </w:r>
          </w:p>
        </w:tc>
        <w:tc>
          <w:tcPr>
            <w:tcW w:w="200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20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2012"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Layout w:type="fixed"/>
          <w:tblCellMar>
            <w:top w:w="0" w:type="dxa"/>
            <w:left w:w="0" w:type="dxa"/>
            <w:bottom w:w="0" w:type="dxa"/>
            <w:right w:w="0" w:type="dxa"/>
          </w:tblCellMar>
        </w:tblPrEx>
        <w:trPr>
          <w:trHeight w:val="339" w:hRule="atLeast"/>
        </w:trPr>
        <w:tc>
          <w:tcPr>
            <w:tcW w:w="10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200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20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201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9" w:hRule="atLeast"/>
        </w:trPr>
        <w:tc>
          <w:tcPr>
            <w:tcW w:w="10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200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20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201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26" w:hRule="atLeast"/>
        </w:trPr>
        <w:tc>
          <w:tcPr>
            <w:tcW w:w="10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200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20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201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11" w:hRule="atLeast"/>
        </w:trPr>
        <w:tc>
          <w:tcPr>
            <w:tcW w:w="2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2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2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auto"/>
                <w:sz w:val="20"/>
                <w:szCs w:val="20"/>
              </w:rPr>
            </w:pPr>
          </w:p>
        </w:tc>
        <w:tc>
          <w:tcPr>
            <w:tcW w:w="201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备注：本表反映单位本年度国有资本经营预算财政拨款支出情况。本单位无国有资本经营收支，故本表无数据。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8"/>
        <w:tblW w:w="8876" w:type="dxa"/>
        <w:tblInd w:w="0" w:type="dxa"/>
        <w:shd w:val="clear" w:color="auto" w:fill="auto"/>
        <w:tblLayout w:type="fixed"/>
        <w:tblCellMar>
          <w:top w:w="0" w:type="dxa"/>
          <w:left w:w="0" w:type="dxa"/>
          <w:bottom w:w="0" w:type="dxa"/>
          <w:right w:w="0" w:type="dxa"/>
        </w:tblCellMar>
      </w:tblPr>
      <w:tblGrid>
        <w:gridCol w:w="2997"/>
        <w:gridCol w:w="941"/>
        <w:gridCol w:w="1018"/>
        <w:gridCol w:w="2923"/>
        <w:gridCol w:w="997"/>
      </w:tblGrid>
      <w:tr>
        <w:tblPrEx>
          <w:shd w:val="clear" w:color="auto" w:fill="auto"/>
          <w:tblLayout w:type="fixed"/>
          <w:tblCellMar>
            <w:top w:w="0" w:type="dxa"/>
            <w:left w:w="0" w:type="dxa"/>
            <w:bottom w:w="0" w:type="dxa"/>
            <w:right w:w="0" w:type="dxa"/>
          </w:tblCellMar>
        </w:tblPrEx>
        <w:trPr>
          <w:trHeight w:val="175" w:hRule="atLeast"/>
        </w:trPr>
        <w:tc>
          <w:tcPr>
            <w:tcW w:w="8876"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机构运行信息表</w:t>
            </w:r>
          </w:p>
        </w:tc>
      </w:tr>
      <w:tr>
        <w:tblPrEx>
          <w:tblLayout w:type="fixed"/>
          <w:tblCellMar>
            <w:top w:w="0" w:type="dxa"/>
            <w:left w:w="0" w:type="dxa"/>
            <w:bottom w:w="0" w:type="dxa"/>
            <w:right w:w="0" w:type="dxa"/>
          </w:tblCellMar>
        </w:tblPrEx>
        <w:trPr>
          <w:trHeight w:val="175" w:hRule="atLeast"/>
        </w:trPr>
        <w:tc>
          <w:tcPr>
            <w:tcW w:w="4956"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重庆市荣昌区广顺街道退役军人服务站</w:t>
            </w:r>
          </w:p>
        </w:tc>
        <w:tc>
          <w:tcPr>
            <w:tcW w:w="2923"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auto"/>
                <w:sz w:val="20"/>
                <w:szCs w:val="20"/>
              </w:rPr>
            </w:pPr>
          </w:p>
        </w:tc>
        <w:tc>
          <w:tcPr>
            <w:tcW w:w="9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公开09表</w:t>
            </w:r>
          </w:p>
        </w:tc>
      </w:tr>
      <w:tr>
        <w:tblPrEx>
          <w:tblLayout w:type="fixed"/>
          <w:tblCellMar>
            <w:top w:w="0" w:type="dxa"/>
            <w:left w:w="0" w:type="dxa"/>
            <w:bottom w:w="0" w:type="dxa"/>
            <w:right w:w="0" w:type="dxa"/>
          </w:tblCellMar>
        </w:tblPrEx>
        <w:trPr>
          <w:trHeight w:val="175" w:hRule="atLeast"/>
        </w:trPr>
        <w:tc>
          <w:tcPr>
            <w:tcW w:w="4956" w:type="dxa"/>
            <w:gridSpan w:val="3"/>
            <w:vMerge w:val="continue"/>
            <w:tcBorders>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auto"/>
                <w:sz w:val="20"/>
                <w:szCs w:val="20"/>
              </w:rPr>
            </w:pPr>
          </w:p>
        </w:tc>
        <w:tc>
          <w:tcPr>
            <w:tcW w:w="292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auto"/>
                <w:sz w:val="20"/>
                <w:szCs w:val="20"/>
              </w:rPr>
            </w:pPr>
          </w:p>
        </w:tc>
        <w:tc>
          <w:tcPr>
            <w:tcW w:w="99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184" w:hRule="atLeast"/>
        </w:trPr>
        <w:tc>
          <w:tcPr>
            <w:tcW w:w="2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  目</w:t>
            </w:r>
          </w:p>
        </w:tc>
        <w:tc>
          <w:tcPr>
            <w:tcW w:w="9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预算数</w:t>
            </w:r>
          </w:p>
        </w:tc>
        <w:tc>
          <w:tcPr>
            <w:tcW w:w="10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c>
          <w:tcPr>
            <w:tcW w:w="29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  目</w:t>
            </w:r>
          </w:p>
        </w:tc>
        <w:tc>
          <w:tcPr>
            <w:tcW w:w="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r>
      <w:tr>
        <w:tblPrEx>
          <w:tblLayout w:type="fixed"/>
          <w:tblCellMar>
            <w:top w:w="0" w:type="dxa"/>
            <w:left w:w="0" w:type="dxa"/>
            <w:bottom w:w="0" w:type="dxa"/>
            <w:right w:w="0" w:type="dxa"/>
          </w:tblCellMar>
        </w:tblPrEx>
        <w:trPr>
          <w:trHeight w:val="184" w:hRule="atLeast"/>
        </w:trPr>
        <w:tc>
          <w:tcPr>
            <w:tcW w:w="2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一、“三公”经费支出</w:t>
            </w:r>
          </w:p>
        </w:tc>
        <w:tc>
          <w:tcPr>
            <w:tcW w:w="9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0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9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四、机关运行经费</w:t>
            </w:r>
          </w:p>
        </w:tc>
        <w:tc>
          <w:tcPr>
            <w:tcW w:w="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（一）支出合计</w:t>
            </w:r>
          </w:p>
        </w:tc>
        <w:tc>
          <w:tcPr>
            <w:tcW w:w="9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9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（一）行政单位</w:t>
            </w:r>
          </w:p>
        </w:tc>
        <w:tc>
          <w:tcPr>
            <w:tcW w:w="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1．因公出国（境）费</w:t>
            </w:r>
          </w:p>
        </w:tc>
        <w:tc>
          <w:tcPr>
            <w:tcW w:w="9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9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（二）参照公务员法管理事业单位</w:t>
            </w:r>
          </w:p>
        </w:tc>
        <w:tc>
          <w:tcPr>
            <w:tcW w:w="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2．公务用车购置及运行维护费</w:t>
            </w:r>
          </w:p>
        </w:tc>
        <w:tc>
          <w:tcPr>
            <w:tcW w:w="9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9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五、资产信息</w:t>
            </w:r>
          </w:p>
        </w:tc>
        <w:tc>
          <w:tcPr>
            <w:tcW w:w="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r>
      <w:tr>
        <w:tblPrEx>
          <w:tblLayout w:type="fixed"/>
          <w:tblCellMar>
            <w:top w:w="0" w:type="dxa"/>
            <w:left w:w="0" w:type="dxa"/>
            <w:bottom w:w="0" w:type="dxa"/>
            <w:right w:w="0" w:type="dxa"/>
          </w:tblCellMar>
        </w:tblPrEx>
        <w:trPr>
          <w:trHeight w:val="346" w:hRule="atLeast"/>
        </w:trPr>
        <w:tc>
          <w:tcPr>
            <w:tcW w:w="2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（1）公务用车购置费</w:t>
            </w:r>
          </w:p>
        </w:tc>
        <w:tc>
          <w:tcPr>
            <w:tcW w:w="9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9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（一）车辆数合计（辆）</w:t>
            </w:r>
          </w:p>
        </w:tc>
        <w:tc>
          <w:tcPr>
            <w:tcW w:w="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（2）公务用车运行维护费</w:t>
            </w:r>
          </w:p>
        </w:tc>
        <w:tc>
          <w:tcPr>
            <w:tcW w:w="9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9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1．副部（省）级及以上领导用车</w:t>
            </w:r>
          </w:p>
        </w:tc>
        <w:tc>
          <w:tcPr>
            <w:tcW w:w="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3．公务接待费</w:t>
            </w:r>
          </w:p>
        </w:tc>
        <w:tc>
          <w:tcPr>
            <w:tcW w:w="9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9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2．主要领导干部用车</w:t>
            </w:r>
          </w:p>
        </w:tc>
        <w:tc>
          <w:tcPr>
            <w:tcW w:w="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（1）国内接待费</w:t>
            </w:r>
          </w:p>
        </w:tc>
        <w:tc>
          <w:tcPr>
            <w:tcW w:w="9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0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9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3．机要通信用车</w:t>
            </w:r>
          </w:p>
        </w:tc>
        <w:tc>
          <w:tcPr>
            <w:tcW w:w="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其中：外事接待费</w:t>
            </w:r>
          </w:p>
        </w:tc>
        <w:tc>
          <w:tcPr>
            <w:tcW w:w="9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0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9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4．应急保障用车</w:t>
            </w:r>
          </w:p>
        </w:tc>
        <w:tc>
          <w:tcPr>
            <w:tcW w:w="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（2）国（境）外接待费</w:t>
            </w:r>
          </w:p>
        </w:tc>
        <w:tc>
          <w:tcPr>
            <w:tcW w:w="9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0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9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5．执法执勤用车</w:t>
            </w:r>
          </w:p>
        </w:tc>
        <w:tc>
          <w:tcPr>
            <w:tcW w:w="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（二）相关统计数</w:t>
            </w:r>
          </w:p>
        </w:tc>
        <w:tc>
          <w:tcPr>
            <w:tcW w:w="9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0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9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6．特种专业技术用车</w:t>
            </w:r>
          </w:p>
        </w:tc>
        <w:tc>
          <w:tcPr>
            <w:tcW w:w="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1．因公出国（境）团组数（个）</w:t>
            </w:r>
          </w:p>
        </w:tc>
        <w:tc>
          <w:tcPr>
            <w:tcW w:w="9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0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9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7．离退休干部用车</w:t>
            </w:r>
          </w:p>
        </w:tc>
        <w:tc>
          <w:tcPr>
            <w:tcW w:w="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2．因公出国（境）人次数（人）</w:t>
            </w:r>
          </w:p>
        </w:tc>
        <w:tc>
          <w:tcPr>
            <w:tcW w:w="9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0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9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8．其他用车</w:t>
            </w:r>
          </w:p>
        </w:tc>
        <w:tc>
          <w:tcPr>
            <w:tcW w:w="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3．公务用车购置数（辆）</w:t>
            </w:r>
          </w:p>
        </w:tc>
        <w:tc>
          <w:tcPr>
            <w:tcW w:w="9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0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9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（二）单价100万元（含）以上设备（不含车辆）</w:t>
            </w:r>
          </w:p>
        </w:tc>
        <w:tc>
          <w:tcPr>
            <w:tcW w:w="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4．公务用车保有量（辆）</w:t>
            </w:r>
          </w:p>
        </w:tc>
        <w:tc>
          <w:tcPr>
            <w:tcW w:w="9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0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9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六、政府采购支出信息</w:t>
            </w:r>
          </w:p>
        </w:tc>
        <w:tc>
          <w:tcPr>
            <w:tcW w:w="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r>
      <w:tr>
        <w:tblPrEx>
          <w:tblLayout w:type="fixed"/>
          <w:tblCellMar>
            <w:top w:w="0" w:type="dxa"/>
            <w:left w:w="0" w:type="dxa"/>
            <w:bottom w:w="0" w:type="dxa"/>
            <w:right w:w="0" w:type="dxa"/>
          </w:tblCellMar>
        </w:tblPrEx>
        <w:trPr>
          <w:trHeight w:val="346" w:hRule="atLeast"/>
        </w:trPr>
        <w:tc>
          <w:tcPr>
            <w:tcW w:w="2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5．国内公务接待批次（个）</w:t>
            </w:r>
          </w:p>
        </w:tc>
        <w:tc>
          <w:tcPr>
            <w:tcW w:w="9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0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9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（一）政府采购支出合计</w:t>
            </w:r>
          </w:p>
        </w:tc>
        <w:tc>
          <w:tcPr>
            <w:tcW w:w="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其中：外事接待批次（个）</w:t>
            </w:r>
          </w:p>
        </w:tc>
        <w:tc>
          <w:tcPr>
            <w:tcW w:w="9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0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9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1．政府采购货物支出</w:t>
            </w:r>
          </w:p>
        </w:tc>
        <w:tc>
          <w:tcPr>
            <w:tcW w:w="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6．国内公务接待人次（人）</w:t>
            </w:r>
          </w:p>
        </w:tc>
        <w:tc>
          <w:tcPr>
            <w:tcW w:w="9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0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9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2．政府采购工程支出</w:t>
            </w:r>
          </w:p>
        </w:tc>
        <w:tc>
          <w:tcPr>
            <w:tcW w:w="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其中：外事接待人次（人）</w:t>
            </w:r>
          </w:p>
        </w:tc>
        <w:tc>
          <w:tcPr>
            <w:tcW w:w="9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0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9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3．政府采购服务支出</w:t>
            </w:r>
          </w:p>
        </w:tc>
        <w:tc>
          <w:tcPr>
            <w:tcW w:w="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7．国（境）外公务接待批次（个）</w:t>
            </w:r>
          </w:p>
        </w:tc>
        <w:tc>
          <w:tcPr>
            <w:tcW w:w="9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0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9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（二）政府采购授予中小企业合同金额</w:t>
            </w:r>
          </w:p>
        </w:tc>
        <w:tc>
          <w:tcPr>
            <w:tcW w:w="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8．国（境）外公务接待人次（人）</w:t>
            </w:r>
          </w:p>
        </w:tc>
        <w:tc>
          <w:tcPr>
            <w:tcW w:w="9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0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9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其中：授予小微企业合同金额</w:t>
            </w:r>
          </w:p>
        </w:tc>
        <w:tc>
          <w:tcPr>
            <w:tcW w:w="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69" w:hRule="atLeast"/>
        </w:trPr>
        <w:tc>
          <w:tcPr>
            <w:tcW w:w="2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二、会议费</w:t>
            </w:r>
          </w:p>
        </w:tc>
        <w:tc>
          <w:tcPr>
            <w:tcW w:w="9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0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9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rPr>
            </w:pPr>
          </w:p>
        </w:tc>
      </w:tr>
      <w:tr>
        <w:tblPrEx>
          <w:tblLayout w:type="fixed"/>
          <w:tblCellMar>
            <w:top w:w="0" w:type="dxa"/>
            <w:left w:w="0" w:type="dxa"/>
            <w:bottom w:w="0" w:type="dxa"/>
            <w:right w:w="0" w:type="dxa"/>
          </w:tblCellMar>
        </w:tblPrEx>
        <w:trPr>
          <w:trHeight w:val="244" w:hRule="atLeast"/>
        </w:trPr>
        <w:tc>
          <w:tcPr>
            <w:tcW w:w="2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三、培训费</w:t>
            </w:r>
          </w:p>
        </w:tc>
        <w:tc>
          <w:tcPr>
            <w:tcW w:w="9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0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0.38</w:t>
            </w:r>
            <w:r>
              <w:rPr>
                <w:rFonts w:hint="default" w:ascii="Times New Roman" w:hAnsi="Times New Roman" w:cs="Times New Roman"/>
                <w:color w:val="auto"/>
                <w:sz w:val="20"/>
                <w:u w:color="auto"/>
              </w:rPr>
              <w:t xml:space="preserve"> </w:t>
            </w:r>
          </w:p>
        </w:tc>
        <w:tc>
          <w:tcPr>
            <w:tcW w:w="29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rPr>
            </w:pPr>
          </w:p>
        </w:tc>
      </w:tr>
    </w:tbl>
    <w:p>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sectPr>
      <w:headerReference r:id="rId4" w:type="default"/>
      <w:footerReference r:id="rId5" w:type="default"/>
      <w:pgSz w:w="11907" w:h="16839"/>
      <w:pgMar w:top="2098" w:right="1474" w:bottom="1984" w:left="1587" w:header="850" w:footer="1474"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sz w:val="18"/>
      </w:rPr>
      <w:pict>
        <v:shape id="_x0000_s1029" o:spid="_x0000_s102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keepNext w:val="0"/>
                  <w:keepLines w:val="0"/>
                  <w:pageBreakBefore w:val="0"/>
                  <w:widowControl/>
                  <w:kinsoku/>
                  <w:wordWrap/>
                  <w:overflowPunct/>
                  <w:topLinePunct w:val="0"/>
                  <w:autoSpaceDE/>
                  <w:autoSpaceDN/>
                  <w:bidi w:val="0"/>
                  <w:adjustRightInd/>
                  <w:snapToGrid w:val="0"/>
                  <w:ind w:left="240" w:leftChars="100" w:right="240" w:rightChars="100"/>
                  <w:textAlignment w:val="auto"/>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sz w:val="18"/>
      </w:rPr>
      <w:pict>
        <v:shape id="_x0000_s1030" o:spid="_x0000_s103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10</w:t>
                </w:r>
                <w:r>
                  <w:rPr>
                    <w:rFonts w:hint="eastAsia"/>
                    <w:sz w:val="28"/>
                    <w:szCs w:val="28"/>
                    <w:lang w:eastAsia="zh-CN"/>
                  </w:rPr>
                  <w:fldChar w:fldCharType="end"/>
                </w:r>
                <w:r>
                  <w:rPr>
                    <w:rFonts w:hint="eastAsia"/>
                    <w:sz w:val="28"/>
                    <w:szCs w:val="28"/>
                    <w:lang w:eastAsia="zh-CN"/>
                  </w:rP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6194FF1"/>
    <w:rsid w:val="06A2550B"/>
    <w:rsid w:val="06D9420D"/>
    <w:rsid w:val="06F80EE2"/>
    <w:rsid w:val="07001CCA"/>
    <w:rsid w:val="075678DB"/>
    <w:rsid w:val="079D7CC7"/>
    <w:rsid w:val="08051BCA"/>
    <w:rsid w:val="086C12F4"/>
    <w:rsid w:val="08705944"/>
    <w:rsid w:val="08BA052C"/>
    <w:rsid w:val="08DB07BA"/>
    <w:rsid w:val="0969353F"/>
    <w:rsid w:val="098305D0"/>
    <w:rsid w:val="0A3317EA"/>
    <w:rsid w:val="0A5C4B69"/>
    <w:rsid w:val="0A86124A"/>
    <w:rsid w:val="0AAC42E4"/>
    <w:rsid w:val="0AB54CC0"/>
    <w:rsid w:val="0ACD7841"/>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5440A"/>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AE5BFB"/>
    <w:rsid w:val="1FBB35CD"/>
    <w:rsid w:val="1FCD26AF"/>
    <w:rsid w:val="20642787"/>
    <w:rsid w:val="21556F04"/>
    <w:rsid w:val="22403BD3"/>
    <w:rsid w:val="24B92327"/>
    <w:rsid w:val="24C14514"/>
    <w:rsid w:val="24E448A6"/>
    <w:rsid w:val="2533755C"/>
    <w:rsid w:val="25791755"/>
    <w:rsid w:val="26396DF4"/>
    <w:rsid w:val="27167136"/>
    <w:rsid w:val="271B442C"/>
    <w:rsid w:val="27B23302"/>
    <w:rsid w:val="28A76AEA"/>
    <w:rsid w:val="29310A5F"/>
    <w:rsid w:val="29C37A35"/>
    <w:rsid w:val="2A076083"/>
    <w:rsid w:val="2A73162E"/>
    <w:rsid w:val="2B167953"/>
    <w:rsid w:val="2B200583"/>
    <w:rsid w:val="2B8209DE"/>
    <w:rsid w:val="2C636760"/>
    <w:rsid w:val="2C6762A3"/>
    <w:rsid w:val="2C7C6BEE"/>
    <w:rsid w:val="2FCA4B37"/>
    <w:rsid w:val="2FDB2307"/>
    <w:rsid w:val="2FE029D7"/>
    <w:rsid w:val="2FF06E00"/>
    <w:rsid w:val="30586FEC"/>
    <w:rsid w:val="315F0B22"/>
    <w:rsid w:val="31D84415"/>
    <w:rsid w:val="32285F6F"/>
    <w:rsid w:val="32770556"/>
    <w:rsid w:val="329C0913"/>
    <w:rsid w:val="32AA0460"/>
    <w:rsid w:val="33056FE5"/>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A10308"/>
    <w:rsid w:val="5F2D4A41"/>
    <w:rsid w:val="601E51E2"/>
    <w:rsid w:val="60C74F6C"/>
    <w:rsid w:val="61025A59"/>
    <w:rsid w:val="613D5BBC"/>
    <w:rsid w:val="61536C39"/>
    <w:rsid w:val="62944DD7"/>
    <w:rsid w:val="6319381F"/>
    <w:rsid w:val="63C25DC5"/>
    <w:rsid w:val="63C62057"/>
    <w:rsid w:val="64571EF5"/>
    <w:rsid w:val="64D3167F"/>
    <w:rsid w:val="64FB113D"/>
    <w:rsid w:val="656152C6"/>
    <w:rsid w:val="6587477F"/>
    <w:rsid w:val="658C3A08"/>
    <w:rsid w:val="65A66009"/>
    <w:rsid w:val="65C031CA"/>
    <w:rsid w:val="65CE6852"/>
    <w:rsid w:val="66267C04"/>
    <w:rsid w:val="663F505A"/>
    <w:rsid w:val="66EE5541"/>
    <w:rsid w:val="67924660"/>
    <w:rsid w:val="68407834"/>
    <w:rsid w:val="6883293E"/>
    <w:rsid w:val="688412AD"/>
    <w:rsid w:val="689214A8"/>
    <w:rsid w:val="68E17481"/>
    <w:rsid w:val="68EB1B71"/>
    <w:rsid w:val="69451966"/>
    <w:rsid w:val="6A6C7940"/>
    <w:rsid w:val="6AAD2300"/>
    <w:rsid w:val="6B02699A"/>
    <w:rsid w:val="6B474EF5"/>
    <w:rsid w:val="6C0A5AC5"/>
    <w:rsid w:val="6C560CAE"/>
    <w:rsid w:val="6C576495"/>
    <w:rsid w:val="6D903FF5"/>
    <w:rsid w:val="6DA955B8"/>
    <w:rsid w:val="6DE346AB"/>
    <w:rsid w:val="6DE5391A"/>
    <w:rsid w:val="6EFD1324"/>
    <w:rsid w:val="6F5A53AC"/>
    <w:rsid w:val="6FAC003D"/>
    <w:rsid w:val="6FC265A9"/>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37956"/>
    <w:rsid w:val="772E1EBA"/>
    <w:rsid w:val="781926BC"/>
    <w:rsid w:val="796D60A4"/>
    <w:rsid w:val="79A031D5"/>
    <w:rsid w:val="7A1525F7"/>
    <w:rsid w:val="7B420052"/>
    <w:rsid w:val="7BD06A28"/>
    <w:rsid w:val="7C3A7C0B"/>
    <w:rsid w:val="7C5248E4"/>
    <w:rsid w:val="7C566698"/>
    <w:rsid w:val="7C5866A3"/>
    <w:rsid w:val="7D4074C6"/>
    <w:rsid w:val="7D7406BB"/>
    <w:rsid w:val="7DE94331"/>
    <w:rsid w:val="7E54690C"/>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paragraph" w:styleId="7">
    <w:name w:val="Title"/>
    <w:basedOn w:val="1"/>
    <w:next w:val="1"/>
    <w:qFormat/>
    <w:uiPriority w:val="10"/>
    <w:pPr>
      <w:spacing w:before="240" w:beforeAutospacing="0" w:after="60" w:afterAutospacing="0"/>
      <w:ind w:left="0" w:right="0"/>
      <w:jc w:val="center"/>
      <w:outlineLvl w:val="0"/>
    </w:pPr>
    <w:rPr>
      <w:rFonts w:hint="eastAsia" w:ascii="Cambria" w:hAnsi="Cambria" w:eastAsia="宋体" w:cs="宋体"/>
      <w:b/>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textRotate="1"/>
    <customShpInfo spid="_x0000_s1030"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7812</Words>
  <Characters>9207</Characters>
  <Lines>190</Lines>
  <Paragraphs>53</Paragraphs>
  <TotalTime>3</TotalTime>
  <ScaleCrop>false</ScaleCrop>
  <LinksUpToDate>false</LinksUpToDate>
  <CharactersWithSpaces>10224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2024-10-09T09:13:03Z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BB46EABDBB2749749395447164B066B3_12</vt:lpwstr>
  </property>
</Properties>
</file>