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重庆市荣昌区广顺街道社区文化服务中心</w:t>
      </w:r>
      <w:r>
        <w:rPr>
          <w:rFonts w:hint="default" w:ascii="Times New Roman" w:hAnsi="Times New Roman" w:eastAsia="方正小标宋_GBK" w:cs="Times New Roman"/>
          <w:color w:val="auto"/>
          <w:sz w:val="44"/>
          <w:szCs w:val="44"/>
        </w:rPr>
        <w:t>2023年度</w:t>
      </w:r>
      <w:r>
        <w:rPr>
          <w:rFonts w:hint="eastAsia" w:ascii="Times New Roman" w:hAnsi="Times New Roman" w:eastAsia="方正小标宋_GBK" w:cs="Times New Roman"/>
          <w:color w:val="auto"/>
          <w:sz w:val="44"/>
          <w:szCs w:val="44"/>
          <w:lang w:val="en-US" w:eastAsia="zh-CN"/>
        </w:rPr>
        <w:t>单位</w:t>
      </w:r>
      <w:r>
        <w:rPr>
          <w:rFonts w:hint="default" w:ascii="Times New Roman" w:hAnsi="Times New Roman" w:eastAsia="方正小标宋_GBK" w:cs="Times New Roman"/>
          <w:color w:val="auto"/>
          <w:sz w:val="44"/>
          <w:szCs w:val="44"/>
        </w:rPr>
        <w:t>决算公开</w:t>
      </w:r>
      <w:r>
        <w:rPr>
          <w:rFonts w:hint="eastAsia" w:ascii="Times New Roman" w:hAnsi="Times New Roman" w:eastAsia="方正小标宋_GBK" w:cs="Times New Roman"/>
          <w:color w:val="auto"/>
          <w:sz w:val="44"/>
          <w:szCs w:val="44"/>
          <w:lang w:val="en-US" w:eastAsia="zh-CN"/>
        </w:rPr>
        <w:t>报告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一、单位基本情况</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（一）职能职责</w:t>
      </w:r>
      <w:r>
        <w:rPr>
          <w:rFonts w:hint="eastAsia" w:ascii="Times New Roman" w:hAnsi="Times New Roman" w:eastAsia="方正楷体_GBK" w:cs="Times New Roman"/>
          <w:color w:val="auto"/>
          <w:kern w:val="0"/>
          <w:sz w:val="32"/>
          <w:szCs w:val="32"/>
          <w:lang w:eastAsia="zh-CN"/>
        </w:rPr>
        <w:t>。</w:t>
      </w:r>
      <w:bookmarkStart w:id="0" w:name="_GoBack"/>
      <w:bookmarkEnd w:id="0"/>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社区文化服务中心主要负责组织群众文化活动，繁荣群众文化事业。承担辖区内文化体育阵地建设，组织开展文化体育、文化交流、全民健身活动，组织辖区内文艺培训，负责广播电视、旅游等事务性服务工作，完成文化体育事业方面的其他服务工作。</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（二）机构设置</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二、单位决算情况说明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1.</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总体情况。</w:t>
      </w:r>
      <w:r>
        <w:rPr>
          <w:rFonts w:hint="default" w:ascii="Times New Roman" w:hAnsi="Times New Roman" w:eastAsia="方正仿宋_GBK" w:cs="Times New Roman"/>
          <w:b w:val="0"/>
          <w:bCs/>
          <w:color w:val="auto"/>
          <w:sz w:val="32"/>
          <w:szCs w:val="32"/>
          <w:shd w:val="clear" w:color="auto" w:fill="FFFFFF"/>
        </w:rPr>
        <w:t>2023年度收入总计88.65万元，支出总计</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万元。收支较上年决算数减少14.99万元，下降14.46%，主要原因是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本年度人员减少，工资福利等收支减少</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2"/>
          <w:rFonts w:hint="default" w:ascii="Times New Roman" w:hAnsi="Times New Roman" w:eastAsia="方正仿宋_GBK" w:cs="Times New Roman"/>
          <w:b w:val="0"/>
          <w:bCs/>
          <w:color w:val="auto"/>
          <w:sz w:val="32"/>
          <w:szCs w:val="32"/>
          <w:shd w:val="clear" w:color="auto" w:fill="FFFFFF"/>
        </w:rPr>
        <w:t>2.</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2023年度收入合计88.65万元，较上年决算数减少14.99万元，下降14.46%，主要原因是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人员减少，工资福利等减少</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2"/>
          <w:rFonts w:hint="default" w:ascii="Times New Roman" w:hAnsi="Times New Roman" w:eastAsia="方正仿宋_GBK" w:cs="Times New Roman"/>
          <w:b w:val="0"/>
          <w:bCs/>
          <w:color w:val="auto"/>
          <w:sz w:val="32"/>
          <w:szCs w:val="32"/>
          <w:shd w:val="clear" w:color="auto" w:fill="FFFFFF"/>
        </w:rPr>
        <w:t>3.</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万元，较上年决算数减少14.99万元，下降14.46%，主要原因是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人员减少，工资福利等基本支出减少</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万元，占100.00%；项目支出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4.</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（二）财政拨款收入支出决算总体情况说明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2023年度财政拨款收、支总计88.65万元。与2022年相比，财政拨款收、支总计各减少14.99万元，下降14.46%。主要原因是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人员减少，工资福利减少。</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（三）一般公共预算财政拨款收入支出决算情况说明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1.</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万元，较上年决算数减少14.99万元，下降14.46%。主要原因是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人员减少，工资福利等减少</w:t>
      </w:r>
      <w:r>
        <w:rPr>
          <w:rFonts w:hint="default" w:ascii="Times New Roman" w:hAnsi="Times New Roman" w:eastAsia="方正仿宋_GBK" w:cs="Times New Roman"/>
          <w:b w:val="0"/>
          <w:bCs/>
          <w:color w:val="auto"/>
          <w:sz w:val="32"/>
          <w:szCs w:val="32"/>
          <w:shd w:val="clear" w:color="auto" w:fill="FFFFFF"/>
        </w:rPr>
        <w:t>。较年初预算数减少15.75万元，下降15.09%。主要原因是</w:t>
      </w:r>
      <w:r>
        <w:rPr>
          <w:rFonts w:hint="default" w:ascii="Times New Roman" w:hAnsi="Times New Roman" w:eastAsia="方正仿宋_GBK" w:cs="Times New Roman"/>
          <w:b w:val="0"/>
          <w:bCs/>
          <w:color w:val="auto"/>
          <w:sz w:val="32"/>
          <w:szCs w:val="32"/>
          <w:shd w:val="clear" w:color="auto" w:fill="FFFFFF"/>
          <w:lang w:val="en-US" w:eastAsia="zh-CN"/>
        </w:rPr>
        <w:t>本年度向其他单位调出2人，人员减少，工资福利等基本支出减少</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2.</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88.65</w:t>
      </w:r>
      <w:r>
        <w:rPr>
          <w:rFonts w:hint="default" w:ascii="Times New Roman" w:hAnsi="Times New Roman" w:eastAsia="方正仿宋_GBK" w:cs="Times New Roman"/>
          <w:b w:val="0"/>
          <w:bCs/>
          <w:color w:val="auto"/>
          <w:sz w:val="32"/>
          <w:szCs w:val="32"/>
          <w:shd w:val="clear" w:color="auto" w:fill="FFFFFF"/>
        </w:rPr>
        <w:t>万元，较上年决算数减少14.99万元，下降14.46%。主要原因是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人员减少，工资福利等基本支出减少</w:t>
      </w:r>
      <w:r>
        <w:rPr>
          <w:rFonts w:hint="default" w:ascii="Times New Roman" w:hAnsi="Times New Roman" w:eastAsia="方正仿宋_GBK" w:cs="Times New Roman"/>
          <w:b w:val="0"/>
          <w:bCs/>
          <w:color w:val="auto"/>
          <w:sz w:val="32"/>
          <w:szCs w:val="32"/>
          <w:shd w:val="clear" w:color="auto" w:fill="FFFFFF"/>
        </w:rPr>
        <w:t>。较年初预算数减少15.75万元，下降15.09%。主要原因是</w:t>
      </w:r>
      <w:r>
        <w:rPr>
          <w:rFonts w:hint="default" w:ascii="Times New Roman" w:hAnsi="Times New Roman" w:eastAsia="方正仿宋_GBK" w:cs="Times New Roman"/>
          <w:b w:val="0"/>
          <w:bCs/>
          <w:color w:val="auto"/>
          <w:sz w:val="32"/>
          <w:szCs w:val="32"/>
          <w:shd w:val="clear" w:color="auto" w:fill="FFFFFF"/>
          <w:lang w:val="en-US" w:eastAsia="zh-CN"/>
        </w:rPr>
        <w:t>本年度向其他单位调出2人，人员减少，工资福利等基本支出减少</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3.</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12"/>
          <w:rFonts w:hint="default" w:ascii="Times New Roman" w:hAnsi="Times New Roman" w:eastAsia="方正仿宋_GBK" w:cs="Times New Roman"/>
          <w:b w:val="0"/>
          <w:bCs/>
          <w:color w:val="auto"/>
          <w:sz w:val="32"/>
          <w:szCs w:val="32"/>
          <w:shd w:val="clear" w:color="auto" w:fill="FFFFFF"/>
        </w:rPr>
        <w:t xml:space="preserve"> 4.</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b w:val="0"/>
          <w:bCs/>
          <w:color w:val="auto"/>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1</w:t>
      </w:r>
      <w:r>
        <w:rPr>
          <w:rFonts w:hint="default" w:ascii="Times New Roman" w:hAnsi="Times New Roman" w:eastAsia="方正仿宋_GBK" w:cs="Times New Roman"/>
          <w:b w:val="0"/>
          <w:bCs/>
          <w:color w:val="auto"/>
          <w:sz w:val="32"/>
          <w:szCs w:val="32"/>
          <w:shd w:val="clear" w:color="auto" w:fill="FFFFFF"/>
        </w:rPr>
        <w:t>）文化旅游体育与传媒支出</w:t>
      </w:r>
      <w:r>
        <w:rPr>
          <w:rFonts w:hint="default" w:ascii="Times New Roman" w:hAnsi="Times New Roman" w:eastAsia="方正仿宋_GBK" w:cs="Times New Roman"/>
          <w:b w:val="0"/>
          <w:bCs/>
          <w:color w:val="auto"/>
          <w:sz w:val="32"/>
          <w:szCs w:val="32"/>
        </w:rPr>
        <w:t>70.30</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79.31</w:t>
      </w:r>
      <w:r>
        <w:rPr>
          <w:rFonts w:hint="default" w:ascii="Times New Roman" w:hAnsi="Times New Roman" w:eastAsia="方正仿宋_GBK" w:cs="Times New Roman"/>
          <w:b w:val="0"/>
          <w:bCs/>
          <w:color w:val="auto"/>
          <w:sz w:val="32"/>
          <w:szCs w:val="32"/>
          <w:shd w:val="clear" w:color="auto" w:fill="FFFFFF"/>
        </w:rPr>
        <w:t>%，较年初预算数减少11.73万元，下降14.30%，主要原因是</w:t>
      </w:r>
      <w:r>
        <w:rPr>
          <w:rFonts w:hint="default" w:ascii="Times New Roman" w:hAnsi="Times New Roman" w:eastAsia="方正仿宋_GBK" w:cs="Times New Roman"/>
          <w:b w:val="0"/>
          <w:bCs/>
          <w:color w:val="auto"/>
          <w:sz w:val="32"/>
          <w:szCs w:val="32"/>
          <w:shd w:val="clear" w:color="auto" w:fill="FFFFFF"/>
          <w:lang w:val="en-US" w:eastAsia="zh-CN"/>
        </w:rPr>
        <w:t>人员减少，职工工资福利等基本支出减少</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10.66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12.03</w:t>
      </w:r>
      <w:r>
        <w:rPr>
          <w:rFonts w:hint="default" w:ascii="Times New Roman" w:hAnsi="Times New Roman" w:eastAsia="方正仿宋_GBK" w:cs="Times New Roman"/>
          <w:color w:val="auto"/>
          <w:sz w:val="32"/>
          <w:szCs w:val="32"/>
          <w:shd w:val="clear" w:color="auto" w:fill="FFFFFF"/>
        </w:rPr>
        <w:t>%，较年初预算数减少2.96万元，下降21.73%，主要原因是</w:t>
      </w:r>
      <w:r>
        <w:rPr>
          <w:rFonts w:hint="default" w:ascii="Times New Roman" w:hAnsi="Times New Roman" w:eastAsia="方正仿宋_GBK" w:cs="Times New Roman"/>
          <w:b w:val="0"/>
          <w:bCs/>
          <w:color w:val="auto"/>
          <w:sz w:val="32"/>
          <w:szCs w:val="32"/>
          <w:shd w:val="clear" w:color="auto" w:fill="FFFFFF"/>
          <w:lang w:val="en-US" w:eastAsia="zh-CN"/>
        </w:rPr>
        <w:t>人员减少，职工社会保障缴费减少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3.35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3.78</w:t>
      </w:r>
      <w:r>
        <w:rPr>
          <w:rFonts w:hint="default" w:ascii="Times New Roman" w:hAnsi="Times New Roman" w:eastAsia="方正仿宋_GBK" w:cs="Times New Roman"/>
          <w:color w:val="auto"/>
          <w:sz w:val="32"/>
          <w:szCs w:val="32"/>
          <w:shd w:val="clear" w:color="auto" w:fill="FFFFFF"/>
        </w:rPr>
        <w:t>%，较年初预算数减少1.06万元，下降24.04%，主要原因是</w:t>
      </w:r>
      <w:r>
        <w:rPr>
          <w:rFonts w:hint="default" w:ascii="Times New Roman" w:hAnsi="Times New Roman" w:eastAsia="方正仿宋_GBK" w:cs="Times New Roman"/>
          <w:b w:val="0"/>
          <w:bCs/>
          <w:color w:val="auto"/>
          <w:sz w:val="32"/>
          <w:szCs w:val="32"/>
          <w:shd w:val="clear" w:color="auto" w:fill="FFFFFF"/>
          <w:lang w:val="en-US" w:eastAsia="zh-CN"/>
        </w:rPr>
        <w:t>人员减少，职工医疗保障缴费减少</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住房保障支出4.33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4.89</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人员减少，职工住房公积金缴费减少</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（四）一般公共预算财政拨款基本支出决算情况说明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2023年度一般公共财政拨款基本支出</w:t>
      </w:r>
      <w:r>
        <w:rPr>
          <w:rFonts w:hint="default" w:ascii="Times New Roman" w:hAnsi="Times New Roman" w:eastAsia="方正仿宋_GBK" w:cs="Times New Roman"/>
          <w:color w:val="auto"/>
          <w:sz w:val="32"/>
          <w:szCs w:val="32"/>
        </w:rPr>
        <w:t>88.65</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73.48</w:t>
      </w:r>
      <w:r>
        <w:rPr>
          <w:rFonts w:hint="default" w:ascii="Times New Roman" w:hAnsi="Times New Roman" w:eastAsia="方正仿宋_GBK" w:cs="Times New Roman"/>
          <w:color w:val="auto"/>
          <w:sz w:val="32"/>
          <w:szCs w:val="32"/>
          <w:shd w:val="clear" w:color="auto" w:fill="FFFFFF"/>
        </w:rPr>
        <w:t>万元，较上年决算数减少9.55万元，下降11.50%，主要原因是</w:t>
      </w:r>
      <w:r>
        <w:rPr>
          <w:rFonts w:hint="default" w:ascii="Times New Roman" w:hAnsi="Times New Roman" w:eastAsia="方正仿宋_GBK" w:cs="Times New Roman"/>
          <w:b w:val="0"/>
          <w:bCs/>
          <w:color w:val="auto"/>
          <w:sz w:val="32"/>
          <w:szCs w:val="32"/>
          <w:shd w:val="clear" w:color="auto" w:fill="FFFFFF"/>
          <w:lang w:val="en-US" w:eastAsia="zh-CN"/>
        </w:rPr>
        <w:t>人员减少，工资福利等减少</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15.17</w:t>
      </w:r>
      <w:r>
        <w:rPr>
          <w:rFonts w:hint="default" w:ascii="Times New Roman" w:hAnsi="Times New Roman" w:eastAsia="方正仿宋_GBK" w:cs="Times New Roman"/>
          <w:color w:val="auto"/>
          <w:sz w:val="32"/>
          <w:szCs w:val="32"/>
          <w:shd w:val="clear" w:color="auto" w:fill="FFFFFF"/>
        </w:rPr>
        <w:t>万元，较上年决算数减少5.44万元，下降26.39%，主要原因是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w:t>
      </w:r>
      <w:r>
        <w:rPr>
          <w:rFonts w:hint="default" w:ascii="Times New Roman" w:hAnsi="Times New Roman" w:eastAsia="方正仿宋_GBK" w:cs="Times New Roman"/>
          <w:b w:val="0"/>
          <w:color w:val="auto"/>
          <w:kern w:val="0"/>
          <w:sz w:val="32"/>
          <w:szCs w:val="32"/>
          <w:shd w:val="clear" w:fill="FFFFFF"/>
          <w:lang w:val="en-US" w:eastAsia="zh-CN"/>
        </w:rPr>
        <w:t>差旅费</w:t>
      </w:r>
      <w:r>
        <w:rPr>
          <w:rFonts w:hint="default" w:ascii="Times New Roman" w:hAnsi="Times New Roman" w:eastAsia="方正仿宋_GBK" w:cs="Times New Roman"/>
          <w:b w:val="0"/>
          <w:color w:val="auto"/>
          <w:kern w:val="0"/>
          <w:sz w:val="32"/>
          <w:szCs w:val="32"/>
          <w:shd w:val="clear" w:fill="FFFFFF"/>
        </w:rPr>
        <w:t>和其他商品和服务支出</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val="0"/>
          <w:color w:val="auto"/>
          <w:sz w:val="32"/>
          <w:szCs w:val="32"/>
          <w:shd w:val="clear" w:color="auto" w:fill="FFFFFF"/>
          <w:lang w:val="en-US" w:eastAsia="zh-CN" w:bidi="ar-SA"/>
        </w:rPr>
        <w:t>（五）政府性你基金预算收支决算情况说明</w:t>
      </w:r>
      <w:r>
        <w:rPr>
          <w:rStyle w:val="12"/>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本单位2023年度无政府性基金预算财政拨款收支。</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val="0"/>
          <w:color w:val="auto"/>
          <w:sz w:val="32"/>
          <w:szCs w:val="32"/>
          <w:shd w:val="clear" w:color="auto" w:fill="FFFFFF"/>
          <w:lang w:val="en-US" w:eastAsia="zh-CN" w:bidi="ar-SA"/>
        </w:rPr>
        <w:t>（六）国有资本经营预算财政拨款支出决算情况说明</w:t>
      </w:r>
      <w:r>
        <w:rPr>
          <w:rStyle w:val="12"/>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三、“三公”经费情况说明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（一）“三公”经费支出总体情况说明</w:t>
      </w:r>
      <w:r>
        <w:rPr>
          <w:rFonts w:hint="eastAsia" w:ascii="Times New Roman" w:hAnsi="Times New Roman" w:eastAsia="方正楷体_GBK" w:cs="Times New Roman"/>
          <w:color w:val="auto"/>
          <w:kern w:val="0"/>
          <w:sz w:val="32"/>
          <w:szCs w:val="32"/>
          <w:lang w:val="en-US"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本单位2023年度无“三公”经费预算</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（二）“三公”经费分项支出情况</w:t>
      </w:r>
      <w:r>
        <w:rPr>
          <w:rFonts w:hint="eastAsia" w:ascii="Times New Roman" w:hAnsi="Times New Roman" w:eastAsia="方正楷体_GBK" w:cs="Times New Roman"/>
          <w:color w:val="auto"/>
          <w:kern w:val="0"/>
          <w:sz w:val="32"/>
          <w:szCs w:val="32"/>
          <w:lang w:val="en-US"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公务接待费。</w:t>
      </w:r>
    </w:p>
    <w:p>
      <w:pPr>
        <w:keepNext w:val="0"/>
        <w:keepLines w:val="0"/>
        <w:pageBreakBefore w:val="0"/>
        <w:widowControl/>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（三）“三公”经费实物量情况</w:t>
      </w:r>
      <w:r>
        <w:rPr>
          <w:rFonts w:hint="eastAsia" w:ascii="Times New Roman" w:hAnsi="Times New Roman" w:eastAsia="方正楷体_GBK" w:cs="Times New Roman"/>
          <w:color w:val="auto"/>
          <w:kern w:val="0"/>
          <w:sz w:val="32"/>
          <w:szCs w:val="32"/>
          <w:lang w:val="en-US"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（一）财政拨款会议费和培训费情况说明</w:t>
      </w:r>
      <w:r>
        <w:rPr>
          <w:rFonts w:hint="eastAsia" w:ascii="Times New Roman" w:hAnsi="Times New Roman" w:eastAsia="方正楷体_GBK" w:cs="Times New Roman"/>
          <w:color w:val="auto"/>
          <w:kern w:val="0"/>
          <w:sz w:val="32"/>
          <w:szCs w:val="32"/>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本单位2023年度未开展相关会议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0.54</w:t>
      </w:r>
      <w:r>
        <w:rPr>
          <w:rFonts w:hint="default" w:ascii="Times New Roman" w:hAnsi="Times New Roman" w:eastAsia="方正仿宋_GBK" w:cs="Times New Roman"/>
          <w:color w:val="auto"/>
          <w:sz w:val="32"/>
          <w:szCs w:val="32"/>
          <w:shd w:val="clear" w:color="auto" w:fill="FFFFFF"/>
        </w:rPr>
        <w:t>万元，较上年决算数增加0.54万元，增长100.00%，主要原因是</w:t>
      </w:r>
      <w:r>
        <w:rPr>
          <w:rFonts w:hint="default" w:ascii="Times New Roman" w:hAnsi="Times New Roman" w:eastAsia="方正仿宋_GBK" w:cs="Times New Roman"/>
          <w:b w:val="0"/>
          <w:bCs/>
          <w:color w:val="auto"/>
          <w:sz w:val="32"/>
          <w:szCs w:val="32"/>
          <w:shd w:val="clear" w:color="auto" w:fill="FFFFFF"/>
          <w:lang w:val="en-US" w:eastAsia="zh-CN"/>
        </w:rPr>
        <w:t>本单位2023年度</w:t>
      </w:r>
      <w:r>
        <w:rPr>
          <w:rFonts w:hint="default" w:ascii="Times New Roman" w:hAnsi="Times New Roman" w:eastAsia="方正仿宋_GBK" w:cs="Times New Roman"/>
          <w:b w:val="0"/>
          <w:bCs/>
          <w:color w:val="auto"/>
          <w:kern w:val="0"/>
          <w:sz w:val="32"/>
          <w:szCs w:val="32"/>
          <w:shd w:val="clear" w:fill="FFFFFF"/>
        </w:rPr>
        <w:t>新增职工教育经费</w:t>
      </w:r>
      <w:r>
        <w:rPr>
          <w:rFonts w:hint="default" w:ascii="Times New Roman" w:hAnsi="Times New Roman" w:eastAsia="方正仿宋_GBK" w:cs="Times New Roman"/>
          <w:b w:val="0"/>
          <w:bCs/>
          <w:color w:val="auto"/>
          <w:kern w:val="0"/>
          <w:sz w:val="32"/>
          <w:szCs w:val="32"/>
          <w:shd w:val="clear"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（二）机关运行经费情况说明</w:t>
      </w:r>
      <w:r>
        <w:rPr>
          <w:rFonts w:hint="eastAsia" w:ascii="Times New Roman" w:hAnsi="Times New Roman" w:eastAsia="方正楷体_GBK" w:cs="Times New Roman"/>
          <w:color w:val="auto"/>
          <w:kern w:val="0"/>
          <w:sz w:val="32"/>
          <w:szCs w:val="32"/>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（三）国有资产占用情况说明</w:t>
      </w:r>
      <w:r>
        <w:rPr>
          <w:rFonts w:hint="eastAsia" w:ascii="Times New Roman" w:hAnsi="Times New Roman" w:eastAsia="方正楷体_GBK" w:cs="Times New Roman"/>
          <w:color w:val="auto"/>
          <w:kern w:val="0"/>
          <w:sz w:val="32"/>
          <w:szCs w:val="32"/>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（四）政府采购支出情况说明</w:t>
      </w:r>
      <w:r>
        <w:rPr>
          <w:rFonts w:hint="eastAsia" w:ascii="Times New Roman" w:hAnsi="Times New Roman" w:eastAsia="方正楷体_GBK" w:cs="Times New Roman"/>
          <w:color w:val="auto"/>
          <w:kern w:val="0"/>
          <w:sz w:val="32"/>
          <w:szCs w:val="32"/>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lang w:val="en-US" w:eastAsia="zh-CN"/>
        </w:rPr>
        <w:t>五、</w:t>
      </w:r>
      <w:r>
        <w:rPr>
          <w:rStyle w:val="12"/>
          <w:rFonts w:hint="default" w:ascii="Times New Roman" w:hAnsi="Times New Roman" w:eastAsia="方正黑体_GBK" w:cs="Times New Roman"/>
          <w:b w:val="0"/>
          <w:bCs/>
          <w:color w:val="auto"/>
          <w:sz w:val="32"/>
          <w:szCs w:val="32"/>
          <w:shd w:val="clear" w:color="auto" w:fill="FFFFFF"/>
        </w:rPr>
        <w:t>预算绩效管理情况说明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（一）单位自评情况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本单位2023年度无项目支出，未开展绩效自评。</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eastAsia"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（二）单位绩效评价情况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（三）财政绩效评价情况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  六、专业名词解释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（四）其他收入：</w:t>
      </w:r>
      <w:r>
        <w:rPr>
          <w:rFonts w:hint="default" w:ascii="Times New Roman" w:hAnsi="Times New Roman" w:eastAsia="方正仿宋_GBK" w:cs="Times New Roman"/>
          <w:color w:val="auto"/>
          <w:sz w:val="32"/>
          <w:szCs w:val="32"/>
          <w:shd w:val="clear" w:color="auto" w:fill="FFFFFF"/>
          <w:lang w:val="en-US" w:eastAsia="zh-CN"/>
        </w:rPr>
        <w:t>指单位取得的除“财政拨款收入”、“事</w:t>
      </w:r>
      <w:r>
        <w:rPr>
          <w:rFonts w:hint="default" w:ascii="Times New Roman" w:hAnsi="Times New Roman" w:eastAsia="方正仿宋_GBK" w:cs="Times New Roman"/>
          <w:color w:val="auto"/>
          <w:sz w:val="32"/>
          <w:szCs w:val="32"/>
          <w:shd w:val="clear" w:color="auto" w:fill="FFFFFF"/>
        </w:rPr>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仿宋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（十六）对个人和家庭的补助（支出经济分类科目类级）：</w:t>
      </w:r>
      <w:r>
        <w:rPr>
          <w:rStyle w:val="12"/>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 七、决算公开联系方式及信息反馈渠道</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许发琼   023-46357757</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960" w:leftChars="0" w:hanging="960" w:hangingChars="3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附件：重庆市荣昌区人民政府广顺街道社区文化服务中心2023年度</w:t>
      </w:r>
      <w:r>
        <w:rPr>
          <w:rFonts w:hint="eastAsia" w:ascii="Times New Roman" w:hAnsi="Times New Roman" w:eastAsia="方正仿宋_GBK" w:cs="Times New Roman"/>
          <w:color w:val="auto"/>
          <w:sz w:val="32"/>
          <w:szCs w:val="32"/>
          <w:shd w:val="clear" w:color="auto" w:fill="FFFFFF"/>
          <w:lang w:val="en-US" w:eastAsia="zh-CN" w:bidi="ar-SA"/>
        </w:rPr>
        <w:t>单位</w:t>
      </w:r>
      <w:r>
        <w:rPr>
          <w:rFonts w:hint="default" w:ascii="Times New Roman" w:hAnsi="Times New Roman" w:eastAsia="方正仿宋_GBK" w:cs="Times New Roman"/>
          <w:color w:val="auto"/>
          <w:sz w:val="32"/>
          <w:szCs w:val="32"/>
          <w:shd w:val="clear" w:color="auto" w:fill="FFFFFF"/>
          <w:lang w:val="en-US" w:eastAsia="zh-CN" w:bidi="ar-SA"/>
        </w:rPr>
        <w:t>决算公开报表（公开01—09表）</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0" w:firstLineChars="0"/>
        <w:textAlignment w:val="auto"/>
        <w:rPr>
          <w:rStyle w:val="12"/>
          <w:rFonts w:hint="default" w:ascii="Times New Roman" w:hAnsi="Times New Roman" w:eastAsia="方正仿宋_GBK" w:cs="Times New Roman"/>
          <w:color w:val="auto"/>
          <w:sz w:val="32"/>
          <w:szCs w:val="32"/>
          <w:shd w:val="clear" w:color="auto" w:fill="FFFF00"/>
        </w:rPr>
        <w:sectPr>
          <w:footerReference r:id="rId3" w:type="default"/>
          <w:pgSz w:w="11915" w:h="16840"/>
          <w:pgMar w:top="2098" w:right="1474" w:bottom="1984" w:left="1587" w:header="851" w:footer="1474"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8"/>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重庆市荣昌区人民政府广顺街道办事处</w:t>
      </w:r>
      <w:r>
        <w:rPr>
          <w:rFonts w:hint="eastAsia" w:ascii="方正小标宋_GBK" w:hAnsi="方正小标宋_GBK" w:eastAsia="方正小标宋_GBK" w:cs="方正小标宋_GBK"/>
          <w:color w:val="auto"/>
          <w:sz w:val="44"/>
          <w:szCs w:val="44"/>
          <w:lang w:val="en-US" w:eastAsia="zh-CN"/>
        </w:rPr>
        <w:t>社区文化服务中心</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p>
    <w:tbl>
      <w:tblPr>
        <w:tblStyle w:val="9"/>
        <w:tblW w:w="8876" w:type="dxa"/>
        <w:tblInd w:w="0" w:type="dxa"/>
        <w:shd w:val="clear" w:color="auto" w:fill="auto"/>
        <w:tblLayout w:type="fixed"/>
        <w:tblCellMar>
          <w:top w:w="0" w:type="dxa"/>
          <w:left w:w="0" w:type="dxa"/>
          <w:bottom w:w="0" w:type="dxa"/>
          <w:right w:w="0" w:type="dxa"/>
        </w:tblCellMar>
      </w:tblPr>
      <w:tblGrid>
        <w:gridCol w:w="3215"/>
        <w:gridCol w:w="1241"/>
        <w:gridCol w:w="2850"/>
        <w:gridCol w:w="1570"/>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30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重庆市荣昌区广顺街道社区文化服务中心</w:t>
            </w:r>
          </w:p>
        </w:tc>
        <w:tc>
          <w:tcPr>
            <w:tcW w:w="157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44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88.65</w:t>
            </w: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1241"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88.65</w:t>
            </w: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88.65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12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5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32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88.65</w:t>
            </w:r>
            <w:r>
              <w:rPr>
                <w:rFonts w:hint="default" w:ascii="Times New Roman" w:hAnsi="Times New Roman" w:cs="Times New Roman"/>
                <w:color w:val="auto"/>
                <w:sz w:val="20"/>
                <w:u w:color="auto"/>
              </w:rPr>
              <w:t xml:space="preserve"> </w:t>
            </w:r>
          </w:p>
        </w:tc>
        <w:tc>
          <w:tcPr>
            <w:tcW w:w="2850"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5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88.65</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bl>
      <w:tblPr>
        <w:tblStyle w:val="9"/>
        <w:tblW w:w="8876" w:type="dxa"/>
        <w:tblInd w:w="0" w:type="dxa"/>
        <w:shd w:val="clear" w:color="auto" w:fill="auto"/>
        <w:tblLayout w:type="fixed"/>
        <w:tblCellMar>
          <w:top w:w="0" w:type="dxa"/>
          <w:left w:w="0" w:type="dxa"/>
          <w:bottom w:w="0" w:type="dxa"/>
          <w:right w:w="0" w:type="dxa"/>
        </w:tblCellMar>
      </w:tblPr>
      <w:tblGrid>
        <w:gridCol w:w="982"/>
        <w:gridCol w:w="2560"/>
        <w:gridCol w:w="832"/>
        <w:gridCol w:w="859"/>
        <w:gridCol w:w="669"/>
        <w:gridCol w:w="530"/>
        <w:gridCol w:w="697"/>
        <w:gridCol w:w="613"/>
        <w:gridCol w:w="669"/>
        <w:gridCol w:w="465"/>
      </w:tblGrid>
      <w:tr>
        <w:tblPrEx>
          <w:shd w:val="clear" w:color="auto" w:fill="auto"/>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432"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重庆市荣昌区广顺街道社区文化服务中心</w:t>
            </w:r>
          </w:p>
        </w:tc>
        <w:tc>
          <w:tcPr>
            <w:tcW w:w="6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74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432"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6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74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354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6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6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6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5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6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61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3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8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8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30"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文化旅游体育与传媒支出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20701</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文化和旅游</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2070109</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群众文化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41"/>
        <w:gridCol w:w="2979"/>
        <w:gridCol w:w="859"/>
        <w:gridCol w:w="927"/>
        <w:gridCol w:w="764"/>
        <w:gridCol w:w="804"/>
        <w:gridCol w:w="628"/>
        <w:gridCol w:w="874"/>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570"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重庆市荣昌区广顺街道社区文化服务中心 </w:t>
            </w:r>
          </w:p>
        </w:tc>
        <w:tc>
          <w:tcPr>
            <w:tcW w:w="80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0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570"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80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0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97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97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97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97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8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9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文化旅游体育与传媒支出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20701</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文化和旅游</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2070109</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群众文化</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p>
    <w:tbl>
      <w:tblPr>
        <w:tblStyle w:val="9"/>
        <w:tblW w:w="8876" w:type="dxa"/>
        <w:tblInd w:w="0" w:type="dxa"/>
        <w:shd w:val="clear" w:color="auto" w:fill="auto"/>
        <w:tblLayout w:type="fixed"/>
        <w:tblCellMar>
          <w:top w:w="0" w:type="dxa"/>
          <w:left w:w="0" w:type="dxa"/>
          <w:bottom w:w="0" w:type="dxa"/>
          <w:right w:w="0" w:type="dxa"/>
        </w:tblCellMar>
      </w:tblPr>
      <w:tblGrid>
        <w:gridCol w:w="2465"/>
        <w:gridCol w:w="696"/>
        <w:gridCol w:w="2113"/>
        <w:gridCol w:w="765"/>
        <w:gridCol w:w="941"/>
        <w:gridCol w:w="1076"/>
        <w:gridCol w:w="820"/>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039"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9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6039"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9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5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21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36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21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70.30</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70.30</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10.66</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10.66</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4.33</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4.33</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88.65</w:t>
            </w:r>
            <w:r>
              <w:rPr>
                <w:rFonts w:hint="default" w:ascii="Times New Roman" w:hAnsi="Times New Roman" w:cs="Times New Roman"/>
                <w:color w:val="auto"/>
                <w:sz w:val="18"/>
                <w:u w:color="auto"/>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72"/>
        <w:gridCol w:w="2457"/>
        <w:gridCol w:w="1507"/>
        <w:gridCol w:w="1915"/>
        <w:gridCol w:w="1"/>
        <w:gridCol w:w="1924"/>
      </w:tblGrid>
      <w:tr>
        <w:tblPrEx>
          <w:shd w:val="clear" w:color="auto" w:fill="auto"/>
          <w:tblLayout w:type="fixed"/>
          <w:tblCellMar>
            <w:top w:w="0" w:type="dxa"/>
            <w:left w:w="0" w:type="dxa"/>
            <w:bottom w:w="0" w:type="dxa"/>
            <w:right w:w="0" w:type="dxa"/>
          </w:tblCellMar>
        </w:tblPrEx>
        <w:trPr>
          <w:trHeight w:val="759" w:hRule="atLeast"/>
        </w:trPr>
        <w:tc>
          <w:tcPr>
            <w:tcW w:w="887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6952"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6952"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34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4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9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4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4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352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88.65</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文化旅游体育与传媒支出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20701</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文化和旅游</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70.30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2070109</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群众文化</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70.30</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10.66</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4.07</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3.54</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3.05</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2.16</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4.33</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4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4.33</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788"/>
        <w:gridCol w:w="1923"/>
        <w:gridCol w:w="627"/>
        <w:gridCol w:w="818"/>
        <w:gridCol w:w="1227"/>
        <w:gridCol w:w="546"/>
        <w:gridCol w:w="736"/>
        <w:gridCol w:w="1568"/>
        <w:gridCol w:w="643"/>
      </w:tblGrid>
      <w:tr>
        <w:tblPrEx>
          <w:shd w:val="clear" w:color="auto" w:fill="auto"/>
          <w:tblLayout w:type="fixed"/>
          <w:tblCellMar>
            <w:top w:w="0" w:type="dxa"/>
            <w:left w:w="0" w:type="dxa"/>
            <w:bottom w:w="0" w:type="dxa"/>
            <w:right w:w="0" w:type="dxa"/>
          </w:tblCellMar>
        </w:tblPrEx>
        <w:trPr>
          <w:trHeight w:val="553"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929"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7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929"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7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33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553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7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2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5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7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2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5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5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70.62</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15.17</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13.79</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0.05</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0.55</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4.07</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3.54</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0.58</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9.84</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4.33</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0.80</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0.53</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0.54</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0.06</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4.28</w:t>
            </w: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71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6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73.48</w:t>
            </w:r>
            <w:r>
              <w:rPr>
                <w:rFonts w:hint="default" w:ascii="Times New Roman" w:hAnsi="Times New Roman" w:cs="Times New Roman"/>
                <w:color w:val="auto"/>
                <w:sz w:val="18"/>
                <w:u w:color="auto"/>
              </w:rPr>
              <w:t xml:space="preserve"> </w:t>
            </w:r>
          </w:p>
        </w:tc>
        <w:tc>
          <w:tcPr>
            <w:tcW w:w="489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15.17</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770"/>
        <w:gridCol w:w="1636"/>
        <w:gridCol w:w="1337"/>
        <w:gridCol w:w="116"/>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216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16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47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7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6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45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7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45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7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45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7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45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4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2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b/>
                <w:color w:val="auto"/>
                <w:sz w:val="20"/>
                <w:szCs w:val="20"/>
              </w:rPr>
            </w:pPr>
          </w:p>
        </w:tc>
        <w:tc>
          <w:tcPr>
            <w:tcW w:w="2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3133"/>
        <w:gridCol w:w="1023"/>
        <w:gridCol w:w="800"/>
        <w:gridCol w:w="3059"/>
        <w:gridCol w:w="861"/>
      </w:tblGrid>
      <w:tr>
        <w:tblPrEx>
          <w:shd w:val="clear" w:color="auto" w:fill="auto"/>
          <w:tblLayout w:type="fixed"/>
          <w:tblCellMar>
            <w:top w:w="0" w:type="dxa"/>
            <w:left w:w="0" w:type="dxa"/>
            <w:bottom w:w="0" w:type="dxa"/>
            <w:right w:w="0" w:type="dxa"/>
          </w:tblCellMar>
        </w:tblPrEx>
        <w:trPr>
          <w:trHeight w:val="484"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31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0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color w:val="auto"/>
                <w:sz w:val="20"/>
                <w:szCs w:val="20"/>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05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8015" w:type="dxa"/>
            <w:gridSpan w:val="4"/>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重庆市荣昌区广顺街道社区文化服务中心</w:t>
            </w:r>
          </w:p>
        </w:tc>
        <w:tc>
          <w:tcPr>
            <w:tcW w:w="861"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69"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3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10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0.54</w:t>
            </w:r>
            <w:r>
              <w:rPr>
                <w:rFonts w:hint="default" w:ascii="Times New Roman" w:hAnsi="Times New Roman" w:cs="Times New Roman"/>
                <w:color w:val="auto"/>
                <w:sz w:val="20"/>
                <w:u w:color="auto"/>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43390"/>
    <w:rsid w:val="0A3317EA"/>
    <w:rsid w:val="0A5C4B69"/>
    <w:rsid w:val="0A86124A"/>
    <w:rsid w:val="0AB54CC0"/>
    <w:rsid w:val="0B227D96"/>
    <w:rsid w:val="0B9335CE"/>
    <w:rsid w:val="0BF2311A"/>
    <w:rsid w:val="0C7927C4"/>
    <w:rsid w:val="0C9B098C"/>
    <w:rsid w:val="0D673E11"/>
    <w:rsid w:val="0D6A12FE"/>
    <w:rsid w:val="0DDA54E4"/>
    <w:rsid w:val="0E3A5F83"/>
    <w:rsid w:val="0E7E532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51DB1"/>
    <w:rsid w:val="21556F04"/>
    <w:rsid w:val="22403BD3"/>
    <w:rsid w:val="22CB3689"/>
    <w:rsid w:val="24B92327"/>
    <w:rsid w:val="24C14514"/>
    <w:rsid w:val="2533755C"/>
    <w:rsid w:val="25791755"/>
    <w:rsid w:val="26396DF4"/>
    <w:rsid w:val="27167136"/>
    <w:rsid w:val="271B442C"/>
    <w:rsid w:val="27B23302"/>
    <w:rsid w:val="27CB28F3"/>
    <w:rsid w:val="29310A5F"/>
    <w:rsid w:val="29C37A35"/>
    <w:rsid w:val="2A076083"/>
    <w:rsid w:val="2A73162E"/>
    <w:rsid w:val="2B167953"/>
    <w:rsid w:val="2B200583"/>
    <w:rsid w:val="2B8209DE"/>
    <w:rsid w:val="2C636760"/>
    <w:rsid w:val="2C6762A3"/>
    <w:rsid w:val="2EF24A3A"/>
    <w:rsid w:val="2FCA4B37"/>
    <w:rsid w:val="2FE029D7"/>
    <w:rsid w:val="2FF06E00"/>
    <w:rsid w:val="30586FEC"/>
    <w:rsid w:val="315F0B22"/>
    <w:rsid w:val="31D84415"/>
    <w:rsid w:val="32285F6F"/>
    <w:rsid w:val="326659FE"/>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9B607D"/>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443E5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14337A"/>
    <w:rsid w:val="5842572D"/>
    <w:rsid w:val="5A3B59D6"/>
    <w:rsid w:val="5AD134D8"/>
    <w:rsid w:val="5C263CE4"/>
    <w:rsid w:val="5C5D2777"/>
    <w:rsid w:val="5CF66BF3"/>
    <w:rsid w:val="5D290C69"/>
    <w:rsid w:val="5F2D4A41"/>
    <w:rsid w:val="60C74F6C"/>
    <w:rsid w:val="61025A59"/>
    <w:rsid w:val="613D5BBC"/>
    <w:rsid w:val="61536C39"/>
    <w:rsid w:val="6270115C"/>
    <w:rsid w:val="62944DD7"/>
    <w:rsid w:val="6319381F"/>
    <w:rsid w:val="63C25DC5"/>
    <w:rsid w:val="63C62057"/>
    <w:rsid w:val="64571EF5"/>
    <w:rsid w:val="64FB113D"/>
    <w:rsid w:val="656152C6"/>
    <w:rsid w:val="6587477F"/>
    <w:rsid w:val="658C3A08"/>
    <w:rsid w:val="65C031CA"/>
    <w:rsid w:val="65C977CF"/>
    <w:rsid w:val="65CE6852"/>
    <w:rsid w:val="66267C04"/>
    <w:rsid w:val="663F505A"/>
    <w:rsid w:val="664369E3"/>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keepNext w:val="0"/>
      <w:keepLines w:val="0"/>
      <w:widowControl/>
      <w:suppressLineNumbers w:val="0"/>
      <w:adjustRightInd w:val="0"/>
      <w:snapToGrid w:val="0"/>
      <w:spacing w:before="0" w:beforeAutospacing="0" w:after="0" w:afterAutospacing="0" w:line="360" w:lineRule="auto"/>
      <w:ind w:left="0" w:right="0"/>
      <w:jc w:val="left"/>
    </w:pPr>
    <w:rPr>
      <w:rFonts w:hint="default" w:ascii="仿宋_GB2312" w:hAnsi="宋体" w:eastAsia="仿宋_GB2312" w:cs="宋体"/>
      <w:kern w:val="0"/>
      <w:sz w:val="28"/>
      <w:szCs w:val="28"/>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7</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2024-10-09T08:55:13Z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