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重庆市荣昌区古昌镇人民政府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（1）制定和组织实施经济、科技和社会发展计划，组织指导各行生产，协调本镇与外地区经济交流与合作，抓好招商引资，不断培育市场体系，组织经济运行，促进经济发展。</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（2）制定并组织村镇建设规划，部署重点工程建设、地方道路及公共设施，水利设施的管理，负责土地、林木、水等自然资源和生态资源的保护，做好护林防火工作。</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（3）负责本区域类民政、文化教育、卫生体育等社会公益事业的综合性工作，维护一切经济单位和个人的正当经济权益，调解和处理民事纠纷，打击刑事犯罪，维护社会稳定。</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（4）按计划组织本级财政收入和地方税的征收，完成国家财政计划，不断培植税源，管好财政资金，增强财政实力。</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default" w:ascii="方正仿宋_GBK" w:hAnsi="方正仿宋_GBK" w:eastAsia="方正仿宋_GBK" w:cs="方正仿宋_GBK"/>
          <w:sz w:val="32"/>
          <w:szCs w:val="32"/>
        </w:rPr>
      </w:pPr>
      <w:r>
        <w:rPr>
          <w:rFonts w:hint="eastAsia" w:ascii="仿宋_GB2312" w:hAnsi="仿宋_GB2312" w:eastAsia="仿宋_GB2312" w:cs="仿宋_GB2312"/>
          <w:color w:val="auto"/>
          <w:kern w:val="0"/>
          <w:sz w:val="32"/>
          <w:szCs w:val="24"/>
          <w:lang w:val="en-US" w:eastAsia="zh-CN" w:bidi="ar"/>
        </w:rPr>
        <w:t>（5）完成上级部门交办的其他事项。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本单位2023</w:t>
      </w:r>
      <w:r>
        <w:rPr>
          <w:rFonts w:hint="default" w:ascii="仿宋_GB2312" w:hAnsi="仿宋_GB2312" w:eastAsia="仿宋_GB2312" w:cs="仿宋_GB2312"/>
          <w:sz w:val="32"/>
          <w:lang w:val="en-US" w:eastAsia="zh-CN"/>
        </w:rPr>
        <w:t>年末下设机构分别为：党政办公室、党群工作办公室、经济发展办公室（挂统计办公室、农村经营管理办公室牌子）、民政和社会事务办公室（挂卫生健康办公室牌子）、平安建设办公室、规划建设管理环保办公室、财政办公室、应急管理办公室。人大办公室单独设置，组建综合行政执法办公室。</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党政办公室：主要负责纪检、宣传、精神文明、统战、法制、武装、编制、人事、民宗侨台以及综合协调、文秘、目标管理等职责，负责承办政协工作方面的具体事务。</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党群工作办公室：主要负责基层党建、群团等工作。</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经济发展办公室（挂统计办公室、农村经营管理办公室牌子）：主要负责经济发展规划、农村经营管理、经济社会统计、扶贫开发、产业发展及产业扶贫等职责。</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民政和社会事务办公室（挂卫生健康办公室牌子）：主要负责民政、教育、卫生、老龄</w:t>
      </w:r>
      <w:r>
        <w:rPr>
          <w:rFonts w:hint="eastAsia" w:ascii="仿宋_GB2312" w:hAnsi="仿宋_GB2312" w:eastAsia="仿宋_GB2312" w:cs="仿宋_GB2312"/>
          <w:sz w:val="32"/>
          <w:lang w:val="en-US" w:eastAsia="zh-CN"/>
        </w:rPr>
        <w:t xml:space="preserve">                                     </w:t>
      </w:r>
      <w:r>
        <w:rPr>
          <w:rFonts w:hint="default" w:ascii="仿宋_GB2312" w:hAnsi="仿宋_GB2312" w:eastAsia="仿宋_GB2312" w:cs="仿宋_GB2312"/>
          <w:sz w:val="32"/>
          <w:lang w:val="en-US" w:eastAsia="zh-CN"/>
        </w:rPr>
        <w:t>事业发展、文化、体育、社会救助、残疾人事业、劳动就业、社会保障、物业管理等职责，承担其他民政和社会事务管理职责。</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平安建设办公室：主要负责信访、人民调解、社会治安综合治理、维护社会稳定、防范和处理等职责。</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规划建设管理环保办公室：主要负责村镇规划、村镇建设、市政公用、市容环卫、环境保护、农村公路建设养护管理等职责。</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财政办公室：主要负责财政收支、预决算、总会计、惠农资金兑付、财政资金监督检查、绩效评价、村级财务管理等职责。</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应急管理办公室：主要负责安全生产综合监管、应急管理等工作，协助开展煤矿、非煤矿山、危险化学品、烟花爆竹等安全生产日常监管工作。</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人大办公室：主要负责人大工作方面的具体事务。</w:t>
      </w:r>
    </w:p>
    <w:p>
      <w:pPr>
        <w:keepNext w:val="0"/>
        <w:keepLines w:val="0"/>
        <w:pageBreakBefore w:val="0"/>
        <w:numPr>
          <w:ilvl w:val="0"/>
          <w:numId w:val="1"/>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综合行政执法办公室：集中行使依法授权或委托的农林水利、规划建设、环境保护、卫生计生、文化旅游、民政管理等领域的行政执法权；协调、配合区级有关部门及派驻机构开展其他领域的联合执法。</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rPr>
          <w:rFonts w:hint="eastAsia" w:ascii="楷体_GB2312" w:hAnsi="楷体_GB2312" w:eastAsia="楷体_GB2312" w:cs="楷体_GB2312"/>
          <w:color w:val="auto"/>
          <w:kern w:val="2"/>
          <w:sz w:val="32"/>
          <w:szCs w:val="22"/>
          <w:lang w:eastAsia="zh-CN" w:bidi="ar-SA"/>
        </w:rPr>
      </w:pPr>
      <w:r>
        <w:rPr>
          <w:rFonts w:hint="eastAsia" w:ascii="楷体_GB2312" w:hAnsi="楷体_GB2312" w:eastAsia="楷体_GB2312" w:cs="楷体_GB2312"/>
          <w:color w:val="auto"/>
          <w:kern w:val="2"/>
          <w:sz w:val="32"/>
          <w:szCs w:val="22"/>
          <w:lang w:eastAsia="zh-CN" w:bidi="ar-SA"/>
        </w:rPr>
        <w:t>（三）单位构成</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从预算单位构成看，纳入本部门</w:t>
      </w:r>
      <w:r>
        <w:rPr>
          <w:rFonts w:hint="eastAsia" w:ascii="仿宋_GB2312" w:hAnsi="仿宋_GB2312" w:eastAsia="仿宋_GB2312" w:cs="仿宋_GB2312"/>
          <w:sz w:val="32"/>
          <w:lang w:val="en-US" w:eastAsia="zh-CN"/>
        </w:rPr>
        <w:t>2023</w:t>
      </w:r>
      <w:r>
        <w:rPr>
          <w:rFonts w:hint="default" w:ascii="仿宋_GB2312" w:hAnsi="仿宋_GB2312" w:eastAsia="仿宋_GB2312" w:cs="仿宋_GB2312"/>
          <w:sz w:val="32"/>
          <w:lang w:val="en-US" w:eastAsia="zh-CN"/>
        </w:rPr>
        <w:t>年度</w:t>
      </w:r>
      <w:r>
        <w:rPr>
          <w:rFonts w:hint="eastAsia" w:ascii="仿宋_GB2312" w:hAnsi="仿宋_GB2312" w:eastAsia="仿宋_GB2312" w:cs="仿宋_GB2312"/>
          <w:sz w:val="32"/>
          <w:lang w:val="en-US" w:eastAsia="zh-CN"/>
        </w:rPr>
        <w:t>决算</w:t>
      </w:r>
      <w:r>
        <w:rPr>
          <w:rFonts w:hint="default" w:ascii="仿宋_GB2312" w:hAnsi="仿宋_GB2312" w:eastAsia="仿宋_GB2312" w:cs="仿宋_GB2312"/>
          <w:sz w:val="32"/>
          <w:lang w:val="en-US" w:eastAsia="zh-CN"/>
        </w:rPr>
        <w:t>编制的二级预算单位主要包括</w:t>
      </w:r>
      <w:r>
        <w:rPr>
          <w:rFonts w:hint="eastAsia" w:ascii="仿宋_GB2312" w:hAnsi="仿宋_GB2312" w:eastAsia="仿宋_GB2312" w:cs="仿宋_GB2312"/>
          <w:sz w:val="32"/>
          <w:lang w:val="en-US" w:eastAsia="zh-CN"/>
        </w:rPr>
        <w:t>重庆市荣昌区古昌镇人民政府本级、重庆市荣昌区古昌镇</w:t>
      </w:r>
      <w:r>
        <w:rPr>
          <w:rFonts w:hint="default" w:ascii="仿宋_GB2312" w:hAnsi="仿宋_GB2312" w:eastAsia="仿宋_GB2312" w:cs="仿宋_GB2312"/>
          <w:sz w:val="32"/>
          <w:lang w:val="en-US" w:eastAsia="zh-CN"/>
        </w:rPr>
        <w:t>农业服务中心、</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文化服务中心、</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劳动就业和社会保障服务所、</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退役军人服务站、</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综合行政执法大队、 </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建设环保服务中心、</w:t>
      </w:r>
      <w:r>
        <w:rPr>
          <w:rFonts w:hint="eastAsia" w:ascii="仿宋_GB2312" w:hAnsi="仿宋_GB2312" w:eastAsia="仿宋_GB2312" w:cs="仿宋_GB2312"/>
          <w:sz w:val="32"/>
          <w:lang w:val="en-US" w:eastAsia="zh-CN"/>
        </w:rPr>
        <w:t>重庆市荣昌区古昌镇</w:t>
      </w:r>
      <w:r>
        <w:rPr>
          <w:rFonts w:hint="default" w:ascii="仿宋_GB2312" w:hAnsi="仿宋_GB2312" w:eastAsia="仿宋_GB2312" w:cs="仿宋_GB2312"/>
          <w:sz w:val="32"/>
          <w:lang w:val="en-US" w:eastAsia="zh-CN"/>
        </w:rPr>
        <w:t>畜牧服务中心。</w:t>
      </w:r>
    </w:p>
    <w:p>
      <w:pPr>
        <w:keepNext w:val="0"/>
        <w:keepLines w:val="0"/>
        <w:pageBreakBefore w:val="0"/>
        <w:numPr>
          <w:ilvl w:val="0"/>
          <w:numId w:val="2"/>
        </w:numPr>
        <w:kinsoku/>
        <w:wordWrap/>
        <w:overflowPunct/>
        <w:topLinePunct w:val="0"/>
        <w:autoSpaceDE/>
        <w:autoSpaceDN/>
        <w:bidi w:val="0"/>
        <w:adjustRightInd/>
        <w:snapToGrid/>
        <w:spacing w:afterAutospacing="0"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重庆市荣昌区古昌镇人民政府本级：负责统筹全镇各项工作。</w:t>
      </w:r>
    </w:p>
    <w:p>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default" w:ascii="仿宋_GB2312" w:hAnsi="仿宋_GB2312" w:eastAsia="仿宋_GB2312" w:cs="仿宋_GB2312"/>
          <w:sz w:val="32"/>
          <w:lang w:val="en-US" w:eastAsia="zh-CN"/>
        </w:rPr>
        <w:t>农业服务中心：负责农技、农机、林业、水利水保、水产等方面的重大技术推广、信息服务、资源环境保护、灾害防治、土地规模经营管理、农产品质量安全监管公共服务等工作。负责辖区内的水资源管理、防汛抗旱、农田水利建设和水利科技推广、水文监测、洪旱预警预报等工作；承担农村水利工程建设、管理与运行维护的技术指导；指导农民用水合作组织建设，协调农村涉水事务等工作。</w:t>
      </w:r>
    </w:p>
    <w:p>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lang w:val="en-US" w:eastAsia="zh-CN"/>
        </w:rPr>
        <w:t>文化服务中心：承担辖区内文化体育阵地建设，组织开展文化体育、文化交流、全民健身活动，组织辖区内文艺培训，负责广播电视、旅游等事务性服务工作，完成文化体育事业方面的其他服务工作。</w:t>
      </w:r>
    </w:p>
    <w:p>
      <w:pPr>
        <w:keepNext w:val="0"/>
        <w:keepLines w:val="0"/>
        <w:pageBreakBefore w:val="0"/>
        <w:numPr>
          <w:ilvl w:val="0"/>
          <w:numId w:val="0"/>
        </w:numPr>
        <w:kinsoku/>
        <w:wordWrap/>
        <w:overflowPunct/>
        <w:topLinePunct w:val="0"/>
        <w:autoSpaceDE/>
        <w:autoSpaceDN/>
        <w:bidi w:val="0"/>
        <w:adjustRightInd/>
        <w:snapToGrid/>
        <w:spacing w:afterAutospacing="0" w:line="600" w:lineRule="exact"/>
        <w:ind w:leftChars="0"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lang w:val="en-US" w:eastAsia="zh-CN"/>
        </w:rPr>
        <w:t>劳动就业和社会保障服务所：承担就业、再就业、农村富余劳动力转移、劳动和社会保障、社会救助等方面的事务性服务工作。</w:t>
      </w:r>
    </w:p>
    <w:p>
      <w:pPr>
        <w:keepNext w:val="0"/>
        <w:keepLines w:val="0"/>
        <w:pageBreakBefore w:val="0"/>
        <w:numPr>
          <w:ilvl w:val="0"/>
          <w:numId w:val="0"/>
        </w:numPr>
        <w:kinsoku/>
        <w:wordWrap/>
        <w:overflowPunct/>
        <w:topLinePunct w:val="0"/>
        <w:autoSpaceDE/>
        <w:autoSpaceDN/>
        <w:bidi w:val="0"/>
        <w:adjustRightInd/>
        <w:snapToGrid/>
        <w:spacing w:afterAutospacing="0" w:line="600" w:lineRule="exact"/>
        <w:ind w:leftChars="0"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w:t>
      </w:r>
      <w:r>
        <w:rPr>
          <w:rFonts w:hint="default" w:ascii="仿宋_GB2312" w:hAnsi="仿宋_GB2312" w:eastAsia="仿宋_GB2312" w:cs="仿宋_GB2312"/>
          <w:sz w:val="32"/>
          <w:lang w:val="en-US" w:eastAsia="zh-CN"/>
        </w:rPr>
        <w:t>退役军人服务站：负责退役军人关系转接、联络接待、困难帮扶、信息采集、情况反映、立功喜报、悬挂光荣牌和“八一”、春节等节日以及重大变故走访慰问等具体事务，搭建政策咨询、帮扶援助、沟通联系、学习交流等活动场所；承担其他涉及退役军人的相关服务等工作。</w:t>
      </w:r>
    </w:p>
    <w:p>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w:t>
      </w:r>
      <w:r>
        <w:rPr>
          <w:rFonts w:hint="default" w:ascii="仿宋_GB2312" w:hAnsi="仿宋_GB2312" w:eastAsia="仿宋_GB2312" w:cs="仿宋_GB2312"/>
          <w:sz w:val="32"/>
          <w:lang w:val="en-US" w:eastAsia="zh-CN"/>
        </w:rPr>
        <w:t>综合行政执法大队：集中行使依法授权或委托的农林水利、规划建设、环境保护、卫生计生、文化旅游、民政管理等领域的行政执法权。协调、配合区级有关部门及派驻机构开展其他领域的联合执法。</w:t>
      </w:r>
    </w:p>
    <w:p>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w:t>
      </w:r>
      <w:r>
        <w:rPr>
          <w:rFonts w:hint="default" w:ascii="仿宋_GB2312" w:hAnsi="仿宋_GB2312" w:eastAsia="仿宋_GB2312" w:cs="仿宋_GB2312"/>
          <w:sz w:val="32"/>
          <w:lang w:val="en-US" w:eastAsia="zh-CN"/>
        </w:rPr>
        <w:t>建设环保服务中心：承担规划建设、市政公用事业、房屋管理、市容环境、环境保护等领域的事务性服务工作。</w:t>
      </w:r>
    </w:p>
    <w:p>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w:t>
      </w:r>
      <w:r>
        <w:rPr>
          <w:rFonts w:hint="default" w:ascii="仿宋_GB2312" w:hAnsi="仿宋_GB2312" w:eastAsia="仿宋_GB2312" w:cs="仿宋_GB2312"/>
          <w:sz w:val="32"/>
          <w:lang w:val="en-US" w:eastAsia="zh-CN"/>
        </w:rPr>
        <w:t>畜牧服务中心：实施动物疫病的防疫、强制免疫，协助做好动物、动物产品检疫、兽药、饲料等养殖业投入品及畜产品的技术服务等工作；负责动物疫情调查、监测、报告，畜牧生产指导，畜牧兽医技术推广和畜牧业生产信息统计等工作。 </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2023年度收入总计5334.93万元，支出总计</w:t>
      </w:r>
      <w:r>
        <w:rPr>
          <w:rFonts w:ascii="方正仿宋_GBK" w:hAnsi="方正仿宋_GBK" w:eastAsia="方正仿宋_GBK" w:cs="方正仿宋_GBK"/>
          <w:sz w:val="32"/>
          <w:szCs w:val="32"/>
        </w:rPr>
        <w:t>5334.93</w:t>
      </w:r>
      <w:r>
        <w:rPr>
          <w:rFonts w:ascii="方正仿宋_GBK" w:hAnsi="方正仿宋_GBK" w:eastAsia="方正仿宋_GBK" w:cs="方正仿宋_GBK"/>
          <w:sz w:val="32"/>
          <w:szCs w:val="32"/>
          <w:shd w:val="clear" w:color="auto" w:fill="FFFFFF"/>
        </w:rPr>
        <w:t>万元。收</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w:t>
      </w:r>
      <w:r>
        <w:rPr>
          <w:rFonts w:hint="eastAsia" w:ascii="方正仿宋_GBK" w:hAnsi="方正仿宋_GBK" w:eastAsia="方正仿宋_GBK" w:cs="方正仿宋_GBK"/>
          <w:sz w:val="32"/>
          <w:szCs w:val="32"/>
          <w:shd w:val="clear" w:color="auto" w:fill="FFFFFF"/>
          <w:lang w:eastAsia="zh-CN"/>
        </w:rPr>
        <w:t>分别</w:t>
      </w:r>
      <w:r>
        <w:rPr>
          <w:rFonts w:ascii="方正仿宋_GBK" w:hAnsi="方正仿宋_GBK" w:eastAsia="方正仿宋_GBK" w:cs="方正仿宋_GBK"/>
          <w:sz w:val="32"/>
          <w:szCs w:val="32"/>
          <w:shd w:val="clear" w:color="auto" w:fill="FFFFFF"/>
        </w:rPr>
        <w:t>较上年决算数增加869.39万元，增长19.47%，</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减少369.90</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2万元，年初结转结余减少</w:t>
      </w:r>
      <w:r>
        <w:rPr>
          <w:rFonts w:hint="eastAsia" w:ascii="方正仿宋_GBK" w:hAnsi="方正仿宋_GBK" w:eastAsia="方正仿宋_GBK" w:cs="方正仿宋_GBK"/>
          <w:sz w:val="32"/>
          <w:szCs w:val="32"/>
          <w:shd w:val="clear" w:color="auto" w:fill="FFFFFF"/>
          <w:lang w:val="en-US" w:eastAsia="zh-CN"/>
        </w:rPr>
        <w:t>104.62</w:t>
      </w:r>
      <w:r>
        <w:rPr>
          <w:rFonts w:hint="eastAsia"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2023年度收入合计5329.93万元，较上年决算数增加974.01万元，增长22.36%，</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减少369.90</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2万元，年初结转结余减少</w:t>
      </w:r>
      <w:r>
        <w:rPr>
          <w:rFonts w:hint="eastAsia" w:ascii="方正仿宋_GBK" w:hAnsi="方正仿宋_GBK" w:eastAsia="方正仿宋_GBK" w:cs="方正仿宋_GBK"/>
          <w:sz w:val="32"/>
          <w:szCs w:val="32"/>
          <w:shd w:val="clear" w:color="auto" w:fill="FFFFFF"/>
          <w:lang w:val="en-US" w:eastAsia="zh-CN"/>
        </w:rPr>
        <w:t>104.62</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5329.93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5334.93</w:t>
      </w:r>
      <w:r>
        <w:rPr>
          <w:rFonts w:ascii="方正仿宋_GBK" w:hAnsi="方正仿宋_GBK" w:eastAsia="方正仿宋_GBK" w:cs="方正仿宋_GBK"/>
          <w:sz w:val="32"/>
          <w:szCs w:val="32"/>
          <w:shd w:val="clear" w:color="auto" w:fill="FFFFFF"/>
        </w:rPr>
        <w:t>万元，较上年决算数增加869.39万元，增长19.47%，</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减少425.08</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1623.86</w:t>
      </w:r>
      <w:r>
        <w:rPr>
          <w:rFonts w:ascii="方正仿宋_GBK" w:hAnsi="方正仿宋_GBK" w:eastAsia="方正仿宋_GBK" w:cs="方正仿宋_GBK"/>
          <w:sz w:val="32"/>
          <w:szCs w:val="32"/>
          <w:shd w:val="clear" w:color="auto" w:fill="FFFFFF"/>
        </w:rPr>
        <w:t>万元，占30.44%；项目支出</w:t>
      </w:r>
      <w:r>
        <w:rPr>
          <w:rFonts w:ascii="方正仿宋_GBK" w:hAnsi="方正仿宋_GBK" w:eastAsia="方正仿宋_GBK" w:cs="方正仿宋_GBK"/>
          <w:sz w:val="32"/>
          <w:szCs w:val="32"/>
        </w:rPr>
        <w:t>3711.06</w:t>
      </w:r>
      <w:r>
        <w:rPr>
          <w:rFonts w:ascii="方正仿宋_GBK" w:hAnsi="方正仿宋_GBK" w:eastAsia="方正仿宋_GBK" w:cs="方正仿宋_GBK"/>
          <w:sz w:val="32"/>
          <w:szCs w:val="32"/>
          <w:shd w:val="clear" w:color="auto" w:fill="FFFFFF"/>
        </w:rPr>
        <w:t>万元，占69.56%；经营支出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E/>
        <w:autoSpaceDN/>
        <w:bidi w:val="0"/>
        <w:adjustRightInd/>
        <w:snapToGrid/>
        <w:spacing w:afterAutospacing="0" w:line="600" w:lineRule="exact"/>
        <w:ind w:firstLine="643" w:firstLineChars="200"/>
        <w:outlineLvl w:val="9"/>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仿宋_GB2312" w:hAnsi="仿宋_GB2312" w:eastAsia="仿宋_GB2312" w:cs="仿宋_GB2312"/>
          <w:color w:val="auto"/>
          <w:kern w:val="0"/>
          <w:sz w:val="32"/>
          <w:szCs w:val="24"/>
          <w:lang w:val="en-US" w:eastAsia="zh-CN" w:bidi="ar"/>
        </w:rPr>
        <w:t>年末时财政收回了上年存量资金。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2023年度财政拨款收、支总计5334.93万元。与2022年相比，财政拨款收、支总计各增加871.40万元，增长19.52%。</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减少425.08</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3981.45</w:t>
      </w:r>
      <w:r>
        <w:rPr>
          <w:rFonts w:ascii="方正仿宋_GBK" w:hAnsi="方正仿宋_GBK" w:eastAsia="方正仿宋_GBK" w:cs="方正仿宋_GBK"/>
          <w:sz w:val="32"/>
          <w:szCs w:val="32"/>
          <w:shd w:val="clear" w:color="auto" w:fill="FFFFFF"/>
        </w:rPr>
        <w:t>万元，较上年决算数减少369.90万元，下降8.50%。</w:t>
      </w:r>
      <w:r>
        <w:rPr>
          <w:rFonts w:hint="eastAsia" w:ascii="方正仿宋_GBK" w:hAnsi="方正仿宋_GBK" w:eastAsia="方正仿宋_GBK" w:cs="方正仿宋_GBK"/>
          <w:sz w:val="32"/>
          <w:szCs w:val="32"/>
          <w:shd w:val="clear" w:color="auto" w:fill="FFFFFF"/>
        </w:rPr>
        <w:t>主要原因是本年度减少场镇品质提升资金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车辆购置税补助农村公路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藏地于粮</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rPr>
        <w:t>项目，集体经济发展资金与美丽乡村建设资金项目</w:t>
      </w:r>
      <w:r>
        <w:rPr>
          <w:rFonts w:hint="eastAsia" w:ascii="方正仿宋_GBK" w:hAnsi="方正仿宋_GBK" w:eastAsia="方正仿宋_GBK" w:cs="方正仿宋_GBK"/>
          <w:sz w:val="32"/>
          <w:szCs w:val="32"/>
          <w:shd w:val="clear" w:color="auto" w:fill="FFFFFF"/>
          <w:lang w:val="en-US" w:eastAsia="zh-CN"/>
        </w:rPr>
        <w:t>投入</w:t>
      </w:r>
      <w:r>
        <w:rPr>
          <w:rFonts w:hint="eastAsia" w:ascii="方正仿宋_GBK" w:hAnsi="方正仿宋_GBK" w:eastAsia="方正仿宋_GBK" w:cs="方正仿宋_GBK"/>
          <w:sz w:val="32"/>
          <w:szCs w:val="32"/>
          <w:shd w:val="clear" w:color="auto" w:fill="FFFFFF"/>
        </w:rPr>
        <w:t>较上年减少</w:t>
      </w:r>
      <w:r>
        <w:rPr>
          <w:rFonts w:ascii="方正仿宋_GBK" w:hAnsi="方正仿宋_GBK" w:eastAsia="方正仿宋_GBK" w:cs="方正仿宋_GBK"/>
          <w:sz w:val="32"/>
          <w:szCs w:val="32"/>
          <w:shd w:val="clear" w:color="auto" w:fill="FFFFFF"/>
        </w:rPr>
        <w:t>。较年初预算数增加1194.61万元，增长42.87%。</w:t>
      </w:r>
      <w:r>
        <w:rPr>
          <w:rFonts w:hint="eastAsia" w:ascii="方正仿宋_GBK" w:hAnsi="方正仿宋_GBK" w:eastAsia="方正仿宋_GBK" w:cs="方正仿宋_GBK"/>
          <w:sz w:val="32"/>
          <w:szCs w:val="32"/>
          <w:shd w:val="clear" w:color="auto" w:fill="FFFFFF"/>
        </w:rPr>
        <w:t>主要原因是年中</w:t>
      </w:r>
      <w:r>
        <w:rPr>
          <w:rFonts w:hint="eastAsia" w:ascii="方正仿宋_GBK" w:hAnsi="方正仿宋_GBK" w:eastAsia="方正仿宋_GBK" w:cs="方正仿宋_GBK"/>
          <w:sz w:val="32"/>
          <w:szCs w:val="32"/>
          <w:shd w:val="clear" w:color="auto" w:fill="FFFFFF"/>
          <w:lang w:eastAsia="zh-CN"/>
        </w:rPr>
        <w:t>下达预算项目</w:t>
      </w:r>
      <w:r>
        <w:rPr>
          <w:rFonts w:hint="eastAsia" w:ascii="方正仿宋_GBK" w:hAnsi="方正仿宋_GBK" w:eastAsia="方正仿宋_GBK" w:cs="方正仿宋_GBK"/>
          <w:sz w:val="32"/>
          <w:szCs w:val="32"/>
          <w:shd w:val="clear" w:color="auto" w:fill="FFFFFF"/>
        </w:rPr>
        <w:t>，未在年初预算范围内。</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3986.45</w:t>
      </w:r>
      <w:r>
        <w:rPr>
          <w:rFonts w:ascii="方正仿宋_GBK" w:hAnsi="方正仿宋_GBK" w:eastAsia="方正仿宋_GBK" w:cs="方正仿宋_GBK"/>
          <w:sz w:val="32"/>
          <w:szCs w:val="32"/>
          <w:shd w:val="clear" w:color="auto" w:fill="FFFFFF"/>
        </w:rPr>
        <w:t>万元，较上年决算数减少474.52万元，下降10.64%。主要原因</w:t>
      </w:r>
      <w:r>
        <w:rPr>
          <w:rFonts w:hint="eastAsia" w:ascii="方正仿宋_GBK" w:hAnsi="方正仿宋_GBK" w:eastAsia="方正仿宋_GBK" w:cs="方正仿宋_GBK"/>
          <w:sz w:val="32"/>
          <w:szCs w:val="32"/>
          <w:shd w:val="clear" w:color="auto" w:fill="FFFFFF"/>
        </w:rPr>
        <w:t>是本年度减少场镇品质提升资金、车辆购置税补助农村公路、藏地于粮等项目，集体经济发展资金与美丽乡村建设资金项目投入较上年减少</w:t>
      </w:r>
      <w:r>
        <w:rPr>
          <w:rFonts w:ascii="方正仿宋_GBK" w:hAnsi="方正仿宋_GBK" w:eastAsia="方正仿宋_GBK" w:cs="方正仿宋_GBK"/>
          <w:sz w:val="32"/>
          <w:szCs w:val="32"/>
          <w:shd w:val="clear" w:color="auto" w:fill="FFFFFF"/>
        </w:rPr>
        <w:t>。较年初预算数增加1199.61万元，增长43.05%。</w:t>
      </w:r>
      <w:r>
        <w:rPr>
          <w:rFonts w:hint="eastAsia" w:ascii="方正仿宋_GBK" w:hAnsi="方正仿宋_GBK" w:eastAsia="方正仿宋_GBK" w:cs="方正仿宋_GBK"/>
          <w:sz w:val="32"/>
          <w:szCs w:val="32"/>
          <w:shd w:val="clear" w:color="auto" w:fill="FFFFFF"/>
        </w:rPr>
        <w:t>主要原因是年中</w:t>
      </w:r>
      <w:r>
        <w:rPr>
          <w:rFonts w:hint="eastAsia" w:ascii="方正仿宋_GBK" w:hAnsi="方正仿宋_GBK" w:eastAsia="方正仿宋_GBK" w:cs="方正仿宋_GBK"/>
          <w:sz w:val="32"/>
          <w:szCs w:val="32"/>
          <w:shd w:val="clear" w:color="auto" w:fill="FFFFFF"/>
          <w:lang w:eastAsia="zh-CN"/>
        </w:rPr>
        <w:t>下达预算项目</w:t>
      </w:r>
      <w:r>
        <w:rPr>
          <w:rFonts w:hint="eastAsia" w:ascii="方正仿宋_GBK" w:hAnsi="方正仿宋_GBK" w:eastAsia="方正仿宋_GBK" w:cs="方正仿宋_GBK"/>
          <w:sz w:val="32"/>
          <w:szCs w:val="32"/>
          <w:shd w:val="clear" w:color="auto" w:fill="FFFFFF"/>
        </w:rPr>
        <w:t>，未在年初预算范围内。</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较上年决算数无增减，主要原因是主要原因是年末时财政收回了上年存量资金。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987.66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24.78</w:t>
      </w:r>
      <w:r>
        <w:rPr>
          <w:rFonts w:ascii="方正仿宋_GBK" w:hAnsi="方正仿宋_GBK" w:eastAsia="方正仿宋_GBK" w:cs="方正仿宋_GBK"/>
          <w:sz w:val="32"/>
          <w:szCs w:val="32"/>
          <w:shd w:val="clear" w:color="auto" w:fill="FFFFFF"/>
        </w:rPr>
        <w:t>%，较年初预算数减少106.89万元，下降9.77%，</w:t>
      </w:r>
      <w:r>
        <w:rPr>
          <w:rFonts w:hint="eastAsia" w:ascii="方正仿宋_GBK" w:hAnsi="方正仿宋_GBK" w:eastAsia="方正仿宋_GBK" w:cs="方正仿宋_GBK"/>
          <w:sz w:val="32"/>
          <w:szCs w:val="32"/>
          <w:shd w:val="clear" w:color="auto" w:fill="FFFFFF"/>
        </w:rPr>
        <w:t>主要原因一是</w:t>
      </w:r>
      <w:r>
        <w:rPr>
          <w:rFonts w:hint="eastAsia" w:ascii="方正仿宋_GBK" w:hAnsi="方正仿宋_GBK" w:eastAsia="方正仿宋_GBK" w:cs="方正仿宋_GBK"/>
          <w:sz w:val="32"/>
          <w:szCs w:val="32"/>
          <w:shd w:val="clear" w:color="auto" w:fill="FFFFFF"/>
          <w:lang w:val="en-US" w:eastAsia="zh-CN"/>
        </w:rPr>
        <w:t>本年</w:t>
      </w:r>
      <w:r>
        <w:rPr>
          <w:rFonts w:hint="eastAsia" w:ascii="方正仿宋_GBK" w:hAnsi="方正仿宋_GBK" w:eastAsia="方正仿宋_GBK" w:cs="方正仿宋_GBK"/>
          <w:sz w:val="32"/>
          <w:szCs w:val="32"/>
          <w:shd w:val="clear" w:color="auto" w:fill="FFFFFF"/>
        </w:rPr>
        <w:t>本单位2名</w:t>
      </w:r>
      <w:r>
        <w:rPr>
          <w:rFonts w:hint="eastAsia" w:ascii="方正仿宋_GBK" w:hAnsi="方正仿宋_GBK" w:eastAsia="方正仿宋_GBK" w:cs="方正仿宋_GBK"/>
          <w:sz w:val="32"/>
          <w:szCs w:val="32"/>
          <w:shd w:val="clear" w:color="auto" w:fill="FFFFFF"/>
          <w:lang w:val="en-US" w:eastAsia="zh-CN"/>
        </w:rPr>
        <w:t>在编人员</w:t>
      </w:r>
      <w:r>
        <w:rPr>
          <w:rFonts w:hint="eastAsia" w:ascii="方正仿宋_GBK" w:hAnsi="方正仿宋_GBK" w:eastAsia="方正仿宋_GBK" w:cs="方正仿宋_GBK"/>
          <w:sz w:val="32"/>
          <w:szCs w:val="32"/>
          <w:shd w:val="clear" w:color="auto" w:fill="FFFFFF"/>
        </w:rPr>
        <w:t>变动退休，人员经费减少；二是部分项目如古昌镇市场主体经济专项扶持经费项目本年未实施完全。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11.50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%，较年初预算数增加6.50万元，增长130%，</w:t>
      </w:r>
      <w:r>
        <w:rPr>
          <w:rFonts w:hint="eastAsia" w:ascii="方正仿宋_GBK" w:hAnsi="方正仿宋_GBK" w:eastAsia="方正仿宋_GBK" w:cs="方正仿宋_GBK"/>
          <w:sz w:val="32"/>
          <w:szCs w:val="32"/>
          <w:shd w:val="clear" w:color="auto" w:fill="FFFFFF"/>
        </w:rPr>
        <w:t>主要原因是本年新增专兼职网格员、微网格长补贴等支出。</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%，较年初预算数增加2.58万元，增长100%，主要原因是</w:t>
      </w:r>
      <w:r>
        <w:rPr>
          <w:rFonts w:hint="eastAsia" w:ascii="仿宋_GB2312" w:hAnsi="仿宋_GB2312" w:eastAsia="仿宋_GB2312" w:cs="仿宋_GB2312"/>
          <w:color w:val="auto"/>
          <w:kern w:val="0"/>
          <w:sz w:val="32"/>
          <w:szCs w:val="24"/>
          <w:lang w:val="en-US" w:eastAsia="zh-CN" w:bidi="ar"/>
        </w:rPr>
        <w:t>社区教育经费项目为年中下达预算项目，未纳入年初预算。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81.40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2.04</w:t>
      </w:r>
      <w:r>
        <w:rPr>
          <w:rFonts w:ascii="方正仿宋_GBK" w:hAnsi="方正仿宋_GBK" w:eastAsia="方正仿宋_GBK" w:cs="方正仿宋_GBK"/>
          <w:sz w:val="32"/>
          <w:szCs w:val="32"/>
          <w:shd w:val="clear" w:color="auto" w:fill="FFFFFF"/>
        </w:rPr>
        <w:t>%，较年初预算数减少7.36万元，下降8.29%，主要原因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下属事业单位文化服务中心本年度奖励性绩效，超额绩效，职工教育经费，福利费等支出减少；二是部分项目优先使用中央及市级专项资金进行兑付，故与年初预算数不一致。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513.52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12.88</w:t>
      </w:r>
      <w:r>
        <w:rPr>
          <w:rFonts w:ascii="方正仿宋_GBK" w:hAnsi="方正仿宋_GBK" w:eastAsia="方正仿宋_GBK" w:cs="方正仿宋_GBK"/>
          <w:sz w:val="32"/>
          <w:szCs w:val="32"/>
          <w:shd w:val="clear" w:color="auto" w:fill="FFFFFF"/>
        </w:rPr>
        <w:t>%，较年初预算数减少63.71万元，下降11.04%，</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一</w:t>
      </w:r>
      <w:r>
        <w:rPr>
          <w:rFonts w:hint="eastAsia" w:ascii="方正仿宋_GBK" w:hAnsi="方正仿宋_GBK" w:eastAsia="方正仿宋_GBK" w:cs="方正仿宋_GBK"/>
          <w:sz w:val="32"/>
          <w:szCs w:val="32"/>
          <w:shd w:val="clear" w:color="auto" w:fill="FFFFFF"/>
        </w:rPr>
        <w:t>是2023年对社保基数进行了调整，职工基本医疗保险（事业）、工伤保险（事业）、在职大额医疗互助金、失业保险（事业）、基本养老保险的实际支出与年初预算数不一致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二是部分民生项目如临时救助补助项目改由上级部门支出，与年初预算不一致。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%，较年初预算数减少4.76万元，下降6.37%，主要原因是</w:t>
      </w:r>
      <w:r>
        <w:rPr>
          <w:rFonts w:hint="eastAsia" w:ascii="仿宋_GB2312" w:hAnsi="仿宋_GB2312" w:eastAsia="仿宋_GB2312" w:cs="仿宋_GB2312"/>
          <w:color w:val="auto"/>
          <w:kern w:val="0"/>
          <w:sz w:val="32"/>
          <w:szCs w:val="24"/>
          <w:lang w:val="en-US" w:eastAsia="zh-CN" w:bidi="ar"/>
        </w:rPr>
        <w:t>本年人员变动退休，职工医疗保险及在职大额医疗互助金、在职医保垫底资金等人员经费减少。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%，较年初预算数增加25.42万元，增长635.50%，主要原因是</w:t>
      </w:r>
      <w:r>
        <w:rPr>
          <w:rFonts w:hint="eastAsia" w:ascii="方正仿宋_GBK" w:hAnsi="方正仿宋_GBK" w:eastAsia="方正仿宋_GBK" w:cs="方正仿宋_GBK"/>
          <w:sz w:val="32"/>
          <w:szCs w:val="32"/>
          <w:shd w:val="clear" w:color="auto" w:fill="FFFFFF"/>
        </w:rPr>
        <w:t>女仙桥河玉带河段农村黑臭水体治理项目</w:t>
      </w:r>
      <w:r>
        <w:rPr>
          <w:rFonts w:hint="eastAsia" w:ascii="方正仿宋_GBK" w:hAnsi="方正仿宋_GBK" w:eastAsia="方正仿宋_GBK" w:cs="方正仿宋_GBK"/>
          <w:sz w:val="32"/>
          <w:szCs w:val="32"/>
          <w:shd w:val="clear" w:color="auto" w:fill="FFFFFF"/>
          <w:lang w:val="en-US" w:eastAsia="zh-CN"/>
        </w:rPr>
        <w:t>11.32万元</w:t>
      </w:r>
      <w:r>
        <w:rPr>
          <w:rFonts w:hint="eastAsia" w:ascii="方正仿宋_GBK" w:hAnsi="方正仿宋_GBK" w:eastAsia="方正仿宋_GBK" w:cs="方正仿宋_GBK"/>
          <w:sz w:val="32"/>
          <w:szCs w:val="32"/>
          <w:shd w:val="clear" w:color="auto" w:fill="FFFFFF"/>
          <w:lang w:eastAsia="zh-CN"/>
        </w:rPr>
        <w:t>、满家冲新房子堰塘农村黑臭水体治理项目</w:t>
      </w:r>
      <w:r>
        <w:rPr>
          <w:rFonts w:hint="eastAsia" w:ascii="方正仿宋_GBK" w:hAnsi="方正仿宋_GBK" w:eastAsia="方正仿宋_GBK" w:cs="方正仿宋_GBK"/>
          <w:sz w:val="32"/>
          <w:szCs w:val="32"/>
          <w:shd w:val="clear" w:color="auto" w:fill="FFFFFF"/>
          <w:lang w:val="en-US" w:eastAsia="zh-CN"/>
        </w:rPr>
        <w:t>14.10万元</w:t>
      </w:r>
      <w:r>
        <w:rPr>
          <w:rFonts w:hint="eastAsia" w:ascii="仿宋_GB2312" w:hAnsi="仿宋_GB2312" w:eastAsia="仿宋_GB2312" w:cs="仿宋_GB2312"/>
          <w:color w:val="auto"/>
          <w:kern w:val="0"/>
          <w:sz w:val="32"/>
          <w:szCs w:val="24"/>
          <w:lang w:val="en-US" w:eastAsia="zh-CN" w:bidi="ar"/>
        </w:rPr>
        <w:t>为年中下达预算项目，未纳入年初预算</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278.75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6.99</w:t>
      </w:r>
      <w:r>
        <w:rPr>
          <w:rFonts w:ascii="方正仿宋_GBK" w:hAnsi="方正仿宋_GBK" w:eastAsia="方正仿宋_GBK" w:cs="方正仿宋_GBK"/>
          <w:sz w:val="32"/>
          <w:szCs w:val="32"/>
          <w:shd w:val="clear" w:color="auto" w:fill="FFFFFF"/>
        </w:rPr>
        <w:t>%，较年初预算数增加127.88万元，增长84.76%，主要原因</w:t>
      </w:r>
      <w:r>
        <w:rPr>
          <w:rFonts w:ascii="方正仿宋_GBK" w:hAnsi="方正仿宋_GBK" w:eastAsia="方正仿宋_GBK" w:cs="方正仿宋_GBK"/>
          <w:color w:val="000000" w:themeColor="text1"/>
          <w:sz w:val="32"/>
          <w:szCs w:val="32"/>
          <w:shd w:val="clear" w:color="auto" w:fill="FFFFFF"/>
        </w:rPr>
        <w:t>是</w:t>
      </w:r>
      <w:r>
        <w:rPr>
          <w:rFonts w:hint="eastAsia" w:ascii="方正仿宋_GBK" w:hAnsi="方正仿宋_GBK" w:eastAsia="方正仿宋_GBK" w:cs="方正仿宋_GBK"/>
          <w:color w:val="000000" w:themeColor="text1"/>
          <w:sz w:val="32"/>
          <w:szCs w:val="32"/>
          <w:shd w:val="clear" w:color="auto" w:fill="FFFFFF"/>
        </w:rPr>
        <w:t>基础设施建设</w:t>
      </w:r>
      <w:r>
        <w:rPr>
          <w:rFonts w:hint="eastAsia" w:ascii="方正仿宋_GBK" w:hAnsi="方正仿宋_GBK" w:eastAsia="方正仿宋_GBK" w:cs="方正仿宋_GBK"/>
          <w:color w:val="000000" w:themeColor="text1"/>
          <w:sz w:val="32"/>
          <w:szCs w:val="32"/>
          <w:shd w:val="clear" w:color="auto" w:fill="FFFFFF"/>
          <w:lang w:val="en-US" w:eastAsia="zh-CN"/>
        </w:rPr>
        <w:t>项目</w:t>
      </w:r>
      <w:r>
        <w:rPr>
          <w:rFonts w:hint="eastAsia" w:ascii="仿宋_GB2312" w:hAnsi="仿宋_GB2312" w:eastAsia="仿宋_GB2312" w:cs="仿宋_GB2312"/>
          <w:color w:val="000000" w:themeColor="text1"/>
          <w:kern w:val="0"/>
          <w:sz w:val="32"/>
          <w:szCs w:val="24"/>
          <w:lang w:val="en-US" w:eastAsia="zh-CN" w:bidi="ar"/>
        </w:rPr>
        <w:t>为年中下达预算项目，未纳入年初预</w:t>
      </w:r>
      <w:r>
        <w:rPr>
          <w:rFonts w:hint="eastAsia" w:ascii="方正仿宋_GBK" w:hAnsi="方正仿宋_GBK" w:eastAsia="方正仿宋_GBK" w:cs="方正仿宋_GBK"/>
          <w:sz w:val="32"/>
          <w:szCs w:val="32"/>
          <w:shd w:val="clear" w:color="auto" w:fill="FFFFFF"/>
          <w:lang w:val="en-US" w:eastAsia="zh-CN"/>
        </w:rPr>
        <w:t>算</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945.27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23.71</w:t>
      </w:r>
      <w:r>
        <w:rPr>
          <w:rFonts w:ascii="方正仿宋_GBK" w:hAnsi="方正仿宋_GBK" w:eastAsia="方正仿宋_GBK" w:cs="方正仿宋_GBK"/>
          <w:sz w:val="32"/>
          <w:szCs w:val="32"/>
          <w:shd w:val="clear" w:color="auto" w:fill="FFFFFF"/>
        </w:rPr>
        <w:t>%，较年初预算数增加392.76万元，增长71.09%，</w:t>
      </w:r>
      <w:r>
        <w:rPr>
          <w:rFonts w:hint="eastAsia" w:ascii="方正仿宋_GBK" w:hAnsi="方正仿宋_GBK" w:eastAsia="方正仿宋_GBK" w:cs="方正仿宋_GBK"/>
          <w:sz w:val="32"/>
          <w:szCs w:val="32"/>
          <w:shd w:val="clear" w:color="auto" w:fill="FFFFFF"/>
        </w:rPr>
        <w:t>主要原因是2023年年中有新增项目，未纳入年初预算，如河库清漂保洁项目5万元、水产养殖污染整治提升项目22.22万元、农田水利基础设施维修管护项目12万元、美丽宜居村建设（新民村）100万元，秸秆综合利用与禁烧管控项目12.24万元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417.10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10.46</w:t>
      </w:r>
      <w:r>
        <w:rPr>
          <w:rFonts w:ascii="方正仿宋_GBK" w:hAnsi="方正仿宋_GBK" w:eastAsia="方正仿宋_GBK" w:cs="方正仿宋_GBK"/>
          <w:sz w:val="32"/>
          <w:szCs w:val="32"/>
          <w:shd w:val="clear" w:color="auto" w:fill="FFFFFF"/>
        </w:rPr>
        <w:t>%，较年初预算数增加279.15万元，增长202.36%，</w:t>
      </w:r>
      <w:r>
        <w:rPr>
          <w:rFonts w:hint="eastAsia" w:ascii="方正仿宋_GBK" w:hAnsi="方正仿宋_GBK" w:eastAsia="方正仿宋_GBK" w:cs="方正仿宋_GBK"/>
          <w:sz w:val="32"/>
          <w:szCs w:val="32"/>
          <w:shd w:val="clear" w:color="auto" w:fill="FFFFFF"/>
        </w:rPr>
        <w:t>主要原因是2023年年中有新增项目，未纳入年初预算，如农村公路建设补助资金283.85万元，农村公路养护补助资金13.05万元。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自然资源海洋气象等支出18.94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%，较年初预算数增加18.94万元，增长100%，</w:t>
      </w:r>
      <w:r>
        <w:rPr>
          <w:rFonts w:hint="eastAsia" w:ascii="方正仿宋_GBK" w:hAnsi="方正仿宋_GBK" w:eastAsia="方正仿宋_GBK" w:cs="方正仿宋_GBK"/>
          <w:sz w:val="32"/>
          <w:szCs w:val="32"/>
          <w:shd w:val="clear" w:color="auto" w:fill="FFFFFF"/>
        </w:rPr>
        <w:t>主要原因是年中新增荣昌区耕地缺口恢复补足项目</w:t>
      </w:r>
      <w:r>
        <w:rPr>
          <w:rFonts w:hint="eastAsia" w:ascii="方正仿宋_GBK" w:hAnsi="方正仿宋_GBK" w:eastAsia="方正仿宋_GBK" w:cs="方正仿宋_GBK"/>
          <w:sz w:val="32"/>
          <w:szCs w:val="32"/>
          <w:shd w:val="clear" w:color="auto" w:fill="FFFFFF"/>
          <w:lang w:val="en-US" w:eastAsia="zh-CN"/>
        </w:rPr>
        <w:t>18.94万元</w:t>
      </w:r>
      <w:r>
        <w:rPr>
          <w:rFonts w:hint="eastAsia" w:ascii="方正仿宋_GBK" w:hAnsi="方正仿宋_GBK" w:eastAsia="方正仿宋_GBK" w:cs="方正仿宋_GBK"/>
          <w:sz w:val="32"/>
          <w:szCs w:val="32"/>
          <w:shd w:val="clear" w:color="auto" w:fill="FFFFFF"/>
        </w:rPr>
        <w:t>。</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住房保障支出623.78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15.65</w:t>
      </w:r>
      <w:r>
        <w:rPr>
          <w:rFonts w:ascii="方正仿宋_GBK" w:hAnsi="方正仿宋_GBK" w:eastAsia="方正仿宋_GBK" w:cs="方正仿宋_GBK"/>
          <w:sz w:val="32"/>
          <w:szCs w:val="32"/>
          <w:shd w:val="clear" w:color="auto" w:fill="FFFFFF"/>
        </w:rPr>
        <w:t>%，较年初预算数增加530.57万元，增长569.22%，</w:t>
      </w:r>
      <w:r>
        <w:rPr>
          <w:rFonts w:hint="eastAsia" w:ascii="方正仿宋_GBK" w:hAnsi="方正仿宋_GBK" w:eastAsia="方正仿宋_GBK" w:cs="方正仿宋_GBK"/>
          <w:sz w:val="32"/>
          <w:szCs w:val="32"/>
          <w:shd w:val="clear" w:color="auto" w:fill="FFFFFF"/>
        </w:rPr>
        <w:t>主要原因是年中新增古昌昌盛社区老旧小区配套基础设施改造工程项目</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%，较年初预算数减少1.46万元，下降18.25%，</w:t>
      </w:r>
      <w:r>
        <w:rPr>
          <w:rFonts w:hint="eastAsia" w:ascii="方正仿宋_GBK" w:hAnsi="方正仿宋_GBK" w:eastAsia="方正仿宋_GBK" w:cs="方正仿宋_GBK"/>
          <w:sz w:val="32"/>
          <w:szCs w:val="32"/>
          <w:shd w:val="clear" w:color="auto" w:fill="FFFFFF"/>
        </w:rPr>
        <w:t>主要原因是本年部分救灾资金优先使用专项资金进行兑付，故与年初预算数不一致。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1623.86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1346.85</w:t>
      </w:r>
      <w:r>
        <w:rPr>
          <w:rFonts w:ascii="方正仿宋_GBK" w:hAnsi="方正仿宋_GBK" w:eastAsia="方正仿宋_GBK" w:cs="方正仿宋_GBK"/>
          <w:sz w:val="32"/>
          <w:szCs w:val="32"/>
          <w:shd w:val="clear" w:color="auto" w:fill="FFFFFF"/>
        </w:rPr>
        <w:t>万元，较上年决算数增加50.70万元，增长3.91%，主要原因是</w:t>
      </w:r>
      <w:r>
        <w:rPr>
          <w:rFonts w:hint="eastAsia" w:ascii="方正仿宋_GBK" w:hAnsi="方正仿宋_GBK" w:eastAsia="方正仿宋_GBK" w:cs="方正仿宋_GBK"/>
          <w:sz w:val="32"/>
          <w:szCs w:val="32"/>
          <w:shd w:val="clear" w:color="auto" w:fill="FFFFFF"/>
          <w:lang w:val="en-US" w:eastAsia="zh-CN"/>
        </w:rPr>
        <w:t>本年单位人员变动，根据相关政策文件2023年社保基数及工资调整，人员经费增加。</w:t>
      </w:r>
      <w:r>
        <w:rPr>
          <w:rFonts w:hint="eastAsia" w:ascii="仿宋_GB2312" w:hAnsi="仿宋_GB2312" w:eastAsia="仿宋_GB2312" w:cs="仿宋_GB2312"/>
          <w:color w:val="auto"/>
          <w:kern w:val="0"/>
          <w:sz w:val="32"/>
          <w:szCs w:val="24"/>
          <w:lang w:val="en-US" w:eastAsia="zh-CN" w:bidi="ar"/>
        </w:rPr>
        <w:t>人员经费用途主要包括在编、在岗人员基本工资、绩效工资、津贴补贴各项奖金、社会保障缴费、单位其他长期聘用人员及部分离退休人员经费等。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277.01</w:t>
      </w:r>
      <w:r>
        <w:rPr>
          <w:rFonts w:ascii="方正仿宋_GBK" w:hAnsi="方正仿宋_GBK" w:eastAsia="方正仿宋_GBK" w:cs="方正仿宋_GBK"/>
          <w:sz w:val="32"/>
          <w:szCs w:val="32"/>
          <w:shd w:val="clear" w:color="auto" w:fill="FFFFFF"/>
        </w:rPr>
        <w:t>万元，较上年决算数增加97.24万元，增长54.09%，主要原因是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单位公益性岗位人员增加，</w:t>
      </w:r>
      <w:r>
        <w:rPr>
          <w:rFonts w:hint="eastAsia" w:ascii="方正仿宋_GBK" w:hAnsi="方正仿宋_GBK" w:eastAsia="方正仿宋_GBK" w:cs="方正仿宋_GBK"/>
          <w:sz w:val="32"/>
          <w:szCs w:val="32"/>
          <w:shd w:val="clear" w:color="auto" w:fill="FFFFFF"/>
        </w:rPr>
        <w:t>对机关</w:t>
      </w:r>
      <w:r>
        <w:rPr>
          <w:rFonts w:hint="eastAsia" w:ascii="方正仿宋_GBK" w:hAnsi="方正仿宋_GBK" w:eastAsia="方正仿宋_GBK" w:cs="方正仿宋_GBK"/>
          <w:sz w:val="32"/>
          <w:szCs w:val="32"/>
          <w:shd w:val="clear" w:color="auto" w:fill="FFFFFF"/>
          <w:lang w:eastAsia="zh-CN"/>
        </w:rPr>
        <w:t>办公大楼等</w:t>
      </w:r>
      <w:r>
        <w:rPr>
          <w:rFonts w:hint="eastAsia" w:ascii="方正仿宋_GBK" w:hAnsi="方正仿宋_GBK" w:eastAsia="方正仿宋_GBK" w:cs="方正仿宋_GBK"/>
          <w:sz w:val="32"/>
          <w:szCs w:val="32"/>
          <w:shd w:val="clear" w:color="auto" w:fill="FFFFFF"/>
        </w:rPr>
        <w:t>老旧设施进行了维修等因素，导致公用经费增加</w:t>
      </w:r>
      <w:r>
        <w:rPr>
          <w:rFonts w:ascii="方正仿宋_GBK" w:hAnsi="方正仿宋_GBK" w:eastAsia="方正仿宋_GBK" w:cs="方正仿宋_GBK"/>
          <w:sz w:val="32"/>
          <w:szCs w:val="32"/>
          <w:shd w:val="clear" w:color="auto" w:fill="FFFFFF"/>
        </w:rPr>
        <w:t>。</w:t>
      </w:r>
      <w:r>
        <w:rPr>
          <w:rFonts w:hint="eastAsia" w:ascii="仿宋_GB2312" w:hAnsi="仿宋_GB2312" w:eastAsia="仿宋_GB2312" w:cs="仿宋_GB2312"/>
          <w:color w:val="auto"/>
          <w:kern w:val="0"/>
          <w:sz w:val="32"/>
          <w:szCs w:val="24"/>
          <w:lang w:val="en-US" w:eastAsia="zh-CN" w:bidi="ar"/>
        </w:rPr>
        <w:t>公用经费用途主要包括办公费、印刷费、咨询费、水电费、邮电费、差旅费、会议费、公务接待费、劳务费、公务用车运行维护费、其他商品和服务支出等费用支出。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1348.48</w:t>
      </w:r>
      <w:r>
        <w:rPr>
          <w:rFonts w:ascii="方正仿宋_GBK" w:hAnsi="方正仿宋_GBK" w:eastAsia="方正仿宋_GBK" w:cs="方正仿宋_GBK"/>
          <w:sz w:val="32"/>
          <w:szCs w:val="32"/>
          <w:shd w:val="clear" w:color="auto" w:fill="FFFFFF"/>
        </w:rPr>
        <w:t>万元，较上年决算数增加1345.92万元，增长52575%，主要原因是</w:t>
      </w:r>
      <w:r>
        <w:rPr>
          <w:rFonts w:hint="eastAsia" w:ascii="方正仿宋_GBK" w:hAnsi="方正仿宋_GBK" w:eastAsia="方正仿宋_GBK" w:cs="方正仿宋_GBK"/>
          <w:sz w:val="32"/>
          <w:szCs w:val="32"/>
          <w:shd w:val="clear" w:color="auto" w:fill="FFFFFF"/>
          <w:lang w:val="en-US" w:eastAsia="zh-CN"/>
        </w:rPr>
        <w:t>本年新增荣昌区老旧小区改造工程项目。</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1348.48</w:t>
      </w:r>
      <w:r>
        <w:rPr>
          <w:rFonts w:ascii="方正仿宋_GBK" w:hAnsi="方正仿宋_GBK" w:eastAsia="方正仿宋_GBK" w:cs="方正仿宋_GBK"/>
          <w:sz w:val="32"/>
          <w:szCs w:val="32"/>
          <w:shd w:val="clear" w:color="auto" w:fill="FFFFFF"/>
        </w:rPr>
        <w:t>万元，较上年决算数增加1345.92万元，增长52575%，主要原因是</w:t>
      </w:r>
      <w:r>
        <w:rPr>
          <w:rFonts w:hint="eastAsia" w:ascii="方正仿宋_GBK" w:hAnsi="方正仿宋_GBK" w:eastAsia="方正仿宋_GBK" w:cs="方正仿宋_GBK"/>
          <w:sz w:val="32"/>
          <w:szCs w:val="32"/>
          <w:shd w:val="clear" w:color="auto" w:fill="FFFFFF"/>
          <w:lang w:val="en-US" w:eastAsia="zh-CN"/>
        </w:rPr>
        <w:t>本年新增荣昌区老旧小区改造工程项目。</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14.99</w:t>
      </w:r>
      <w:r>
        <w:rPr>
          <w:rFonts w:ascii="方正仿宋_GBK" w:hAnsi="方正仿宋_GBK" w:eastAsia="方正仿宋_GBK" w:cs="方正仿宋_GBK"/>
          <w:sz w:val="32"/>
          <w:szCs w:val="32"/>
          <w:shd w:val="clear" w:color="auto" w:fill="FFFFFF"/>
        </w:rPr>
        <w:t>万元，较年初预算数减少5.61万元，下降27.23%，</w:t>
      </w:r>
      <w:r>
        <w:rPr>
          <w:rFonts w:hint="eastAsia" w:ascii="仿宋_GB2312" w:hAnsi="仿宋_GB2312" w:eastAsia="仿宋_GB2312" w:cs="仿宋_GB2312"/>
          <w:color w:val="auto"/>
          <w:kern w:val="0"/>
          <w:sz w:val="32"/>
          <w:szCs w:val="24"/>
          <w:lang w:val="en-US" w:eastAsia="zh-CN" w:bidi="ar"/>
        </w:rPr>
        <w:t>主要原因是单位厉行节约，严控三公经费。</w:t>
      </w:r>
      <w:r>
        <w:rPr>
          <w:rFonts w:ascii="方正仿宋_GBK" w:hAnsi="方正仿宋_GBK" w:eastAsia="方正仿宋_GBK" w:cs="方正仿宋_GBK"/>
          <w:sz w:val="32"/>
          <w:szCs w:val="32"/>
          <w:shd w:val="clear" w:color="auto" w:fill="FFFFFF"/>
        </w:rPr>
        <w:t>较上年支出数增加4.81万元，增长47.25%，主要原因是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公务车运行维护填报口径调整</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另车辆</w:t>
      </w:r>
      <w:r>
        <w:rPr>
          <w:rFonts w:hint="eastAsia" w:ascii="方正仿宋_GBK" w:hAnsi="方正仿宋_GBK" w:eastAsia="方正仿宋_GBK" w:cs="方正仿宋_GBK"/>
          <w:sz w:val="32"/>
          <w:szCs w:val="32"/>
          <w:shd w:val="clear" w:color="auto" w:fill="FFFFFF"/>
        </w:rPr>
        <w:t>磨损逐年增加，</w:t>
      </w:r>
      <w:r>
        <w:rPr>
          <w:rFonts w:hint="eastAsia" w:ascii="方正仿宋_GBK" w:hAnsi="方正仿宋_GBK" w:eastAsia="方正仿宋_GBK" w:cs="方正仿宋_GBK"/>
          <w:sz w:val="32"/>
          <w:szCs w:val="32"/>
          <w:shd w:val="clear" w:color="auto" w:fill="FFFFFF"/>
          <w:lang w:eastAsia="zh-CN"/>
        </w:rPr>
        <w:t>维修</w:t>
      </w:r>
      <w:r>
        <w:rPr>
          <w:rFonts w:hint="eastAsia" w:ascii="方正仿宋_GBK" w:hAnsi="方正仿宋_GBK" w:eastAsia="方正仿宋_GBK" w:cs="方正仿宋_GBK"/>
          <w:sz w:val="32"/>
          <w:szCs w:val="32"/>
          <w:shd w:val="clear" w:color="auto" w:fill="FFFFFF"/>
        </w:rPr>
        <w:t>费用增加，</w:t>
      </w:r>
      <w:r>
        <w:rPr>
          <w:rFonts w:hint="eastAsia" w:ascii="方正仿宋_GBK" w:hAnsi="方正仿宋_GBK" w:eastAsia="方正仿宋_GBK" w:cs="方正仿宋_GBK"/>
          <w:sz w:val="32"/>
          <w:szCs w:val="32"/>
          <w:shd w:val="clear" w:color="auto" w:fill="FFFFFF"/>
          <w:lang w:val="en-US" w:eastAsia="zh-CN"/>
        </w:rPr>
        <w:t>公车运行维护费用增加</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12.14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主</w:t>
      </w:r>
      <w:r>
        <w:rPr>
          <w:rFonts w:hint="eastAsia" w:ascii="仿宋_GB2312" w:hAnsi="仿宋_GB2312" w:eastAsia="仿宋_GB2312" w:cs="仿宋_GB2312"/>
          <w:color w:val="auto"/>
          <w:kern w:val="0"/>
          <w:sz w:val="32"/>
          <w:szCs w:val="24"/>
          <w:lang w:val="en-US" w:eastAsia="zh-CN" w:bidi="ar"/>
        </w:rPr>
        <w:t>要用于机要文件交换、因公出行、镇辖区管辖范围内各项业务检查等工作所需车辆的燃料费、维修费、过桥过路费、保险费等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较年初预算数减少4.36万元，下降26.42%，</w:t>
      </w:r>
      <w:r>
        <w:rPr>
          <w:rFonts w:hint="eastAsia" w:ascii="仿宋_GB2312" w:hAnsi="仿宋_GB2312" w:eastAsia="仿宋_GB2312" w:cs="仿宋_GB2312"/>
          <w:color w:val="auto"/>
          <w:kern w:val="0"/>
          <w:sz w:val="32"/>
          <w:szCs w:val="24"/>
          <w:lang w:val="en-US" w:eastAsia="zh-CN" w:bidi="ar"/>
        </w:rPr>
        <w:t>主要原因是严格把控三公经费。</w:t>
      </w:r>
      <w:r>
        <w:rPr>
          <w:rFonts w:ascii="方正仿宋_GBK" w:hAnsi="方正仿宋_GBK" w:eastAsia="方正仿宋_GBK" w:cs="方正仿宋_GBK"/>
          <w:sz w:val="32"/>
          <w:szCs w:val="32"/>
          <w:shd w:val="clear" w:color="auto" w:fill="FFFFFF"/>
        </w:rPr>
        <w:t>较上年支出数增加5.34万元，增长78.53%，主要原因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公务车运行维护填报口径调整</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另车辆</w:t>
      </w:r>
      <w:r>
        <w:rPr>
          <w:rFonts w:hint="eastAsia" w:ascii="方正仿宋_GBK" w:hAnsi="方正仿宋_GBK" w:eastAsia="方正仿宋_GBK" w:cs="方正仿宋_GBK"/>
          <w:sz w:val="32"/>
          <w:szCs w:val="32"/>
          <w:shd w:val="clear" w:color="auto" w:fill="FFFFFF"/>
        </w:rPr>
        <w:t>磨损逐年增加，</w:t>
      </w:r>
      <w:r>
        <w:rPr>
          <w:rFonts w:hint="eastAsia" w:ascii="方正仿宋_GBK" w:hAnsi="方正仿宋_GBK" w:eastAsia="方正仿宋_GBK" w:cs="方正仿宋_GBK"/>
          <w:sz w:val="32"/>
          <w:szCs w:val="32"/>
          <w:shd w:val="clear" w:color="auto" w:fill="FFFFFF"/>
          <w:lang w:eastAsia="zh-CN"/>
        </w:rPr>
        <w:t>维修</w:t>
      </w:r>
      <w:r>
        <w:rPr>
          <w:rFonts w:hint="eastAsia" w:ascii="方正仿宋_GBK" w:hAnsi="方正仿宋_GBK" w:eastAsia="方正仿宋_GBK" w:cs="方正仿宋_GBK"/>
          <w:sz w:val="32"/>
          <w:szCs w:val="32"/>
          <w:shd w:val="clear" w:color="auto" w:fill="FFFFFF"/>
        </w:rPr>
        <w:t>费用增加，</w:t>
      </w:r>
      <w:r>
        <w:rPr>
          <w:rFonts w:hint="eastAsia" w:ascii="方正仿宋_GBK" w:hAnsi="方正仿宋_GBK" w:eastAsia="方正仿宋_GBK" w:cs="方正仿宋_GBK"/>
          <w:sz w:val="32"/>
          <w:szCs w:val="32"/>
          <w:shd w:val="clear" w:color="auto" w:fill="FFFFFF"/>
          <w:lang w:val="en-US" w:eastAsia="zh-CN"/>
        </w:rPr>
        <w:t>公车运行维护费用增加</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2.85</w:t>
      </w:r>
      <w:r>
        <w:rPr>
          <w:rFonts w:ascii="方正仿宋_GBK" w:hAnsi="方正仿宋_GBK" w:eastAsia="方正仿宋_GBK" w:cs="方正仿宋_GBK"/>
          <w:sz w:val="32"/>
          <w:szCs w:val="32"/>
          <w:shd w:val="clear" w:color="auto" w:fill="FFFFFF"/>
        </w:rPr>
        <w:t>万元，</w:t>
      </w:r>
      <w:r>
        <w:rPr>
          <w:rFonts w:hint="eastAsia" w:ascii="仿宋_GB2312" w:hAnsi="仿宋_GB2312" w:eastAsia="仿宋_GB2312" w:cs="仿宋_GB2312"/>
          <w:color w:val="auto"/>
          <w:kern w:val="0"/>
          <w:sz w:val="32"/>
          <w:szCs w:val="24"/>
          <w:lang w:val="en-US" w:eastAsia="zh-CN" w:bidi="ar"/>
        </w:rPr>
        <w:t>主要用于接待各部门到本单位学习调研各项政府工作，接受相关部门检查指导工作，本单位为发展招商引资等总部经济业务所发生的接待支出。</w:t>
      </w:r>
      <w:r>
        <w:rPr>
          <w:rFonts w:ascii="方正仿宋_GBK" w:hAnsi="方正仿宋_GBK" w:eastAsia="方正仿宋_GBK" w:cs="方正仿宋_GBK"/>
          <w:sz w:val="32"/>
          <w:szCs w:val="32"/>
          <w:shd w:val="clear" w:color="auto" w:fill="FFFFFF"/>
        </w:rPr>
        <w:t>费用支出较年初预算数减少1.25万元，下降30.49%，</w:t>
      </w:r>
      <w:r>
        <w:rPr>
          <w:rFonts w:hint="eastAsia" w:ascii="仿宋_GB2312" w:hAnsi="仿宋_GB2312" w:eastAsia="仿宋_GB2312" w:cs="仿宋_GB2312"/>
          <w:color w:val="auto"/>
          <w:kern w:val="0"/>
          <w:sz w:val="32"/>
          <w:szCs w:val="24"/>
          <w:lang w:val="en-US" w:eastAsia="zh-CN" w:bidi="ar"/>
        </w:rPr>
        <w:t>主要原因是严格控制三公经费。</w:t>
      </w:r>
      <w:r>
        <w:rPr>
          <w:rFonts w:ascii="方正仿宋_GBK" w:hAnsi="方正仿宋_GBK" w:eastAsia="方正仿宋_GBK" w:cs="方正仿宋_GBK"/>
          <w:sz w:val="32"/>
          <w:szCs w:val="32"/>
          <w:shd w:val="clear" w:color="auto" w:fill="FFFFFF"/>
        </w:rPr>
        <w:t>较上年支出数减少0.53万元，下降15.68%，主要原因是</w:t>
      </w:r>
      <w:r>
        <w:rPr>
          <w:rFonts w:hint="eastAsia" w:ascii="仿宋_GB2312" w:hAnsi="仿宋_GB2312" w:eastAsia="仿宋_GB2312" w:cs="仿宋_GB2312"/>
          <w:color w:val="auto"/>
          <w:kern w:val="0"/>
          <w:sz w:val="32"/>
          <w:szCs w:val="24"/>
          <w:lang w:val="en-US" w:eastAsia="zh-CN" w:bidi="ar"/>
        </w:rPr>
        <w:t>厉行节约，线下检查指导工作及招商引资接待减少。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80.06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2.02</w:t>
      </w:r>
      <w:r>
        <w:rPr>
          <w:rFonts w:ascii="方正仿宋_GBK" w:hAnsi="方正仿宋_GBK" w:eastAsia="方正仿宋_GBK" w:cs="方正仿宋_GBK"/>
          <w:sz w:val="32"/>
          <w:szCs w:val="32"/>
          <w:shd w:val="clear" w:color="auto" w:fill="FFFFFF"/>
        </w:rPr>
        <w:t>万元，较上年决算数减少1.21万元，下降37.46%，主要原因是</w:t>
      </w:r>
      <w:r>
        <w:rPr>
          <w:rFonts w:hint="eastAsia" w:ascii="仿宋_GB2312" w:hAnsi="仿宋_GB2312" w:eastAsia="仿宋_GB2312" w:cs="仿宋_GB2312"/>
          <w:color w:val="auto"/>
          <w:kern w:val="0"/>
          <w:sz w:val="32"/>
          <w:szCs w:val="24"/>
          <w:lang w:val="en-US" w:eastAsia="zh-CN" w:bidi="ar"/>
        </w:rPr>
        <w:t>按区级文件要求，减少会议召开次数</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5.47</w:t>
      </w:r>
      <w:r>
        <w:rPr>
          <w:rFonts w:ascii="方正仿宋_GBK" w:hAnsi="方正仿宋_GBK" w:eastAsia="方正仿宋_GBK" w:cs="方正仿宋_GBK"/>
          <w:sz w:val="32"/>
          <w:szCs w:val="32"/>
          <w:shd w:val="clear" w:color="auto" w:fill="FFFFFF"/>
        </w:rPr>
        <w:t>万元，较上年决算数减少1.22万元，下降18.24%，主要原因是</w:t>
      </w:r>
      <w:r>
        <w:rPr>
          <w:rFonts w:hint="eastAsia" w:ascii="方正仿宋_GBK" w:hAnsi="方正仿宋_GBK" w:eastAsia="方正仿宋_GBK" w:cs="方正仿宋_GBK"/>
          <w:sz w:val="32"/>
          <w:szCs w:val="32"/>
          <w:shd w:val="clear" w:color="auto" w:fill="FFFFFF"/>
        </w:rPr>
        <w:t>本年度</w:t>
      </w:r>
      <w:bookmarkStart w:id="0" w:name="_GoBack"/>
      <w:bookmarkEnd w:id="0"/>
      <w:r>
        <w:rPr>
          <w:rFonts w:hint="eastAsia" w:ascii="方正仿宋_GBK" w:hAnsi="方正仿宋_GBK" w:eastAsia="方正仿宋_GBK" w:cs="方正仿宋_GBK"/>
          <w:sz w:val="32"/>
          <w:szCs w:val="32"/>
          <w:shd w:val="clear" w:color="auto" w:fill="FFFFFF"/>
          <w:lang w:eastAsia="zh-CN"/>
        </w:rPr>
        <w:t>厉行节约</w:t>
      </w:r>
      <w:r>
        <w:rPr>
          <w:rFonts w:hint="eastAsia" w:ascii="方正仿宋_GBK" w:hAnsi="方正仿宋_GBK" w:eastAsia="方正仿宋_GBK" w:cs="方正仿宋_GBK"/>
          <w:sz w:val="32"/>
          <w:szCs w:val="32"/>
          <w:shd w:val="clear" w:color="auto" w:fill="FFFFFF"/>
        </w:rPr>
        <w:t>，一些</w:t>
      </w:r>
      <w:r>
        <w:rPr>
          <w:rFonts w:hint="eastAsia" w:ascii="方正仿宋_GBK" w:hAnsi="方正仿宋_GBK" w:eastAsia="方正仿宋_GBK" w:cs="方正仿宋_GBK"/>
          <w:sz w:val="32"/>
          <w:szCs w:val="32"/>
          <w:shd w:val="clear" w:color="auto" w:fill="FFFFFF"/>
          <w:lang w:eastAsia="zh-CN"/>
        </w:rPr>
        <w:t>培训</w:t>
      </w:r>
      <w:r>
        <w:rPr>
          <w:rFonts w:hint="eastAsia" w:ascii="方正仿宋_GBK" w:hAnsi="方正仿宋_GBK" w:eastAsia="方正仿宋_GBK" w:cs="方正仿宋_GBK"/>
          <w:sz w:val="32"/>
          <w:szCs w:val="32"/>
          <w:shd w:val="clear" w:color="auto" w:fill="FFFFFF"/>
        </w:rPr>
        <w:t>改为线上</w:t>
      </w:r>
      <w:r>
        <w:rPr>
          <w:rFonts w:hint="eastAsia" w:ascii="方正仿宋_GBK" w:hAnsi="方正仿宋_GBK" w:eastAsia="方正仿宋_GBK" w:cs="方正仿宋_GBK"/>
          <w:sz w:val="32"/>
          <w:szCs w:val="32"/>
          <w:shd w:val="clear" w:color="auto" w:fill="FFFFFF"/>
          <w:lang w:eastAsia="zh-CN"/>
        </w:rPr>
        <w:t>培训</w:t>
      </w:r>
      <w:r>
        <w:rPr>
          <w:rFonts w:hint="eastAsia" w:ascii="方正仿宋_GBK" w:hAnsi="方正仿宋_GBK" w:eastAsia="方正仿宋_GBK" w:cs="方正仿宋_GBK"/>
          <w:sz w:val="32"/>
          <w:szCs w:val="32"/>
          <w:shd w:val="clear" w:color="auto" w:fill="FFFFFF"/>
        </w:rPr>
        <w:t>，减少开支</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机关运行经费</w:t>
      </w:r>
      <w:r>
        <w:rPr>
          <w:rFonts w:hint="eastAsia" w:ascii="仿宋_GB2312" w:hAnsi="仿宋_GB2312" w:eastAsia="仿宋_GB2312" w:cs="仿宋_GB2312"/>
          <w:color w:val="auto"/>
          <w:kern w:val="0"/>
          <w:sz w:val="32"/>
          <w:szCs w:val="24"/>
          <w:lang w:val="en-US" w:eastAsia="zh-CN" w:bidi="ar"/>
        </w:rPr>
        <w:t>主要用于开支主要用于购买货物和服务等的各项公用经费，包括办公及印刷费、邮电费、差旅费、会议费、福利费、日常维护费、专用材料及一般设备购置费、办公用房水电费、公务用车运行维护费以及其他费用等。</w:t>
      </w:r>
      <w:r>
        <w:rPr>
          <w:rFonts w:ascii="方正仿宋_GBK" w:hAnsi="方正仿宋_GBK" w:eastAsia="方正仿宋_GBK" w:cs="方正仿宋_GBK"/>
          <w:sz w:val="32"/>
          <w:szCs w:val="32"/>
          <w:shd w:val="clear" w:color="auto" w:fill="FFFFFF"/>
        </w:rPr>
        <w:t>机关运行经费较上年支出数增加103.67万元，增长63.78%，主要原因是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公益性岗位人员增加</w:t>
      </w:r>
      <w:r>
        <w:rPr>
          <w:rFonts w:hint="eastAsia" w:ascii="方正仿宋_GBK" w:hAnsi="方正仿宋_GBK" w:eastAsia="方正仿宋_GBK" w:cs="方正仿宋_GBK"/>
          <w:sz w:val="32"/>
          <w:szCs w:val="32"/>
          <w:shd w:val="clear" w:color="auto" w:fill="FFFFFF"/>
        </w:rPr>
        <w:t>，对机关</w:t>
      </w:r>
      <w:r>
        <w:rPr>
          <w:rFonts w:hint="eastAsia" w:ascii="方正仿宋_GBK" w:hAnsi="方正仿宋_GBK" w:eastAsia="方正仿宋_GBK" w:cs="方正仿宋_GBK"/>
          <w:sz w:val="32"/>
          <w:szCs w:val="32"/>
          <w:shd w:val="clear" w:color="auto" w:fill="FFFFFF"/>
          <w:lang w:eastAsia="zh-CN"/>
        </w:rPr>
        <w:t>办公大楼等</w:t>
      </w:r>
      <w:r>
        <w:rPr>
          <w:rFonts w:hint="eastAsia" w:ascii="方正仿宋_GBK" w:hAnsi="方正仿宋_GBK" w:eastAsia="方正仿宋_GBK" w:cs="方正仿宋_GBK"/>
          <w:sz w:val="32"/>
          <w:szCs w:val="32"/>
          <w:shd w:val="clear" w:color="auto" w:fill="FFFFFF"/>
        </w:rPr>
        <w:t>老旧设施进行维护维修，运行经费增加</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6.08万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rPr>
        <w:t>采购电脑设备、打印机、桌椅</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文件柜</w:t>
      </w:r>
      <w:r>
        <w:rPr>
          <w:rFonts w:hint="eastAsia" w:ascii="方正仿宋_GBK" w:hAnsi="方正仿宋_GBK" w:eastAsia="方正仿宋_GBK" w:cs="方正仿宋_GBK"/>
          <w:sz w:val="32"/>
          <w:szCs w:val="32"/>
          <w:shd w:val="clear" w:color="auto" w:fill="FFFFFF"/>
        </w:rPr>
        <w:t>等办公用品</w:t>
      </w:r>
      <w:r>
        <w:rPr>
          <w:rFonts w:hint="eastAsia" w:ascii="方正仿宋_GBK" w:hAnsi="方正仿宋_GBK" w:eastAsia="方正仿宋_GBK" w:cs="方正仿宋_GBK"/>
          <w:sz w:val="32"/>
          <w:szCs w:val="32"/>
          <w:shd w:val="clear" w:color="auto" w:fill="FFFFFF"/>
          <w:lang w:eastAsia="zh-CN"/>
        </w:rPr>
        <w:t>。</w:t>
      </w:r>
    </w:p>
    <w:p>
      <w:pPr>
        <w:pStyle w:val="6"/>
        <w:numPr>
          <w:ilvl w:val="0"/>
          <w:numId w:val="3"/>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53</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3817.39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项目支出绩效自评表详见附件2</w:t>
      </w:r>
      <w:r>
        <w:rPr>
          <w:rFonts w:hint="eastAsia" w:ascii="方正仿宋_GBK" w:hAnsi="方正仿宋_GBK" w:eastAsia="方正仿宋_GBK" w:cs="方正仿宋_GBK"/>
          <w:sz w:val="32"/>
          <w:szCs w:val="32"/>
          <w:shd w:val="clear" w:color="auto" w:fill="FFFFFF"/>
          <w:lang w:eastAsia="zh-CN"/>
        </w:rPr>
        <w:t>）</w:t>
      </w:r>
    </w:p>
    <w:p>
      <w:pPr>
        <w:pStyle w:val="12"/>
        <w:autoSpaceDE w:val="0"/>
        <w:spacing w:before="0" w:beforeAutospacing="0" w:line="600" w:lineRule="exact"/>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部门整体绩效自评表：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4"/>
        <w:gridCol w:w="902"/>
        <w:gridCol w:w="900"/>
        <w:gridCol w:w="779"/>
        <w:gridCol w:w="618"/>
        <w:gridCol w:w="737"/>
        <w:gridCol w:w="739"/>
        <w:gridCol w:w="737"/>
        <w:gridCol w:w="538"/>
        <w:gridCol w:w="699"/>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重庆市荣昌区古昌镇人民政府整体自评</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50015300023P000079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915-重庆市荣昌区古昌镇人民政府</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002-预算科</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张雪莉</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81060258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34,604,753.62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53,349,285.96 </w:t>
            </w:r>
          </w:p>
        </w:tc>
        <w:tc>
          <w:tcPr>
            <w:tcW w:w="43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53,349,285.96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34,604,753.62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53,349,285.96 </w:t>
            </w:r>
          </w:p>
        </w:tc>
        <w:tc>
          <w:tcPr>
            <w:tcW w:w="43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53,349,285.96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34,361,553.62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39,864,521.91 </w:t>
            </w:r>
          </w:p>
        </w:tc>
        <w:tc>
          <w:tcPr>
            <w:tcW w:w="43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39,864,521.91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每年经济发展目标，完善农村经营管理。切实加强基层民政、社会事务管理工作，保障民权，维护民力，改善民生，提高群众幸福感。合理乡镇规划，佳达公共基础设施投入力度，乡镇环境卫生不断改善，场镇规范整洁。召开人大会议，管理经费，专款专用，服务群众。行使好执法权，管理好辖区内事务，提高群众满意度。实现零违纪，宣传贯彻好党的方针政策，做好意识形态工作，协调各部门完成每年政府目标。承担辖区内文化建设，组织开展文化活动。发挥政府引领作用，汇聚力量，做好工作。完成退役军人服务站相关事务，搭建政策咨询，帮扶援助，沟通联系，学习交流等活动场所。保障畜牧中心相关事务工作顺利进行。</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0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每年经济发展目标，完善农村经营管理。切实加强基层民政、社会事务管理工作，保障民权，维护民力，改善民生，提高群众幸福感。合理乡镇规划，佳达公共基础设施投入力度，乡镇环境卫生不断改善，场镇规范整洁。召开人大会议，管理经费，专款专用，服务群众。行使好执法权，管理好辖区内事务，提高群众满意度。实现零违纪，宣传贯彻好党的方针政策，做好意识形态工作，协调各部门完成每年政府目标。承担辖区内文化建设，组织开展文化活动。发挥政府引领作用，汇聚力量，做好工作。完成退役军人服务站相关事务，搭建政策咨询，帮扶援助，沟通联系，学习交流等活动场所。保障畜牧中心相关事务工作顺利进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村组道路修建硬化及维护</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惠民惠农政策补贴人数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全年开展业务活动培训次数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引进招商企业</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基础设施工程验收合格率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安全事故隐患处理及时率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项目验收及时率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减少人、畜、作物自然受灾</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经济发展目标完成率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人居环境卫生改善程度</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宣传贯彻党的政策执行率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饮水、道路安全保障率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1"/>
        <w:autoSpaceDE w:val="0"/>
        <w:ind w:firstLine="643"/>
        <w:rPr>
          <w:rFonts w:hint="eastAsia" w:ascii="楷体" w:hAnsi="楷体" w:eastAsia="楷体" w:cs="楷体"/>
          <w:b/>
          <w:bCs/>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市财政局未委托第三方对我部门开展绩效评价。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keepNext w:val="0"/>
        <w:keepLines w:val="0"/>
        <w:pageBreakBefore w:val="0"/>
        <w:kinsoku/>
        <w:wordWrap/>
        <w:overflowPunct/>
        <w:topLinePunct w:val="0"/>
        <w:autoSpaceDE/>
        <w:autoSpaceDN/>
        <w:bidi w:val="0"/>
        <w:adjustRightInd/>
        <w:snapToGrid/>
        <w:spacing w:afterAutospacing="0" w:line="600" w:lineRule="exact"/>
        <w:outlineLvl w:val="9"/>
        <w:rPr>
          <w:rFonts w:hint="default"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本单位决算公开信息反馈和联系方式：</w:t>
      </w:r>
      <w:r>
        <w:rPr>
          <w:rFonts w:hint="eastAsia" w:ascii="仿宋_GB2312" w:hAnsi="仿宋_GB2312" w:eastAsia="仿宋_GB2312" w:cs="仿宋_GB2312"/>
          <w:color w:val="auto"/>
          <w:kern w:val="0"/>
          <w:sz w:val="32"/>
          <w:szCs w:val="24"/>
          <w:lang w:val="en-US" w:eastAsia="zh-CN" w:bidi="ar"/>
        </w:rPr>
        <w:t>顾翩  023-81067061</w:t>
      </w:r>
    </w:p>
    <w:p>
      <w:pPr>
        <w:keepNext w:val="0"/>
        <w:keepLines w:val="0"/>
        <w:pageBreakBefore w:val="0"/>
        <w:kinsoku/>
        <w:wordWrap/>
        <w:overflowPunct/>
        <w:topLinePunct w:val="0"/>
        <w:autoSpaceDE/>
        <w:autoSpaceDN/>
        <w:bidi w:val="0"/>
        <w:adjustRightInd/>
        <w:snapToGrid/>
        <w:spacing w:afterAutospacing="0" w:line="600" w:lineRule="exact"/>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附件：1.重庆市荣昌区古昌镇人民政府2023年度部门决算公开报表</w:t>
      </w:r>
    </w:p>
    <w:p>
      <w:pPr>
        <w:pStyle w:val="11"/>
        <w:autoSpaceDE w:val="0"/>
        <w:ind w:firstLine="960" w:firstLineChars="300"/>
        <w:rPr>
          <w:rFonts w:hint="default" w:ascii="仿宋_GB2312" w:hAnsi="仿宋_GB2312" w:eastAsia="仿宋_GB2312" w:cs="仿宋_GB2312"/>
          <w:color w:val="auto"/>
          <w:kern w:val="0"/>
          <w:sz w:val="32"/>
          <w:szCs w:val="24"/>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auto"/>
          <w:kern w:val="0"/>
          <w:sz w:val="32"/>
          <w:szCs w:val="24"/>
          <w:lang w:val="en-US" w:eastAsia="zh-CN" w:bidi="ar"/>
        </w:rPr>
        <w:t>2.项目支出绩效自评表</w:t>
      </w:r>
    </w:p>
    <w:p>
      <w:pPr>
        <w:rPr>
          <w:rFonts w:hint="default" w:cs="宋体"/>
          <w:sz w:val="21"/>
          <w:szCs w:val="21"/>
        </w:rPr>
      </w:pPr>
    </w:p>
    <w:tbl>
      <w:tblPr>
        <w:tblStyle w:val="7"/>
        <w:tblW w:w="5005" w:type="pct"/>
        <w:tblInd w:w="0" w:type="dxa"/>
        <w:shd w:val="clear" w:color="auto" w:fill="auto"/>
        <w:tblLayout w:type="autofit"/>
        <w:tblCellMar>
          <w:top w:w="0" w:type="dxa"/>
          <w:left w:w="0" w:type="dxa"/>
          <w:bottom w:w="0" w:type="dxa"/>
          <w:right w:w="0" w:type="dxa"/>
        </w:tblCellMar>
      </w:tblPr>
      <w:tblGrid>
        <w:gridCol w:w="3630"/>
        <w:gridCol w:w="1394"/>
        <w:gridCol w:w="3344"/>
        <w:gridCol w:w="2389"/>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公开部门：重庆市荣昌区古昌镇人民政府</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3,981.45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987.66</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1,348.48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81.40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513.52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29.42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302.29</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945.27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417.10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623.78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5,329.93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5,334.93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5,334.93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5,334.93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shd w:val="clear" w:color="auto" w:fill="auto"/>
        <w:tblLayout w:type="fixed"/>
        <w:tblCellMar>
          <w:top w:w="0" w:type="dxa"/>
          <w:left w:w="0" w:type="dxa"/>
          <w:bottom w:w="0" w:type="dxa"/>
          <w:right w:w="0" w:type="dxa"/>
        </w:tblCellMar>
      </w:tblPr>
      <w:tblGrid>
        <w:gridCol w:w="1188"/>
        <w:gridCol w:w="2216"/>
        <w:gridCol w:w="862"/>
        <w:gridCol w:w="862"/>
        <w:gridCol w:w="862"/>
        <w:gridCol w:w="862"/>
        <w:gridCol w:w="955"/>
        <w:gridCol w:w="913"/>
        <w:gridCol w:w="1006"/>
        <w:gridCol w:w="1021"/>
      </w:tblGrid>
      <w:tr>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公开部门：重庆市荣昌区古昌镇人民政府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5,329.93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5,329.93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7"/>
        <w:tblW w:w="5000" w:type="pct"/>
        <w:tblInd w:w="0" w:type="dxa"/>
        <w:shd w:val="clear" w:color="auto" w:fill="auto"/>
        <w:tblLayout w:type="autofit"/>
        <w:tblCellMar>
          <w:top w:w="0" w:type="dxa"/>
          <w:left w:w="0" w:type="dxa"/>
          <w:bottom w:w="0" w:type="dxa"/>
          <w:right w:w="0" w:type="dxa"/>
        </w:tblCellMar>
      </w:tblPr>
      <w:tblGrid>
        <w:gridCol w:w="1637"/>
        <w:gridCol w:w="4630"/>
        <w:gridCol w:w="837"/>
        <w:gridCol w:w="837"/>
        <w:gridCol w:w="837"/>
        <w:gridCol w:w="331"/>
        <w:gridCol w:w="607"/>
        <w:gridCol w:w="1030"/>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重庆市荣昌区古昌镇人民政府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5,334.93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1,623.86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3,711.06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906.01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945.27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shd w:val="clear" w:color="auto" w:fill="auto"/>
        <w:tblLayout w:type="autofit"/>
        <w:tblCellMar>
          <w:top w:w="0" w:type="dxa"/>
          <w:left w:w="0" w:type="dxa"/>
          <w:bottom w:w="0" w:type="dxa"/>
          <w:right w:w="0" w:type="dxa"/>
        </w:tblCellMar>
      </w:tblPr>
      <w:tblGrid>
        <w:gridCol w:w="2550"/>
        <w:gridCol w:w="1264"/>
        <w:gridCol w:w="2730"/>
        <w:gridCol w:w="896"/>
        <w:gridCol w:w="896"/>
        <w:gridCol w:w="897"/>
        <w:gridCol w:w="106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3,981.45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513.52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513.52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23.54</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1,324.94</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5,329.93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5,334.93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3,986.45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5,334.93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5,334.93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3,986.45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010"/>
        <w:gridCol w:w="3630"/>
        <w:gridCol w:w="2031"/>
        <w:gridCol w:w="2032"/>
        <w:gridCol w:w="2043"/>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3,986.45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1,623.86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2,362.59</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231.66</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90"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906.01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709.90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46.10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40.40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40.99</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40.40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40.99</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40.99</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513.52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354.20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159.32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61.26</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52.86</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285.63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285.63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107.69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118.63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63.73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15.71</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59.97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218.78</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59.97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59.97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138.78</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138.78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945.27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285.33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659.94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388.88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285.33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103.55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285.33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73.07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477.96</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244.77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233.19</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417.10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133.25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120.20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283.85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283.85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58.78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58.78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58.78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shd w:val="clear" w:color="auto" w:fill="auto"/>
        <w:tblLayout w:type="fixed"/>
        <w:tblCellMar>
          <w:top w:w="0" w:type="dxa"/>
          <w:left w:w="0" w:type="dxa"/>
          <w:bottom w:w="0" w:type="dxa"/>
          <w:right w:w="0" w:type="dxa"/>
        </w:tblCellMar>
      </w:tblPr>
      <w:tblGrid>
        <w:gridCol w:w="423"/>
        <w:gridCol w:w="1915"/>
        <w:gridCol w:w="962"/>
        <w:gridCol w:w="584"/>
        <w:gridCol w:w="1344"/>
        <w:gridCol w:w="1157"/>
        <w:gridCol w:w="565"/>
        <w:gridCol w:w="2464"/>
        <w:gridCol w:w="1320"/>
      </w:tblGrid>
      <w:tr>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1,288.30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1,346.85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277.01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926"/>
        <w:gridCol w:w="4630"/>
        <w:gridCol w:w="823"/>
        <w:gridCol w:w="837"/>
        <w:gridCol w:w="837"/>
        <w:gridCol w:w="795"/>
        <w:gridCol w:w="868"/>
        <w:gridCol w:w="1030"/>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重庆市荣昌区古昌镇人民政府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421"/>
        <w:gridCol w:w="2309"/>
        <w:gridCol w:w="2233"/>
        <w:gridCol w:w="84"/>
        <w:gridCol w:w="2374"/>
        <w:gridCol w:w="27"/>
        <w:gridCol w:w="2298"/>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shd w:val="clear" w:color="auto" w:fill="auto"/>
        <w:tblLayout w:type="fixed"/>
        <w:tblCellMar>
          <w:top w:w="0" w:type="dxa"/>
          <w:left w:w="0" w:type="dxa"/>
          <w:bottom w:w="0" w:type="dxa"/>
          <w:right w:w="0" w:type="dxa"/>
        </w:tblCellMar>
      </w:tblPr>
      <w:tblGrid>
        <w:gridCol w:w="2911"/>
        <w:gridCol w:w="1563"/>
        <w:gridCol w:w="1526"/>
        <w:gridCol w:w="3256"/>
        <w:gridCol w:w="1490"/>
      </w:tblGrid>
      <w:tr>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重庆市荣昌区古昌镇人民政府</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266.21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14.99</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14.99</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266.21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2.02</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5.47</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023D5322"/>
    <w:multiLevelType w:val="singleLevel"/>
    <w:tmpl w:val="023D5322"/>
    <w:lvl w:ilvl="0" w:tentative="0">
      <w:start w:val="1"/>
      <w:numFmt w:val="decimal"/>
      <w:suff w:val="nothing"/>
      <w:lvlText w:val="（%1）"/>
      <w:lvlJc w:val="left"/>
    </w:lvl>
  </w:abstractNum>
  <w:abstractNum w:abstractNumId="2">
    <w:nsid w:val="6F58BDA6"/>
    <w:multiLevelType w:val="singleLevel"/>
    <w:tmpl w:val="6F58BDA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mZTcxMGE3Y2MxMjg4OTIwNDFlNGRmMmY5MDk0YjEifQ=="/>
  </w:docVars>
  <w:rsids>
    <w:rsidRoot w:val="00B03CCD"/>
    <w:rsid w:val="000D7702"/>
    <w:rsid w:val="00296F49"/>
    <w:rsid w:val="002E5443"/>
    <w:rsid w:val="003A4DB8"/>
    <w:rsid w:val="004C12FF"/>
    <w:rsid w:val="00550ABE"/>
    <w:rsid w:val="005B023C"/>
    <w:rsid w:val="006137D7"/>
    <w:rsid w:val="00634FA8"/>
    <w:rsid w:val="0063613A"/>
    <w:rsid w:val="00792285"/>
    <w:rsid w:val="007A0D2E"/>
    <w:rsid w:val="007A3314"/>
    <w:rsid w:val="007B419D"/>
    <w:rsid w:val="00810F13"/>
    <w:rsid w:val="0093448C"/>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7164D3"/>
    <w:rsid w:val="01F3521E"/>
    <w:rsid w:val="02180F9B"/>
    <w:rsid w:val="038E0AD1"/>
    <w:rsid w:val="03B87EA0"/>
    <w:rsid w:val="03E02733"/>
    <w:rsid w:val="03E3214F"/>
    <w:rsid w:val="044C50BA"/>
    <w:rsid w:val="050C490C"/>
    <w:rsid w:val="05BC6D49"/>
    <w:rsid w:val="06194FF1"/>
    <w:rsid w:val="061C5F6B"/>
    <w:rsid w:val="06A2550B"/>
    <w:rsid w:val="06F80EE2"/>
    <w:rsid w:val="07001CCA"/>
    <w:rsid w:val="074231E7"/>
    <w:rsid w:val="0745077D"/>
    <w:rsid w:val="075678DB"/>
    <w:rsid w:val="079D7CC7"/>
    <w:rsid w:val="07EC17AA"/>
    <w:rsid w:val="08051BCA"/>
    <w:rsid w:val="086C12F4"/>
    <w:rsid w:val="08BA052C"/>
    <w:rsid w:val="08DB07BA"/>
    <w:rsid w:val="0969353F"/>
    <w:rsid w:val="098305D0"/>
    <w:rsid w:val="098A0877"/>
    <w:rsid w:val="0A376674"/>
    <w:rsid w:val="0A514BBA"/>
    <w:rsid w:val="0A5C4B69"/>
    <w:rsid w:val="0A86124A"/>
    <w:rsid w:val="0AB54CC0"/>
    <w:rsid w:val="0B8D2727"/>
    <w:rsid w:val="0B9335CE"/>
    <w:rsid w:val="0C011C27"/>
    <w:rsid w:val="0C7927C4"/>
    <w:rsid w:val="0C9B098C"/>
    <w:rsid w:val="0CB64F89"/>
    <w:rsid w:val="0CCE1629"/>
    <w:rsid w:val="0CEA05CC"/>
    <w:rsid w:val="0D673E11"/>
    <w:rsid w:val="0DDA54E4"/>
    <w:rsid w:val="0DF47F88"/>
    <w:rsid w:val="0E3A5F83"/>
    <w:rsid w:val="0E6B0B0A"/>
    <w:rsid w:val="0E74421A"/>
    <w:rsid w:val="0F836721"/>
    <w:rsid w:val="0FA25D96"/>
    <w:rsid w:val="0FA64078"/>
    <w:rsid w:val="107B59E5"/>
    <w:rsid w:val="10EC0126"/>
    <w:rsid w:val="10F70B9A"/>
    <w:rsid w:val="111445C7"/>
    <w:rsid w:val="114278C6"/>
    <w:rsid w:val="1158083A"/>
    <w:rsid w:val="11643A4B"/>
    <w:rsid w:val="11AD363C"/>
    <w:rsid w:val="11ED0F98"/>
    <w:rsid w:val="11F03528"/>
    <w:rsid w:val="126112E5"/>
    <w:rsid w:val="12C921C4"/>
    <w:rsid w:val="12E22503"/>
    <w:rsid w:val="138403CC"/>
    <w:rsid w:val="13871C70"/>
    <w:rsid w:val="13A03D64"/>
    <w:rsid w:val="13A71CB4"/>
    <w:rsid w:val="13AF1D43"/>
    <w:rsid w:val="13CE1647"/>
    <w:rsid w:val="13D83BE3"/>
    <w:rsid w:val="13FD55AB"/>
    <w:rsid w:val="14200702"/>
    <w:rsid w:val="145F6743"/>
    <w:rsid w:val="160C233B"/>
    <w:rsid w:val="163A6CEE"/>
    <w:rsid w:val="173708E3"/>
    <w:rsid w:val="17B21C5E"/>
    <w:rsid w:val="17C374FC"/>
    <w:rsid w:val="17F408D6"/>
    <w:rsid w:val="189079DC"/>
    <w:rsid w:val="189B0D0B"/>
    <w:rsid w:val="18B43F7C"/>
    <w:rsid w:val="18C14745"/>
    <w:rsid w:val="194A1770"/>
    <w:rsid w:val="198F0ECE"/>
    <w:rsid w:val="19B906A4"/>
    <w:rsid w:val="1B0353F5"/>
    <w:rsid w:val="1B260D9E"/>
    <w:rsid w:val="1B6F15B6"/>
    <w:rsid w:val="1BAA2EDC"/>
    <w:rsid w:val="1C5C0973"/>
    <w:rsid w:val="1CA55E64"/>
    <w:rsid w:val="1CBC781C"/>
    <w:rsid w:val="1CCD74C1"/>
    <w:rsid w:val="1D014A01"/>
    <w:rsid w:val="1D022362"/>
    <w:rsid w:val="1D167981"/>
    <w:rsid w:val="1D1B04B0"/>
    <w:rsid w:val="1DBD6767"/>
    <w:rsid w:val="1DC52125"/>
    <w:rsid w:val="1DD26311"/>
    <w:rsid w:val="1E374ACB"/>
    <w:rsid w:val="1E5E27E3"/>
    <w:rsid w:val="1E6230E8"/>
    <w:rsid w:val="1ECF0A66"/>
    <w:rsid w:val="1EF67CA4"/>
    <w:rsid w:val="1F020D3A"/>
    <w:rsid w:val="1F2C5189"/>
    <w:rsid w:val="1F4B0B02"/>
    <w:rsid w:val="1FBB35CD"/>
    <w:rsid w:val="1FCD26AF"/>
    <w:rsid w:val="1FFB5080"/>
    <w:rsid w:val="201D2D1F"/>
    <w:rsid w:val="20642787"/>
    <w:rsid w:val="21556F04"/>
    <w:rsid w:val="22403BD3"/>
    <w:rsid w:val="227F1A49"/>
    <w:rsid w:val="23A93E49"/>
    <w:rsid w:val="23DA37D9"/>
    <w:rsid w:val="24005700"/>
    <w:rsid w:val="24B92327"/>
    <w:rsid w:val="24C14514"/>
    <w:rsid w:val="2533755C"/>
    <w:rsid w:val="25791755"/>
    <w:rsid w:val="26231AC4"/>
    <w:rsid w:val="26396DF4"/>
    <w:rsid w:val="27167136"/>
    <w:rsid w:val="27B23302"/>
    <w:rsid w:val="29310A5F"/>
    <w:rsid w:val="29C37A35"/>
    <w:rsid w:val="2A076083"/>
    <w:rsid w:val="2A73162E"/>
    <w:rsid w:val="2B167953"/>
    <w:rsid w:val="2B200583"/>
    <w:rsid w:val="2B275DB5"/>
    <w:rsid w:val="2B597189"/>
    <w:rsid w:val="2B8209DE"/>
    <w:rsid w:val="2BDA4850"/>
    <w:rsid w:val="2BF445F8"/>
    <w:rsid w:val="2C1A6E71"/>
    <w:rsid w:val="2C6762A3"/>
    <w:rsid w:val="2CD63174"/>
    <w:rsid w:val="2D04190D"/>
    <w:rsid w:val="2EBF7B3E"/>
    <w:rsid w:val="2EDE1934"/>
    <w:rsid w:val="2FCA4B37"/>
    <w:rsid w:val="2FE029D7"/>
    <w:rsid w:val="2FF06E00"/>
    <w:rsid w:val="30562E26"/>
    <w:rsid w:val="30586FEC"/>
    <w:rsid w:val="306D68F3"/>
    <w:rsid w:val="30EC7046"/>
    <w:rsid w:val="31243117"/>
    <w:rsid w:val="315F0B22"/>
    <w:rsid w:val="319D022C"/>
    <w:rsid w:val="31C90022"/>
    <w:rsid w:val="31D7398C"/>
    <w:rsid w:val="31D84415"/>
    <w:rsid w:val="32285F6F"/>
    <w:rsid w:val="32770556"/>
    <w:rsid w:val="329C0913"/>
    <w:rsid w:val="32A63C5F"/>
    <w:rsid w:val="32AA0460"/>
    <w:rsid w:val="3337290D"/>
    <w:rsid w:val="33E31118"/>
    <w:rsid w:val="33EF7674"/>
    <w:rsid w:val="342D7BC6"/>
    <w:rsid w:val="34F524A5"/>
    <w:rsid w:val="352930DB"/>
    <w:rsid w:val="35573069"/>
    <w:rsid w:val="355F6038"/>
    <w:rsid w:val="358C217E"/>
    <w:rsid w:val="35937598"/>
    <w:rsid w:val="35A80AD9"/>
    <w:rsid w:val="36C9128A"/>
    <w:rsid w:val="372E3953"/>
    <w:rsid w:val="37841E99"/>
    <w:rsid w:val="37BF1123"/>
    <w:rsid w:val="383C3F15"/>
    <w:rsid w:val="38BE4696"/>
    <w:rsid w:val="3939115E"/>
    <w:rsid w:val="396D3762"/>
    <w:rsid w:val="39B82A39"/>
    <w:rsid w:val="39C42CA8"/>
    <w:rsid w:val="39CF35CC"/>
    <w:rsid w:val="39DC4FD6"/>
    <w:rsid w:val="39F03D7A"/>
    <w:rsid w:val="39F33306"/>
    <w:rsid w:val="3A13784F"/>
    <w:rsid w:val="3A2C1C67"/>
    <w:rsid w:val="3B1705E5"/>
    <w:rsid w:val="3B18334B"/>
    <w:rsid w:val="3B36794F"/>
    <w:rsid w:val="3C260DF8"/>
    <w:rsid w:val="3C566AD6"/>
    <w:rsid w:val="3C6A5B02"/>
    <w:rsid w:val="3C717B84"/>
    <w:rsid w:val="3D2757A1"/>
    <w:rsid w:val="3D364D0C"/>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2ED4ACD"/>
    <w:rsid w:val="43307B09"/>
    <w:rsid w:val="438D0E97"/>
    <w:rsid w:val="43BB152F"/>
    <w:rsid w:val="44C37687"/>
    <w:rsid w:val="4585214F"/>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BE06F19"/>
    <w:rsid w:val="4D6B48D1"/>
    <w:rsid w:val="4DAC4ACA"/>
    <w:rsid w:val="4DBE01D2"/>
    <w:rsid w:val="4E9538C3"/>
    <w:rsid w:val="4EFC6D10"/>
    <w:rsid w:val="4F0C6BA3"/>
    <w:rsid w:val="4F10477D"/>
    <w:rsid w:val="4F186D58"/>
    <w:rsid w:val="4FEA65B7"/>
    <w:rsid w:val="50F06B6E"/>
    <w:rsid w:val="52234D33"/>
    <w:rsid w:val="522F6E0C"/>
    <w:rsid w:val="52463BA1"/>
    <w:rsid w:val="525D2E45"/>
    <w:rsid w:val="52F163D4"/>
    <w:rsid w:val="531A2DB4"/>
    <w:rsid w:val="53844B95"/>
    <w:rsid w:val="53C0244D"/>
    <w:rsid w:val="53DD4D4E"/>
    <w:rsid w:val="53E578CE"/>
    <w:rsid w:val="541330F0"/>
    <w:rsid w:val="54272666"/>
    <w:rsid w:val="543B029D"/>
    <w:rsid w:val="54861779"/>
    <w:rsid w:val="54C55BF0"/>
    <w:rsid w:val="552256E1"/>
    <w:rsid w:val="553B55CC"/>
    <w:rsid w:val="554E5773"/>
    <w:rsid w:val="555A3CBC"/>
    <w:rsid w:val="5582012B"/>
    <w:rsid w:val="558E4E05"/>
    <w:rsid w:val="55BE2E85"/>
    <w:rsid w:val="56530F5D"/>
    <w:rsid w:val="567700D3"/>
    <w:rsid w:val="567E1E33"/>
    <w:rsid w:val="56904398"/>
    <w:rsid w:val="56FF7E9E"/>
    <w:rsid w:val="578867FC"/>
    <w:rsid w:val="5842572D"/>
    <w:rsid w:val="58634745"/>
    <w:rsid w:val="59FF0594"/>
    <w:rsid w:val="5A3B59D6"/>
    <w:rsid w:val="5AD134D8"/>
    <w:rsid w:val="5B6503B1"/>
    <w:rsid w:val="5C263CE4"/>
    <w:rsid w:val="5C5D2777"/>
    <w:rsid w:val="5C8209B5"/>
    <w:rsid w:val="5CF66BF3"/>
    <w:rsid w:val="5D290C69"/>
    <w:rsid w:val="5E021A74"/>
    <w:rsid w:val="5F2D4A41"/>
    <w:rsid w:val="605E5D75"/>
    <w:rsid w:val="60C74F6C"/>
    <w:rsid w:val="61025A59"/>
    <w:rsid w:val="613D5BBC"/>
    <w:rsid w:val="61536C39"/>
    <w:rsid w:val="616F59C5"/>
    <w:rsid w:val="620257FB"/>
    <w:rsid w:val="62231B4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455C7"/>
    <w:rsid w:val="66967186"/>
    <w:rsid w:val="66EE5541"/>
    <w:rsid w:val="670313F1"/>
    <w:rsid w:val="676B36AE"/>
    <w:rsid w:val="67924660"/>
    <w:rsid w:val="68407834"/>
    <w:rsid w:val="6883293E"/>
    <w:rsid w:val="688412AD"/>
    <w:rsid w:val="68E30E3E"/>
    <w:rsid w:val="68EB1B71"/>
    <w:rsid w:val="69475C96"/>
    <w:rsid w:val="69DF4E27"/>
    <w:rsid w:val="6A525130"/>
    <w:rsid w:val="6AAD2300"/>
    <w:rsid w:val="6ACE4257"/>
    <w:rsid w:val="6B474EF5"/>
    <w:rsid w:val="6BBF53FD"/>
    <w:rsid w:val="6C560CAE"/>
    <w:rsid w:val="6C576495"/>
    <w:rsid w:val="6C957BD1"/>
    <w:rsid w:val="6D903FF5"/>
    <w:rsid w:val="6DA955B8"/>
    <w:rsid w:val="6DE346AB"/>
    <w:rsid w:val="6DE5391A"/>
    <w:rsid w:val="6ECD2B0B"/>
    <w:rsid w:val="6EFD1324"/>
    <w:rsid w:val="6F5A53AC"/>
    <w:rsid w:val="6FAC003D"/>
    <w:rsid w:val="6FE55E12"/>
    <w:rsid w:val="6FFB2E76"/>
    <w:rsid w:val="708F6F7F"/>
    <w:rsid w:val="70D94BD3"/>
    <w:rsid w:val="71C34D91"/>
    <w:rsid w:val="72DB435C"/>
    <w:rsid w:val="72E2613A"/>
    <w:rsid w:val="72F771F4"/>
    <w:rsid w:val="735D5AE5"/>
    <w:rsid w:val="736650B0"/>
    <w:rsid w:val="73934AD2"/>
    <w:rsid w:val="750837F0"/>
    <w:rsid w:val="754758CF"/>
    <w:rsid w:val="764F62AB"/>
    <w:rsid w:val="765C45EC"/>
    <w:rsid w:val="768A7619"/>
    <w:rsid w:val="77040B96"/>
    <w:rsid w:val="77062316"/>
    <w:rsid w:val="772E1EBA"/>
    <w:rsid w:val="77EB79F7"/>
    <w:rsid w:val="78153B13"/>
    <w:rsid w:val="784819D9"/>
    <w:rsid w:val="794C2DDE"/>
    <w:rsid w:val="796D60A4"/>
    <w:rsid w:val="79A031D5"/>
    <w:rsid w:val="7A1525F7"/>
    <w:rsid w:val="7B420052"/>
    <w:rsid w:val="7B861484"/>
    <w:rsid w:val="7BD06A28"/>
    <w:rsid w:val="7C3A7C0B"/>
    <w:rsid w:val="7C5248E4"/>
    <w:rsid w:val="7C566698"/>
    <w:rsid w:val="7C5866A3"/>
    <w:rsid w:val="7D7406BB"/>
    <w:rsid w:val="7DA578C6"/>
    <w:rsid w:val="7DE94331"/>
    <w:rsid w:val="7E1F3F62"/>
    <w:rsid w:val="7E4108DE"/>
    <w:rsid w:val="7F446A19"/>
    <w:rsid w:val="7F7452B9"/>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15460</Words>
  <Characters>21296</Characters>
  <Lines>194</Lines>
  <Paragraphs>54</Paragraphs>
  <TotalTime>35</TotalTime>
  <ScaleCrop>false</ScaleCrop>
  <LinksUpToDate>false</LinksUpToDate>
  <CharactersWithSpaces>23886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2024-12-04T02:30:22Z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