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重庆市荣昌区古昌镇农业服务中心</w:t>
      </w:r>
      <w:r>
        <w:rPr>
          <w:rFonts w:ascii="方正小标宋_GBK" w:hAnsi="方正小标宋_GBK" w:eastAsia="方正小标宋_GBK" w:cs="方正小标宋_GBK"/>
          <w:sz w:val="36"/>
          <w:szCs w:val="36"/>
          <w:shd w:val="clear" w:color="auto" w:fill="FFFFFF"/>
        </w:rPr>
        <w:t>2023年度决算公开说明</w:t>
      </w:r>
    </w:p>
    <w:p>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8"/>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本单位</w:t>
      </w:r>
      <w:r>
        <w:rPr>
          <w:rFonts w:hint="eastAsia" w:ascii="仿宋_GB2312" w:hAnsi="仿宋_GB2312" w:eastAsia="仿宋_GB2312" w:cs="仿宋_GB2312"/>
          <w:color w:val="auto"/>
          <w:sz w:val="32"/>
        </w:rPr>
        <w:t>为镇政府管理的正科级全额拨款事业单位(公益一类)。宗旨:推广先进农业技术，促进农村发展。主要职责:负责农技、农机、林业、水利水保、水产等方面的重大技术推广、信息服务、资源环境保护、灾害防治、土地规模经营管理、农产品质量安全监管公共服务等工作。负责辖区内的水资源管理、防汛抗旱、农田水利建设和水利科技推广、水文监测、洪旱预警预报等工作;承担农村水利工程建设、管理与运行维护的技术指导;指导农民用水合作组织建设，协调农村涉水事务等工作。</w:t>
      </w:r>
    </w:p>
    <w:p>
      <w:pPr>
        <w:pStyle w:val="8"/>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rPr>
          <w:rFonts w:hint="eastAsia"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从预算单位构成看，纳入本</w:t>
      </w:r>
      <w:r>
        <w:rPr>
          <w:rFonts w:hint="eastAsia" w:ascii="仿宋_GB2312" w:hAnsi="仿宋_GB2312" w:eastAsia="仿宋_GB2312" w:cs="仿宋_GB2312"/>
          <w:color w:val="auto"/>
          <w:sz w:val="32"/>
          <w:lang w:val="en-US" w:eastAsia="zh-CN"/>
        </w:rPr>
        <w:t>单位2023</w:t>
      </w:r>
      <w:r>
        <w:rPr>
          <w:rFonts w:hint="default" w:ascii="仿宋_GB2312" w:hAnsi="仿宋_GB2312" w:eastAsia="仿宋_GB2312" w:cs="仿宋_GB2312"/>
          <w:color w:val="auto"/>
          <w:sz w:val="32"/>
          <w:lang w:val="en-US" w:eastAsia="zh-CN"/>
        </w:rPr>
        <w:t>年度</w:t>
      </w:r>
      <w:r>
        <w:rPr>
          <w:rFonts w:hint="eastAsia" w:ascii="仿宋_GB2312" w:hAnsi="仿宋_GB2312" w:eastAsia="仿宋_GB2312" w:cs="仿宋_GB2312"/>
          <w:color w:val="auto"/>
          <w:sz w:val="32"/>
          <w:lang w:val="en-US" w:eastAsia="zh-CN"/>
        </w:rPr>
        <w:t>决算</w:t>
      </w:r>
      <w:r>
        <w:rPr>
          <w:rFonts w:hint="default" w:ascii="仿宋_GB2312" w:hAnsi="仿宋_GB2312" w:eastAsia="仿宋_GB2312" w:cs="仿宋_GB2312"/>
          <w:color w:val="auto"/>
          <w:sz w:val="32"/>
          <w:lang w:val="en-US" w:eastAsia="zh-CN"/>
        </w:rPr>
        <w:t>编制的二级预算单位主要包括</w:t>
      </w:r>
      <w:r>
        <w:rPr>
          <w:rFonts w:hint="eastAsia" w:ascii="仿宋_GB2312" w:hAnsi="仿宋_GB2312" w:eastAsia="仿宋_GB2312" w:cs="仿宋_GB2312"/>
          <w:color w:val="auto"/>
          <w:sz w:val="32"/>
          <w:lang w:val="en-US" w:eastAsia="zh-CN"/>
        </w:rPr>
        <w:t>重庆市荣昌区古昌镇农业服务中心。</w:t>
      </w: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2023年度收入总计262.63万元，支出总计</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万元。收支较上年决算数增加23.51万元，增长9.83%，主要原因是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人员变动</w:t>
      </w:r>
      <w:r>
        <w:rPr>
          <w:rFonts w:hint="eastAsia" w:ascii="方正仿宋_GBK" w:hAnsi="方正仿宋_GBK" w:eastAsia="方正仿宋_GBK" w:cs="方正仿宋_GBK"/>
          <w:sz w:val="32"/>
          <w:szCs w:val="32"/>
          <w:shd w:val="clear" w:color="auto" w:fill="FFFFFF"/>
        </w:rPr>
        <w:t>，根据工资及五险一金</w:t>
      </w:r>
      <w:r>
        <w:rPr>
          <w:rFonts w:hint="eastAsia" w:ascii="方正仿宋_GBK" w:hAnsi="方正仿宋_GBK" w:eastAsia="方正仿宋_GBK" w:cs="方正仿宋_GBK"/>
          <w:sz w:val="32"/>
          <w:szCs w:val="32"/>
          <w:shd w:val="clear" w:color="auto" w:fill="FFFFFF"/>
          <w:lang w:val="en-US" w:eastAsia="zh-CN"/>
        </w:rPr>
        <w:t>相关</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收支增加。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2023年度收入合计262.63万元，较上年决算数增加23.51万元，增长9.83%，主要原因是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人员变动</w:t>
      </w:r>
      <w:r>
        <w:rPr>
          <w:rFonts w:hint="eastAsia" w:ascii="方正仿宋_GBK" w:hAnsi="方正仿宋_GBK" w:eastAsia="方正仿宋_GBK" w:cs="方正仿宋_GBK"/>
          <w:sz w:val="32"/>
          <w:szCs w:val="32"/>
          <w:shd w:val="clear" w:color="auto" w:fill="FFFFFF"/>
        </w:rPr>
        <w:t>，根据工资及五险一金</w:t>
      </w:r>
      <w:r>
        <w:rPr>
          <w:rFonts w:hint="eastAsia" w:ascii="方正仿宋_GBK" w:hAnsi="方正仿宋_GBK" w:eastAsia="方正仿宋_GBK" w:cs="方正仿宋_GBK"/>
          <w:sz w:val="32"/>
          <w:szCs w:val="32"/>
          <w:shd w:val="clear" w:color="auto" w:fill="FFFFFF"/>
          <w:lang w:val="en-US" w:eastAsia="zh-CN"/>
        </w:rPr>
        <w:t>相关</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财政拨款收入增加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万元，较上年决算数增加23.51万元，增长9.83%，主要原因是主要原因是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人员变动</w:t>
      </w:r>
      <w:r>
        <w:rPr>
          <w:rFonts w:hint="eastAsia" w:ascii="方正仿宋_GBK" w:hAnsi="方正仿宋_GBK" w:eastAsia="方正仿宋_GBK" w:cs="方正仿宋_GBK"/>
          <w:sz w:val="32"/>
          <w:szCs w:val="32"/>
          <w:shd w:val="clear" w:color="auto" w:fill="FFFFFF"/>
        </w:rPr>
        <w:t>，根据工资及五险一金</w:t>
      </w:r>
      <w:r>
        <w:rPr>
          <w:rFonts w:hint="eastAsia" w:ascii="方正仿宋_GBK" w:hAnsi="方正仿宋_GBK" w:eastAsia="方正仿宋_GBK" w:cs="方正仿宋_GBK"/>
          <w:sz w:val="32"/>
          <w:szCs w:val="32"/>
          <w:shd w:val="clear" w:color="auto" w:fill="FFFFFF"/>
          <w:lang w:val="en-US" w:eastAsia="zh-CN"/>
        </w:rPr>
        <w:t>相关</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基本支出增加。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主要原因是本年与上年均无年末结转和结余。</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2023年度财政拨款收、支总计262.63万元。与2022年相比，财政拨款收、支总计各增加23.51万元，增长9.83%。主要原因是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单位人员变动</w:t>
      </w:r>
      <w:r>
        <w:rPr>
          <w:rFonts w:hint="eastAsia" w:ascii="方正仿宋_GBK" w:hAnsi="方正仿宋_GBK" w:eastAsia="方正仿宋_GBK" w:cs="方正仿宋_GBK"/>
          <w:sz w:val="32"/>
          <w:szCs w:val="32"/>
          <w:shd w:val="clear" w:color="auto" w:fill="FFFFFF"/>
        </w:rPr>
        <w:t>，根据工资及五险一金</w:t>
      </w:r>
      <w:r>
        <w:rPr>
          <w:rFonts w:hint="eastAsia" w:ascii="方正仿宋_GBK" w:hAnsi="方正仿宋_GBK" w:eastAsia="方正仿宋_GBK" w:cs="方正仿宋_GBK"/>
          <w:sz w:val="32"/>
          <w:szCs w:val="32"/>
          <w:shd w:val="clear" w:color="auto" w:fill="FFFFFF"/>
          <w:lang w:val="en-US" w:eastAsia="zh-CN"/>
        </w:rPr>
        <w:t>相关</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一般公共预算财政拨款收、支增加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财政拨款收、支较往年增加</w:t>
      </w:r>
      <w:r>
        <w:rPr>
          <w:rFonts w:ascii="方正仿宋_GBK" w:hAnsi="方正仿宋_GBK" w:eastAsia="方正仿宋_GBK" w:cs="方正仿宋_GBK"/>
          <w:sz w:val="32"/>
          <w:szCs w:val="32"/>
          <w:shd w:val="clear" w:color="auto" w:fill="FFFFFF"/>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万元，较上年决算数增加23.51万元，增长9.83%。主要原因是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单位人员变动</w:t>
      </w:r>
      <w:r>
        <w:rPr>
          <w:rFonts w:hint="eastAsia" w:ascii="方正仿宋_GBK" w:hAnsi="方正仿宋_GBK" w:eastAsia="方正仿宋_GBK" w:cs="方正仿宋_GBK"/>
          <w:color w:val="auto"/>
          <w:sz w:val="32"/>
          <w:szCs w:val="32"/>
          <w:shd w:val="clear" w:color="auto" w:fill="FFFFFF"/>
        </w:rPr>
        <w:t>，根据工资及五险一金</w:t>
      </w:r>
      <w:r>
        <w:rPr>
          <w:rFonts w:hint="eastAsia" w:ascii="方正仿宋_GBK" w:hAnsi="方正仿宋_GBK" w:eastAsia="方正仿宋_GBK" w:cs="方正仿宋_GBK"/>
          <w:color w:val="auto"/>
          <w:sz w:val="32"/>
          <w:szCs w:val="32"/>
          <w:shd w:val="clear" w:color="auto" w:fill="FFFFFF"/>
          <w:lang w:val="en-US" w:eastAsia="zh-CN"/>
        </w:rPr>
        <w:t>相关</w:t>
      </w:r>
      <w:r>
        <w:rPr>
          <w:rFonts w:hint="eastAsia" w:ascii="方正仿宋_GBK" w:hAnsi="方正仿宋_GBK" w:eastAsia="方正仿宋_GBK" w:cs="方正仿宋_GBK"/>
          <w:color w:val="auto"/>
          <w:sz w:val="32"/>
          <w:szCs w:val="32"/>
          <w:shd w:val="clear" w:color="auto" w:fill="FFFFFF"/>
        </w:rPr>
        <w:t>文件调整</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一般公共预算财政拨款收、支增加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较年初预算数减少7.85万元，下降2.90%。主要原因是</w:t>
      </w:r>
      <w:r>
        <w:rPr>
          <w:rFonts w:hint="eastAsia" w:ascii="方正仿宋_GBK" w:hAnsi="方正仿宋_GBK" w:eastAsia="方正仿宋_GBK" w:cs="方正仿宋_GBK"/>
          <w:color w:val="auto"/>
          <w:sz w:val="32"/>
          <w:szCs w:val="32"/>
          <w:shd w:val="clear" w:color="auto" w:fill="FFFFFF"/>
        </w:rPr>
        <w:t>本年度本单位厉行节约，</w:t>
      </w:r>
      <w:r>
        <w:rPr>
          <w:rFonts w:hint="eastAsia" w:ascii="方正仿宋_GBK" w:hAnsi="方正仿宋_GBK" w:eastAsia="方正仿宋_GBK" w:cs="方正仿宋_GBK"/>
          <w:color w:val="auto"/>
          <w:sz w:val="32"/>
          <w:szCs w:val="32"/>
          <w:shd w:val="clear" w:color="auto" w:fill="FFFFFF"/>
          <w:lang w:val="en-US" w:eastAsia="zh-CN"/>
        </w:rPr>
        <w:t>一般公共预算财政拨款收入较</w:t>
      </w:r>
      <w:r>
        <w:rPr>
          <w:rFonts w:hint="eastAsia" w:ascii="方正仿宋_GBK" w:hAnsi="方正仿宋_GBK" w:eastAsia="方正仿宋_GBK" w:cs="方正仿宋_GBK"/>
          <w:color w:val="auto"/>
          <w:sz w:val="32"/>
          <w:szCs w:val="32"/>
          <w:shd w:val="clear" w:color="auto" w:fill="FFFFFF"/>
        </w:rPr>
        <w:t>年初预算数减少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万元，较上年决算数增加23.51万元，增长9.83%。主要原因是</w:t>
      </w:r>
      <w:r>
        <w:rPr>
          <w:rFonts w:hint="eastAsia" w:ascii="方正仿宋_GBK" w:hAnsi="方正仿宋_GBK" w:eastAsia="方正仿宋_GBK" w:cs="方正仿宋_GBK"/>
          <w:color w:val="auto"/>
          <w:sz w:val="32"/>
          <w:szCs w:val="32"/>
          <w:shd w:val="clear" w:color="auto" w:fill="FFFFFF"/>
        </w:rPr>
        <w:t>本年度</w:t>
      </w:r>
      <w:r>
        <w:rPr>
          <w:rFonts w:hint="eastAsia" w:ascii="方正仿宋_GBK" w:hAnsi="方正仿宋_GBK" w:eastAsia="方正仿宋_GBK" w:cs="方正仿宋_GBK"/>
          <w:color w:val="auto"/>
          <w:sz w:val="32"/>
          <w:szCs w:val="32"/>
          <w:shd w:val="clear" w:color="auto" w:fill="FFFFFF"/>
          <w:lang w:val="en-US" w:eastAsia="zh-CN"/>
        </w:rPr>
        <w:t>单位新进人员变动</w:t>
      </w:r>
      <w:r>
        <w:rPr>
          <w:rFonts w:hint="eastAsia" w:ascii="方正仿宋_GBK" w:hAnsi="方正仿宋_GBK" w:eastAsia="方正仿宋_GBK" w:cs="方正仿宋_GBK"/>
          <w:color w:val="auto"/>
          <w:sz w:val="32"/>
          <w:szCs w:val="32"/>
          <w:shd w:val="clear" w:color="auto" w:fill="FFFFFF"/>
        </w:rPr>
        <w:t>，根据工资及五险一金</w:t>
      </w:r>
      <w:r>
        <w:rPr>
          <w:rFonts w:hint="eastAsia" w:ascii="方正仿宋_GBK" w:hAnsi="方正仿宋_GBK" w:eastAsia="方正仿宋_GBK" w:cs="方正仿宋_GBK"/>
          <w:color w:val="auto"/>
          <w:sz w:val="32"/>
          <w:szCs w:val="32"/>
          <w:shd w:val="clear" w:color="auto" w:fill="FFFFFF"/>
          <w:lang w:val="en-US" w:eastAsia="zh-CN"/>
        </w:rPr>
        <w:t>相关</w:t>
      </w:r>
      <w:r>
        <w:rPr>
          <w:rFonts w:hint="eastAsia" w:ascii="方正仿宋_GBK" w:hAnsi="方正仿宋_GBK" w:eastAsia="方正仿宋_GBK" w:cs="方正仿宋_GBK"/>
          <w:color w:val="auto"/>
          <w:sz w:val="32"/>
          <w:szCs w:val="32"/>
          <w:shd w:val="clear" w:color="auto" w:fill="FFFFFF"/>
        </w:rPr>
        <w:t>文件调整</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一般公共预算财政拨款支出</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较年初预算数减少7.85万元，下降2.90%。主要原因是</w:t>
      </w:r>
      <w:r>
        <w:rPr>
          <w:rFonts w:hint="eastAsia" w:ascii="方正仿宋_GBK" w:hAnsi="方正仿宋_GBK" w:eastAsia="方正仿宋_GBK" w:cs="方正仿宋_GBK"/>
          <w:color w:val="auto"/>
          <w:sz w:val="32"/>
          <w:szCs w:val="32"/>
          <w:shd w:val="clear" w:color="auto" w:fill="FFFFFF"/>
        </w:rPr>
        <w:t>本年度本单位厉行节约，</w:t>
      </w:r>
      <w:r>
        <w:rPr>
          <w:rFonts w:hint="eastAsia" w:ascii="方正仿宋_GBK" w:hAnsi="方正仿宋_GBK" w:eastAsia="方正仿宋_GBK" w:cs="方正仿宋_GBK"/>
          <w:color w:val="auto"/>
          <w:sz w:val="32"/>
          <w:szCs w:val="32"/>
          <w:shd w:val="clear" w:color="auto" w:fill="FFFFFF"/>
          <w:lang w:val="en-US" w:eastAsia="zh-CN"/>
        </w:rPr>
        <w:t>一般公共预算财政拨款支出较</w:t>
      </w:r>
      <w:r>
        <w:rPr>
          <w:rFonts w:hint="eastAsia" w:ascii="方正仿宋_GBK" w:hAnsi="方正仿宋_GBK" w:eastAsia="方正仿宋_GBK" w:cs="方正仿宋_GBK"/>
          <w:color w:val="auto"/>
          <w:sz w:val="32"/>
          <w:szCs w:val="32"/>
          <w:shd w:val="clear" w:color="auto" w:fill="FFFFFF"/>
        </w:rPr>
        <w:t>年初预算数减少</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主要原因是本年与上年均无年末结转和结余。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20.30</w:t>
      </w:r>
      <w:r>
        <w:rPr>
          <w:rFonts w:ascii="方正仿宋_GBK" w:hAnsi="方正仿宋_GBK" w:eastAsia="方正仿宋_GBK" w:cs="方正仿宋_GBK"/>
          <w:sz w:val="32"/>
          <w:szCs w:val="32"/>
          <w:shd w:val="clear" w:color="auto" w:fill="FFFFFF"/>
        </w:rPr>
        <w:t>%，较年初预算数减少4.31万元，下降7.48%，主要原因是</w:t>
      </w:r>
      <w:r>
        <w:rPr>
          <w:rFonts w:hint="eastAsia" w:ascii="方正仿宋_GBK" w:hAnsi="方正仿宋_GBK" w:eastAsia="方正仿宋_GBK" w:cs="方正仿宋_GBK"/>
          <w:sz w:val="32"/>
          <w:szCs w:val="32"/>
          <w:shd w:val="clear" w:color="auto" w:fill="FFFFFF"/>
          <w:lang w:val="en-US" w:eastAsia="zh-CN"/>
        </w:rPr>
        <w:t>单位人员变动，本年职业年金和基本养老保险减少。</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4.59</w:t>
      </w:r>
      <w:r>
        <w:rPr>
          <w:rFonts w:ascii="方正仿宋_GBK" w:hAnsi="方正仿宋_GBK" w:eastAsia="方正仿宋_GBK" w:cs="方正仿宋_GBK"/>
          <w:sz w:val="32"/>
          <w:szCs w:val="32"/>
          <w:shd w:val="clear" w:color="auto" w:fill="FFFFFF"/>
        </w:rPr>
        <w:t>%，较年初预算数减少0.91万元，下降7.03%，主要原因是</w:t>
      </w:r>
      <w:r>
        <w:rPr>
          <w:rFonts w:hint="eastAsia" w:ascii="方正仿宋_GBK" w:hAnsi="方正仿宋_GBK" w:eastAsia="方正仿宋_GBK" w:cs="方正仿宋_GBK"/>
          <w:sz w:val="32"/>
          <w:szCs w:val="32"/>
          <w:shd w:val="clear" w:color="auto" w:fill="FFFFFF"/>
          <w:lang w:val="en-US" w:eastAsia="zh-CN"/>
        </w:rPr>
        <w:t>基本养老保险和在职医保垫底资金减少</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184.03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70.07</w:t>
      </w:r>
      <w:r>
        <w:rPr>
          <w:rFonts w:ascii="方正仿宋_GBK" w:hAnsi="方正仿宋_GBK" w:eastAsia="方正仿宋_GBK" w:cs="方正仿宋_GBK"/>
          <w:sz w:val="32"/>
          <w:szCs w:val="32"/>
          <w:shd w:val="clear" w:color="auto" w:fill="FFFFFF"/>
        </w:rPr>
        <w:t>%，较年初预算数减少2.63万元，下降1.41%，主要原因是</w:t>
      </w:r>
      <w:r>
        <w:rPr>
          <w:rFonts w:hint="eastAsia" w:ascii="方正仿宋_GBK" w:hAnsi="方正仿宋_GBK" w:eastAsia="方正仿宋_GBK" w:cs="方正仿宋_GBK"/>
          <w:color w:val="auto"/>
          <w:sz w:val="32"/>
          <w:szCs w:val="32"/>
          <w:shd w:val="clear" w:color="auto" w:fill="FFFFFF"/>
          <w:lang w:val="en-US" w:eastAsia="zh-CN"/>
        </w:rPr>
        <w:t>本年度人员变动，基本工资、绩效工资及失业保险、工伤保险，未休假补贴等支出减少</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住房保障支出13.24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与年初预算数一致，主要原因是本年公积金支出与预算一致。</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262.63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257.00</w:t>
      </w:r>
      <w:r>
        <w:rPr>
          <w:rFonts w:ascii="方正仿宋_GBK" w:hAnsi="方正仿宋_GBK" w:eastAsia="方正仿宋_GBK" w:cs="方正仿宋_GBK"/>
          <w:sz w:val="32"/>
          <w:szCs w:val="32"/>
          <w:shd w:val="clear" w:color="auto" w:fill="FFFFFF"/>
        </w:rPr>
        <w:t>万元，较上年决算数增加27.50万元，增长11.98%，主要原因是</w:t>
      </w:r>
      <w:r>
        <w:rPr>
          <w:rFonts w:hint="eastAsia" w:ascii="方正仿宋_GBK" w:hAnsi="方正仿宋_GBK" w:eastAsia="方正仿宋_GBK" w:cs="方正仿宋_GBK"/>
          <w:sz w:val="32"/>
          <w:szCs w:val="32"/>
          <w:shd w:val="clear" w:color="auto" w:fill="FFFFFF"/>
          <w:lang w:val="en-US" w:eastAsia="zh-CN"/>
        </w:rPr>
        <w:t>本单位本年度新增人员，根据工资及五险一金文件调整，人员经费较往年增加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基本工资、津贴补贴、绩效工资、社会保障缴费、年终绩效考核、公休未休补助</w:t>
      </w:r>
      <w:r>
        <w:rPr>
          <w:rFonts w:ascii="方正仿宋_GBK" w:hAnsi="方正仿宋_GBK" w:eastAsia="方正仿宋_GBK" w:cs="方正仿宋_GBK"/>
          <w:sz w:val="32"/>
          <w:szCs w:val="32"/>
          <w:shd w:val="clear" w:color="auto" w:fill="FFFFFF"/>
        </w:rPr>
        <w:t>。公用经费5.63万元，较上年决算数减少3.99万元，下降41.48%，主要原因是</w:t>
      </w:r>
      <w:r>
        <w:rPr>
          <w:rFonts w:hint="eastAsia" w:ascii="方正仿宋_GBK" w:hAnsi="方正仿宋_GBK" w:eastAsia="方正仿宋_GBK" w:cs="方正仿宋_GBK"/>
          <w:sz w:val="32"/>
          <w:szCs w:val="32"/>
          <w:shd w:val="clear" w:color="auto" w:fill="FFFFFF"/>
          <w:lang w:val="en-US" w:eastAsia="zh-CN"/>
        </w:rPr>
        <w:t>本年本单位积极响应国家号召，厉行节约，合理削减公用经费</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办公经费，劳务费，差旅费，培训费，维修费，邮电费等支出。</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3"/>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本单位2023年度无政府性基金预算财政拨款收支。</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本单位2023年度无国有资本经营预算财政拨款支出。</w:t>
      </w:r>
    </w:p>
    <w:p>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主要原因是本单位2023年度未发生“三公”经费支出</w:t>
      </w:r>
      <w:r>
        <w:rPr>
          <w:rFonts w:ascii="方正仿宋_GBK" w:hAnsi="方正仿宋_GBK" w:eastAsia="方正仿宋_GBK" w:cs="方正仿宋_GBK"/>
          <w:color w:val="FF0000"/>
          <w:sz w:val="32"/>
          <w:szCs w:val="32"/>
          <w:shd w:val="clear" w:color="auto" w:fill="FFFFFF"/>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主要原因是本单位2023年度未发生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主要原因是本单位2023年度未发生</w:t>
      </w:r>
      <w:r>
        <w:rPr>
          <w:rFonts w:ascii="方正仿宋_GBK" w:hAnsi="方正仿宋_GBK" w:eastAsia="方正仿宋_GBK" w:cs="方正仿宋_GBK"/>
          <w:sz w:val="32"/>
          <w:szCs w:val="32"/>
          <w:shd w:val="clear" w:color="auto" w:fill="FFFFFF"/>
        </w:rPr>
        <w:t>公务车购置费。</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主要原因是本单位2023年度未发生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仿宋_GB2312" w:hAnsi="仿宋_GB2312" w:eastAsia="仿宋_GB2312" w:cs="仿宋_GB2312"/>
          <w:color w:val="auto"/>
          <w:kern w:val="0"/>
          <w:sz w:val="32"/>
          <w:szCs w:val="24"/>
          <w:lang w:val="en-US" w:eastAsia="zh-CN" w:bidi="ar"/>
        </w:rPr>
        <w:t>本单位2023年度未发生会议费支出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0.58</w:t>
      </w:r>
      <w:r>
        <w:rPr>
          <w:rFonts w:ascii="方正仿宋_GBK" w:hAnsi="方正仿宋_GBK" w:eastAsia="方正仿宋_GBK" w:cs="方正仿宋_GBK"/>
          <w:sz w:val="32"/>
          <w:szCs w:val="32"/>
          <w:shd w:val="clear" w:color="auto" w:fill="FFFFFF"/>
        </w:rPr>
        <w:t>万元，较上年决算数增加0.34万元，增长141.67%，主要</w:t>
      </w:r>
      <w:bookmarkStart w:id="0" w:name="_GoBack"/>
      <w:bookmarkEnd w:id="0"/>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2022年度受</w:t>
      </w:r>
      <w:r>
        <w:rPr>
          <w:rFonts w:hint="eastAsia" w:ascii="方正仿宋_GBK" w:hAnsi="方正仿宋_GBK" w:eastAsia="方正仿宋_GBK" w:cs="方正仿宋_GBK"/>
          <w:sz w:val="32"/>
          <w:szCs w:val="32"/>
          <w:shd w:val="clear" w:color="auto" w:fill="FFFFFF"/>
        </w:rPr>
        <w:t>疫情影响培训减少，本年度培训</w:t>
      </w:r>
      <w:r>
        <w:rPr>
          <w:rFonts w:hint="eastAsia" w:ascii="方正仿宋_GBK" w:hAnsi="方正仿宋_GBK" w:eastAsia="方正仿宋_GBK" w:cs="方正仿宋_GBK"/>
          <w:sz w:val="32"/>
          <w:szCs w:val="32"/>
          <w:shd w:val="clear" w:color="auto" w:fill="FFFFFF"/>
          <w:lang w:val="en-US" w:eastAsia="zh-CN"/>
        </w:rPr>
        <w:t>费比上年合理</w:t>
      </w:r>
      <w:r>
        <w:rPr>
          <w:rFonts w:hint="eastAsia"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3"/>
        <w:autoSpaceDE w:val="0"/>
        <w:ind w:firstLine="643"/>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600" w:lineRule="exact"/>
        <w:ind w:firstLine="960" w:firstLineChars="3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2023年度我单位未发生政府采购事项，无相关经费支出。</w:t>
      </w:r>
    </w:p>
    <w:p>
      <w:pPr>
        <w:pStyle w:val="8"/>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0个</w:t>
      </w:r>
      <w:r>
        <w:rPr>
          <w:rFonts w:hint="eastAsia" w:ascii="方正仿宋_GBK" w:hAnsi="方正仿宋_GBK" w:eastAsia="方正仿宋_GBK" w:cs="方正仿宋_GBK"/>
          <w:sz w:val="32"/>
          <w:szCs w:val="32"/>
          <w:shd w:val="clear" w:color="auto" w:fill="FFFFFF"/>
        </w:rPr>
        <w:t>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8"/>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顾翩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81067061</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附件:1、重庆市荣昌区古昌镇农业服务中心2023年度部门决算公开报表</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cs="宋体"/>
          <w:sz w:val="21"/>
          <w:szCs w:val="21"/>
        </w:rPr>
      </w:pPr>
    </w:p>
    <w:p>
      <w:pPr>
        <w:pStyle w:val="2"/>
        <w:rPr>
          <w:rFonts w:hint="default" w:cs="宋体"/>
          <w:sz w:val="21"/>
          <w:szCs w:val="21"/>
        </w:rPr>
      </w:pPr>
    </w:p>
    <w:p>
      <w:pPr>
        <w:rPr>
          <w:rFonts w:hint="default"/>
        </w:rPr>
      </w:pPr>
    </w:p>
    <w:p>
      <w:pPr>
        <w:rPr>
          <w:rFonts w:hint="default" w:cs="宋体"/>
          <w:sz w:val="21"/>
          <w:szCs w:val="21"/>
        </w:rPr>
      </w:pPr>
    </w:p>
    <w:p>
      <w:pPr>
        <w:pStyle w:val="2"/>
        <w:rPr>
          <w:rFonts w:hint="default" w:cs="宋体"/>
          <w:sz w:val="21"/>
          <w:szCs w:val="21"/>
        </w:rPr>
      </w:pPr>
    </w:p>
    <w:p>
      <w:pPr>
        <w:rPr>
          <w:rFonts w:hint="default"/>
        </w:rPr>
      </w:pPr>
    </w:p>
    <w:p>
      <w:pPr>
        <w:rPr>
          <w:rFonts w:hint="default" w:cs="宋体"/>
          <w:sz w:val="21"/>
          <w:szCs w:val="21"/>
        </w:rPr>
      </w:pPr>
    </w:p>
    <w:tbl>
      <w:tblPr>
        <w:tblStyle w:val="9"/>
        <w:tblW w:w="5005" w:type="pct"/>
        <w:tblInd w:w="0" w:type="dxa"/>
        <w:shd w:val="clear" w:color="auto" w:fill="auto"/>
        <w:tblLayout w:type="autofit"/>
        <w:tblCellMar>
          <w:top w:w="0" w:type="dxa"/>
          <w:left w:w="0" w:type="dxa"/>
          <w:bottom w:w="0" w:type="dxa"/>
          <w:right w:w="0" w:type="dxa"/>
        </w:tblCellMar>
      </w:tblPr>
      <w:tblGrid>
        <w:gridCol w:w="4030"/>
        <w:gridCol w:w="1275"/>
        <w:gridCol w:w="3234"/>
        <w:gridCol w:w="2275"/>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重庆市荣昌区古昌镇农业服务中心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53.32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12.04</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184.03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shd w:val="clear" w:color="auto" w:fill="auto"/>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重庆市荣昌区古昌镇农业服务中心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262.63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262.63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37"/>
        <w:gridCol w:w="3230"/>
        <w:gridCol w:w="985"/>
        <w:gridCol w:w="985"/>
        <w:gridCol w:w="986"/>
        <w:gridCol w:w="975"/>
        <w:gridCol w:w="975"/>
        <w:gridCol w:w="1030"/>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重庆市荣昌区古昌镇农业服务中心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262.63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262.63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shd w:val="clear" w:color="auto" w:fill="auto"/>
        <w:tblLayout w:type="autofit"/>
        <w:tblCellMar>
          <w:top w:w="0" w:type="dxa"/>
          <w:left w:w="0" w:type="dxa"/>
          <w:bottom w:w="0" w:type="dxa"/>
          <w:right w:w="0" w:type="dxa"/>
        </w:tblCellMar>
      </w:tblPr>
      <w:tblGrid>
        <w:gridCol w:w="2731"/>
        <w:gridCol w:w="1399"/>
        <w:gridCol w:w="2730"/>
        <w:gridCol w:w="819"/>
        <w:gridCol w:w="820"/>
        <w:gridCol w:w="820"/>
        <w:gridCol w:w="103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重庆市荣昌区古昌镇农业服务中心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419"/>
        <w:gridCol w:w="3230"/>
        <w:gridCol w:w="2047"/>
        <w:gridCol w:w="2048"/>
        <w:gridCol w:w="2059"/>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262.63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53.32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184.03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184.03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184.03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088"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重庆市荣昌区古昌镇农业服务中心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088"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246.16</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58.96</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109.19</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16.19</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25.66</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8.60</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10.85</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257.00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550"/>
        <w:gridCol w:w="2580"/>
        <w:gridCol w:w="1089"/>
        <w:gridCol w:w="1089"/>
        <w:gridCol w:w="1089"/>
        <w:gridCol w:w="1089"/>
        <w:gridCol w:w="1136"/>
        <w:gridCol w:w="1181"/>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573"/>
        <w:gridCol w:w="2557"/>
        <w:gridCol w:w="2169"/>
        <w:gridCol w:w="71"/>
        <w:gridCol w:w="2247"/>
        <w:gridCol w:w="28"/>
        <w:gridCol w:w="2158"/>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重庆市荣昌区古昌镇农业服务中心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重庆市荣昌区古昌镇农业服务中心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0.58</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2B254B"/>
    <w:rsid w:val="002C71AA"/>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49235C"/>
    <w:rsid w:val="0B9335CE"/>
    <w:rsid w:val="0BF2311A"/>
    <w:rsid w:val="0C1E7A83"/>
    <w:rsid w:val="0C7927C4"/>
    <w:rsid w:val="0C9B098C"/>
    <w:rsid w:val="0D673E11"/>
    <w:rsid w:val="0DDA54E4"/>
    <w:rsid w:val="0E3A5F83"/>
    <w:rsid w:val="0F836721"/>
    <w:rsid w:val="0FA25D96"/>
    <w:rsid w:val="106B1670"/>
    <w:rsid w:val="107B59E5"/>
    <w:rsid w:val="10EC0126"/>
    <w:rsid w:val="10F70B9A"/>
    <w:rsid w:val="111445C7"/>
    <w:rsid w:val="114278C6"/>
    <w:rsid w:val="1158083A"/>
    <w:rsid w:val="11643A4B"/>
    <w:rsid w:val="117C585D"/>
    <w:rsid w:val="11ED0F98"/>
    <w:rsid w:val="11F03528"/>
    <w:rsid w:val="12C921C4"/>
    <w:rsid w:val="13871C70"/>
    <w:rsid w:val="13A71CB4"/>
    <w:rsid w:val="13AF1D43"/>
    <w:rsid w:val="13CE1647"/>
    <w:rsid w:val="13FD55AB"/>
    <w:rsid w:val="14200702"/>
    <w:rsid w:val="163A6CEE"/>
    <w:rsid w:val="173708E3"/>
    <w:rsid w:val="17C374FC"/>
    <w:rsid w:val="182E4AB6"/>
    <w:rsid w:val="185A16FC"/>
    <w:rsid w:val="189079DC"/>
    <w:rsid w:val="189B0D0B"/>
    <w:rsid w:val="18B43F7C"/>
    <w:rsid w:val="194A1770"/>
    <w:rsid w:val="19B906A4"/>
    <w:rsid w:val="1A06502A"/>
    <w:rsid w:val="1A2D49FF"/>
    <w:rsid w:val="1B6F15B6"/>
    <w:rsid w:val="1BAA2EDC"/>
    <w:rsid w:val="1C9D11A2"/>
    <w:rsid w:val="1CA55E64"/>
    <w:rsid w:val="1D014A01"/>
    <w:rsid w:val="1D022362"/>
    <w:rsid w:val="1D1B04B0"/>
    <w:rsid w:val="1DA52501"/>
    <w:rsid w:val="1DBD6767"/>
    <w:rsid w:val="1DC52125"/>
    <w:rsid w:val="1DD26311"/>
    <w:rsid w:val="1E374ACB"/>
    <w:rsid w:val="1ECF0A66"/>
    <w:rsid w:val="1EF67CA4"/>
    <w:rsid w:val="1F020D3A"/>
    <w:rsid w:val="1F2C5189"/>
    <w:rsid w:val="1F4B0B02"/>
    <w:rsid w:val="1FA63615"/>
    <w:rsid w:val="1FBB35CD"/>
    <w:rsid w:val="1FCD26AF"/>
    <w:rsid w:val="20642787"/>
    <w:rsid w:val="21556F04"/>
    <w:rsid w:val="22403BD3"/>
    <w:rsid w:val="22B623DC"/>
    <w:rsid w:val="24B92327"/>
    <w:rsid w:val="24C14514"/>
    <w:rsid w:val="2533755C"/>
    <w:rsid w:val="25791755"/>
    <w:rsid w:val="26396DF4"/>
    <w:rsid w:val="27167136"/>
    <w:rsid w:val="271B442C"/>
    <w:rsid w:val="2790056E"/>
    <w:rsid w:val="27B23302"/>
    <w:rsid w:val="29310A5F"/>
    <w:rsid w:val="29C37A35"/>
    <w:rsid w:val="2A076083"/>
    <w:rsid w:val="2A675BF1"/>
    <w:rsid w:val="2A73162E"/>
    <w:rsid w:val="2B167953"/>
    <w:rsid w:val="2B200583"/>
    <w:rsid w:val="2B8209DE"/>
    <w:rsid w:val="2C636760"/>
    <w:rsid w:val="2C6762A3"/>
    <w:rsid w:val="2FCA4B37"/>
    <w:rsid w:val="2FE029D7"/>
    <w:rsid w:val="2FF06E00"/>
    <w:rsid w:val="30586FEC"/>
    <w:rsid w:val="315F0B22"/>
    <w:rsid w:val="31D84415"/>
    <w:rsid w:val="31D85CBD"/>
    <w:rsid w:val="32285F6F"/>
    <w:rsid w:val="32770556"/>
    <w:rsid w:val="329C0913"/>
    <w:rsid w:val="32AA0460"/>
    <w:rsid w:val="3337290D"/>
    <w:rsid w:val="33E31118"/>
    <w:rsid w:val="33EF7674"/>
    <w:rsid w:val="342D7BC6"/>
    <w:rsid w:val="352930DB"/>
    <w:rsid w:val="35573069"/>
    <w:rsid w:val="355F6038"/>
    <w:rsid w:val="358C217E"/>
    <w:rsid w:val="364C5761"/>
    <w:rsid w:val="36C9128A"/>
    <w:rsid w:val="37841E99"/>
    <w:rsid w:val="37BF1123"/>
    <w:rsid w:val="383C3F15"/>
    <w:rsid w:val="38707FF0"/>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7A754A"/>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3603B2"/>
    <w:rsid w:val="465B470D"/>
    <w:rsid w:val="469D6AD4"/>
    <w:rsid w:val="47136D96"/>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6F4508"/>
    <w:rsid w:val="4DA4699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0B28A8"/>
    <w:rsid w:val="60AB4492"/>
    <w:rsid w:val="60C74F6C"/>
    <w:rsid w:val="61025A59"/>
    <w:rsid w:val="613D5BBC"/>
    <w:rsid w:val="61536C39"/>
    <w:rsid w:val="62944DD7"/>
    <w:rsid w:val="6319381F"/>
    <w:rsid w:val="63C25DC5"/>
    <w:rsid w:val="63C62057"/>
    <w:rsid w:val="63FE3EDF"/>
    <w:rsid w:val="64571EF5"/>
    <w:rsid w:val="64FB113D"/>
    <w:rsid w:val="656152C6"/>
    <w:rsid w:val="6587477F"/>
    <w:rsid w:val="658C3A08"/>
    <w:rsid w:val="65C031CA"/>
    <w:rsid w:val="65CE6852"/>
    <w:rsid w:val="66267C04"/>
    <w:rsid w:val="663F505A"/>
    <w:rsid w:val="66EE5541"/>
    <w:rsid w:val="674E26FA"/>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B40191"/>
    <w:rsid w:val="6EFD1324"/>
    <w:rsid w:val="6F5A53AC"/>
    <w:rsid w:val="6FAC003D"/>
    <w:rsid w:val="6FE55E12"/>
    <w:rsid w:val="6FFB2E76"/>
    <w:rsid w:val="708F6F7F"/>
    <w:rsid w:val="70D94BD3"/>
    <w:rsid w:val="71C34D91"/>
    <w:rsid w:val="72DB435C"/>
    <w:rsid w:val="72E2613A"/>
    <w:rsid w:val="72F771F4"/>
    <w:rsid w:val="73934AD2"/>
    <w:rsid w:val="74315057"/>
    <w:rsid w:val="749A04A3"/>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DF53557"/>
    <w:rsid w:val="7E7D4AC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7"/>
    <w:qFormat/>
    <w:uiPriority w:val="0"/>
    <w:rPr>
      <w:sz w:val="18"/>
      <w:szCs w:val="18"/>
    </w:rPr>
  </w:style>
  <w:style w:type="paragraph" w:styleId="4">
    <w:name w:val="footer"/>
    <w:basedOn w:val="1"/>
    <w:next w:val="5"/>
    <w:qFormat/>
    <w:uiPriority w:val="0"/>
    <w:pPr>
      <w:tabs>
        <w:tab w:val="center" w:pos="4153"/>
        <w:tab w:val="right" w:pos="8306"/>
      </w:tabs>
      <w:snapToGrid w:val="0"/>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8020</Words>
  <Characters>9580</Characters>
  <Lines>190</Lines>
  <Paragraphs>53</Paragraphs>
  <TotalTime>235</TotalTime>
  <ScaleCrop>false</ScaleCrop>
  <LinksUpToDate>false</LinksUpToDate>
  <CharactersWithSpaces>10613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2024-09-29T07:31:00Z</cp:lastPrinted>
  <dcterms:modified xsi:type="dcterms:W3CDTF">2024-12-04T02:37:03Z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