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为镇政府管理的正科级全额技款事业单位(公益一类)。宗旨:弘扬法治精神，建设法治政府、法治国家、法治社会。主要职责:集中行使依法授权或委托的农林水利、规划建设、环境保护、卫生计生、文化旅游、民政管理等领域的行政执法权。协调、配合区级有关部门及派驻机构开展其他领域的联合执法。</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从预算单位构成看，纳入本部门2023年度决算编制的二级预算单位主要包括重庆市荣昌区古昌镇综合行政执法大队。</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2023年度收入总计61.53万元，支出总计</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万元。收支较上年决算数增加18.12万元，增长41.74%，主要原因是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2023年度收入合计61.53万元，较上年决算数增加18.12万元，增长41.74%，主要原因是主要原因是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万元，较上年决算数增加18.12万元，增长41.74%，主要原因是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本年与上年无年末结转和结余。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2023年度财政拨款收、支总计61.53万元。与2022年相比，财政拨款收、支总计各增加18.12万元，增长41.74%。主要原因是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万元，较上年决算数增加18.12万元，增长41.74%。主要原因是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较年初预算数减少2.32万元，下降3.63%。主要原因是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万元，较上年决算数增加18.12万元，增长41.74%。主要原因是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ascii="方正仿宋_GBK" w:hAnsi="方正仿宋_GBK" w:eastAsia="方正仿宋_GBK" w:cs="方正仿宋_GBK"/>
          <w:sz w:val="32"/>
          <w:szCs w:val="32"/>
          <w:shd w:val="clear" w:color="auto" w:fill="FFFFFF"/>
        </w:rPr>
        <w:t>较年初预算数减少2.32万元，下降3.63%。主要原因是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本年与上年均无</w:t>
      </w:r>
      <w:r>
        <w:rPr>
          <w:rFonts w:ascii="方正仿宋_GBK" w:hAnsi="方正仿宋_GBK" w:eastAsia="方正仿宋_GBK" w:cs="方正仿宋_GBK"/>
          <w:sz w:val="32"/>
          <w:szCs w:val="32"/>
          <w:shd w:val="clear" w:color="auto" w:fill="FFFFFF"/>
        </w:rPr>
        <w:t>一般公共预算财政拨款结转和结余</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46.10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74.93</w:t>
      </w:r>
      <w:r>
        <w:rPr>
          <w:rFonts w:ascii="方正仿宋_GBK" w:hAnsi="方正仿宋_GBK" w:eastAsia="方正仿宋_GBK" w:cs="方正仿宋_GBK"/>
          <w:sz w:val="32"/>
          <w:szCs w:val="32"/>
          <w:shd w:val="clear" w:color="auto" w:fill="FFFFFF"/>
        </w:rPr>
        <w:t>%，较年初预算数减少4.99万元，下降9.77%，</w:t>
      </w:r>
      <w:r>
        <w:rPr>
          <w:rFonts w:hint="eastAsia" w:ascii="仿宋_GB2312" w:hAnsi="仿宋_GB2312" w:eastAsia="仿宋_GB2312" w:cs="仿宋_GB2312"/>
          <w:color w:val="auto"/>
          <w:kern w:val="0"/>
          <w:sz w:val="32"/>
          <w:szCs w:val="24"/>
          <w:lang w:val="en-US" w:eastAsia="zh-CN" w:bidi="ar"/>
        </w:rPr>
        <w:t>主要原因是</w:t>
      </w:r>
      <w:r>
        <w:rPr>
          <w:rFonts w:hint="eastAsia" w:ascii="仿宋_GB2312" w:hAnsi="仿宋_GB2312" w:eastAsia="仿宋_GB2312" w:cs="仿宋_GB2312"/>
          <w:color w:val="auto"/>
          <w:sz w:val="32"/>
          <w:lang w:val="en-US" w:eastAsia="zh-CN"/>
        </w:rPr>
        <w:t>2023年对社保基数进行了调整，故职工基本医疗保险（事业）、工伤保险（事业）、在职大额医疗互助金、失业保险（事业）、基本养老保险的实际支出与年初预算数不一致；单位厉行节约福利费、职工教育经费有所下降。</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%，较年初预算数增加2.10万元，增长33.23%，主要原因是</w:t>
      </w: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年社保基数调整，实际支出与年初预算数不一致。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%，较年初预算数增加0.58万元，增长17.74%，主要原因是</w:t>
      </w:r>
      <w:r>
        <w:rPr>
          <w:rFonts w:hint="eastAsia"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rPr>
        <w:t>年社保基数调整，实际支出与年初预算数不一致。</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auto"/>
          <w:sz w:val="32"/>
          <w:szCs w:val="32"/>
        </w:rPr>
        <w:t>住房保障支出</w:t>
      </w:r>
      <w:r>
        <w:rPr>
          <w:rFonts w:ascii="方正仿宋_GBK" w:hAnsi="方正仿宋_GBK" w:eastAsia="方正仿宋_GBK" w:cs="方正仿宋_GBK"/>
          <w:sz w:val="32"/>
          <w:szCs w:val="32"/>
        </w:rPr>
        <w:t>3.16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5.13</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年初预算准确，无变化</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61.02</w:t>
      </w:r>
      <w:r>
        <w:rPr>
          <w:rFonts w:ascii="方正仿宋_GBK" w:hAnsi="方正仿宋_GBK" w:eastAsia="方正仿宋_GBK" w:cs="方正仿宋_GBK"/>
          <w:sz w:val="32"/>
          <w:szCs w:val="32"/>
          <w:shd w:val="clear" w:color="auto" w:fill="FFFFFF"/>
        </w:rPr>
        <w:t>万元，较上年决算数增加19.19万元，增长45.88%，</w:t>
      </w:r>
      <w:r>
        <w:rPr>
          <w:rFonts w:hint="eastAsia" w:ascii="方正仿宋_GBK" w:hAnsi="方正仿宋_GBK" w:eastAsia="方正仿宋_GBK" w:cs="方正仿宋_GBK"/>
          <w:sz w:val="32"/>
          <w:szCs w:val="32"/>
          <w:shd w:val="clear" w:color="auto" w:fill="FFFFFF"/>
          <w:lang w:val="en-US" w:eastAsia="zh-CN"/>
        </w:rPr>
        <w:t>主要原因是</w:t>
      </w:r>
      <w:r>
        <w:rPr>
          <w:rFonts w:hint="eastAsia" w:ascii="方正仿宋_GBK" w:hAnsi="方正仿宋_GBK" w:eastAsia="方正仿宋_GBK" w:cs="方正仿宋_GBK"/>
          <w:sz w:val="32"/>
          <w:szCs w:val="32"/>
          <w:shd w:val="clear" w:color="auto" w:fill="FFFFFF"/>
        </w:rPr>
        <w:t>本年度</w:t>
      </w:r>
      <w:r>
        <w:rPr>
          <w:rFonts w:hint="eastAsia" w:ascii="方正仿宋_GBK" w:hAnsi="方正仿宋_GBK" w:eastAsia="方正仿宋_GBK" w:cs="方正仿宋_GBK"/>
          <w:sz w:val="32"/>
          <w:szCs w:val="32"/>
          <w:shd w:val="clear" w:color="auto" w:fill="FFFFFF"/>
          <w:lang w:val="en-US" w:eastAsia="zh-CN"/>
        </w:rPr>
        <w:t>根据相关</w:t>
      </w:r>
      <w:r>
        <w:rPr>
          <w:rFonts w:hint="eastAsia" w:ascii="方正仿宋_GBK" w:hAnsi="方正仿宋_GBK" w:eastAsia="方正仿宋_GBK" w:cs="方正仿宋_GBK"/>
          <w:sz w:val="32"/>
          <w:szCs w:val="32"/>
          <w:shd w:val="clear" w:color="auto" w:fill="FFFFFF"/>
        </w:rPr>
        <w:t>政策文件调整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人员工资及五险一金等有所变化。</w:t>
      </w:r>
      <w:r>
        <w:rPr>
          <w:rFonts w:hint="eastAsia" w:ascii="方正仿宋_GBK" w:hAnsi="方正仿宋_GBK" w:eastAsia="方正仿宋_GBK" w:cs="方正仿宋_GBK"/>
          <w:sz w:val="32"/>
          <w:szCs w:val="32"/>
          <w:shd w:val="clear" w:color="auto" w:fill="FFFFFF"/>
        </w:rPr>
        <w:t>人员经费用途主要包括在编、在岗人员基本工资、绩效工资、津贴补贴各项奖金、社会保障缴费、单位其他长期聘用人员及部分离退休人员经费等。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0.52</w:t>
      </w:r>
      <w:r>
        <w:rPr>
          <w:rFonts w:ascii="方正仿宋_GBK" w:hAnsi="方正仿宋_GBK" w:eastAsia="方正仿宋_GBK" w:cs="方正仿宋_GBK"/>
          <w:sz w:val="32"/>
          <w:szCs w:val="32"/>
          <w:shd w:val="clear" w:color="auto" w:fill="FFFFFF"/>
        </w:rPr>
        <w:t>万元，较上年决算数减少1.06万元，下降67.09%，主要原因</w:t>
      </w:r>
      <w:r>
        <w:rPr>
          <w:rFonts w:hint="eastAsia" w:ascii="方正仿宋_GBK" w:hAnsi="方正仿宋_GBK" w:eastAsia="方正仿宋_GBK" w:cs="方正仿宋_GBK"/>
          <w:sz w:val="32"/>
          <w:szCs w:val="32"/>
          <w:shd w:val="clear" w:color="auto" w:fill="FFFFFF"/>
          <w:lang w:val="en-US" w:eastAsia="zh-CN"/>
        </w:rPr>
        <w:t>是单位响应国家号召，</w:t>
      </w:r>
      <w:bookmarkStart w:id="0" w:name="_GoBack"/>
      <w:bookmarkEnd w:id="0"/>
      <w:r>
        <w:rPr>
          <w:rFonts w:hint="eastAsia" w:ascii="方正仿宋_GBK" w:hAnsi="方正仿宋_GBK" w:eastAsia="方正仿宋_GBK" w:cs="方正仿宋_GBK"/>
          <w:sz w:val="32"/>
          <w:szCs w:val="32"/>
          <w:shd w:val="clear" w:color="auto" w:fill="FFFFFF"/>
          <w:lang w:val="en-US" w:eastAsia="zh-CN"/>
        </w:rPr>
        <w:t>厉行节约，合理削减公用经费。</w:t>
      </w:r>
      <w:r>
        <w:rPr>
          <w:rFonts w:hint="default" w:ascii="方正仿宋_GBK" w:hAnsi="方正仿宋_GBK" w:eastAsia="方正仿宋_GBK" w:cs="方正仿宋_GBK"/>
          <w:sz w:val="32"/>
          <w:szCs w:val="32"/>
          <w:shd w:val="clear" w:color="auto" w:fill="FFFFFF"/>
          <w:lang w:val="en-US" w:eastAsia="zh-CN"/>
        </w:rPr>
        <w:t>公用经费</w:t>
      </w:r>
      <w:r>
        <w:rPr>
          <w:rFonts w:hint="default" w:ascii="仿宋_GB2312" w:hAnsi="仿宋_GB2312" w:eastAsia="仿宋_GB2312" w:cs="仿宋_GB2312"/>
          <w:color w:val="auto"/>
          <w:kern w:val="0"/>
          <w:sz w:val="32"/>
          <w:szCs w:val="24"/>
          <w:lang w:val="en-US" w:eastAsia="zh-CN" w:bidi="ar"/>
        </w:rPr>
        <w:t>用途主要包括办公费、印刷费、咨询费、水电费、邮电费、差旅费、会议费、公务接待费、劳务费、公务用车运行维护费、其他商品和服务支出等费用支出。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仿宋_GB2312" w:hAnsi="仿宋_GB2312" w:eastAsia="仿宋_GB2312" w:cs="仿宋_GB2312"/>
          <w:color w:val="auto"/>
          <w:kern w:val="0"/>
          <w:sz w:val="32"/>
          <w:szCs w:val="24"/>
          <w:lang w:val="en-US" w:eastAsia="zh-CN" w:bidi="ar"/>
        </w:rPr>
        <w:t>本单位2023年未发生三公经费支出。</w:t>
      </w:r>
      <w:r>
        <w:rPr>
          <w:rFonts w:ascii="方正仿宋_GBK" w:hAnsi="方正仿宋_GBK" w:eastAsia="方正仿宋_GBK" w:cs="方正仿宋_GBK"/>
          <w:sz w:val="32"/>
          <w:szCs w:val="32"/>
          <w:shd w:val="clear" w:color="auto" w:fill="FFFFFF"/>
        </w:rPr>
        <w:t>较上年支出数无增减，主要原因是</w:t>
      </w:r>
      <w:r>
        <w:rPr>
          <w:rFonts w:hint="eastAsia" w:ascii="仿宋_GB2312" w:hAnsi="仿宋_GB2312" w:eastAsia="仿宋_GB2312" w:cs="仿宋_GB2312"/>
          <w:color w:val="auto"/>
          <w:kern w:val="0"/>
          <w:sz w:val="32"/>
          <w:szCs w:val="24"/>
          <w:lang w:val="en-US" w:eastAsia="zh-CN" w:bidi="ar"/>
        </w:rPr>
        <w:t>本单位2023年未发生三公经费支出。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eastAsia" w:ascii="仿宋_GB2312" w:hAnsi="仿宋_GB2312" w:eastAsia="仿宋_GB2312" w:cs="仿宋_GB2312"/>
          <w:color w:val="auto"/>
          <w:kern w:val="0"/>
          <w:sz w:val="32"/>
          <w:szCs w:val="24"/>
          <w:lang w:val="en-US" w:eastAsia="zh-CN" w:bidi="ar"/>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w:t>
      </w:r>
      <w:r>
        <w:rPr>
          <w:rFonts w:hint="eastAsia" w:ascii="仿宋_GB2312" w:hAnsi="仿宋_GB2312" w:eastAsia="仿宋_GB2312" w:cs="仿宋_GB2312"/>
          <w:color w:val="auto"/>
          <w:kern w:val="0"/>
          <w:sz w:val="32"/>
          <w:szCs w:val="24"/>
          <w:lang w:val="en-US" w:eastAsia="zh-CN" w:bidi="ar"/>
        </w:rPr>
        <w:t>本单位2023年未发生因公出国（境）费用支出。</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kern w:val="0"/>
          <w:sz w:val="32"/>
          <w:szCs w:val="24"/>
          <w:lang w:val="en-US" w:eastAsia="zh-CN" w:bidi="ar"/>
        </w:rPr>
        <w:t>本单位2023年未发生公务车购置费用支出。</w:t>
      </w:r>
    </w:p>
    <w:p>
      <w:pPr>
        <w:keepNext w:val="0"/>
        <w:keepLines w:val="0"/>
        <w:pageBreakBefore w:val="0"/>
        <w:kinsoku/>
        <w:wordWrap/>
        <w:overflowPunct/>
        <w:topLinePunct w:val="0"/>
        <w:autoSpaceDE/>
        <w:autoSpaceDN/>
        <w:bidi w:val="0"/>
        <w:adjustRightInd/>
        <w:snapToGrid/>
        <w:spacing w:afterAutospacing="0" w:line="600" w:lineRule="exact"/>
        <w:ind w:firstLine="640" w:firstLineChars="200"/>
        <w:outlineLvl w:val="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w:t>
      </w:r>
      <w:r>
        <w:rPr>
          <w:rFonts w:hint="eastAsia" w:ascii="仿宋_GB2312" w:hAnsi="仿宋_GB2312" w:eastAsia="仿宋_GB2312" w:cs="仿宋_GB2312"/>
          <w:color w:val="auto"/>
          <w:kern w:val="0"/>
          <w:sz w:val="32"/>
          <w:szCs w:val="24"/>
          <w:lang w:val="en-US" w:eastAsia="zh-CN" w:bidi="ar"/>
        </w:rPr>
        <w:t>本单位2023年未发生</w:t>
      </w:r>
      <w:r>
        <w:rPr>
          <w:rFonts w:ascii="方正仿宋_GBK" w:hAnsi="方正仿宋_GBK" w:eastAsia="方正仿宋_GBK" w:cs="方正仿宋_GBK"/>
          <w:sz w:val="32"/>
          <w:szCs w:val="32"/>
          <w:shd w:val="clear" w:color="auto" w:fill="FFFFFF"/>
        </w:rPr>
        <w:t>公务车运行维护费</w:t>
      </w:r>
      <w:r>
        <w:rPr>
          <w:rFonts w:hint="eastAsia" w:ascii="仿宋_GB2312" w:hAnsi="仿宋_GB2312" w:eastAsia="仿宋_GB2312" w:cs="仿宋_GB2312"/>
          <w:color w:val="auto"/>
          <w:kern w:val="0"/>
          <w:sz w:val="32"/>
          <w:szCs w:val="24"/>
          <w:lang w:val="en-US" w:eastAsia="zh-CN" w:bidi="ar"/>
        </w:rPr>
        <w:t>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仿宋_GB2312" w:hAnsi="仿宋_GB2312" w:eastAsia="仿宋_GB2312" w:cs="仿宋_GB2312"/>
          <w:color w:val="auto"/>
          <w:kern w:val="0"/>
          <w:sz w:val="32"/>
          <w:szCs w:val="24"/>
          <w:lang w:val="en-US" w:eastAsia="zh-CN" w:bidi="ar"/>
        </w:rPr>
        <w:t>本单位2023年未发生公务接待费支出。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仿宋_GB2312" w:hAnsi="仿宋_GB2312" w:eastAsia="仿宋_GB2312" w:cs="仿宋_GB2312"/>
          <w:color w:val="auto"/>
          <w:kern w:val="0"/>
          <w:sz w:val="32"/>
          <w:szCs w:val="24"/>
          <w:lang w:val="en-US" w:eastAsia="zh-CN" w:bidi="ar"/>
        </w:rPr>
        <w:t>主要原因是本单位2023年未发生会议费支出。</w:t>
      </w:r>
      <w:r>
        <w:rPr>
          <w:rFonts w:ascii="方正仿宋_GBK" w:hAnsi="方正仿宋_GBK" w:eastAsia="方正仿宋_GBK" w:cs="方正仿宋_GBK"/>
          <w:sz w:val="32"/>
          <w:szCs w:val="32"/>
          <w:shd w:val="clear" w:color="auto" w:fill="FFFFFF"/>
        </w:rPr>
        <w:t>（由单位根据实际情况补充）。本年度培训费支出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eastAsia" w:ascii="仿宋_GB2312" w:hAnsi="仿宋_GB2312" w:eastAsia="仿宋_GB2312" w:cs="仿宋_GB2312"/>
          <w:color w:val="auto"/>
          <w:kern w:val="0"/>
          <w:sz w:val="32"/>
          <w:szCs w:val="24"/>
          <w:lang w:val="en-US" w:eastAsia="zh-CN" w:bidi="ar"/>
        </w:rPr>
        <w:t>本单位2023年未发生培训费支出。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6"/>
        <w:shd w:val="clear" w:color="auto" w:fill="FFFFFF"/>
        <w:rPr>
          <w:rStyle w:val="10"/>
          <w:rFonts w:ascii="黑体" w:hAnsi="黑体" w:eastAsia="黑体" w:cs="黑体"/>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hd w:val="clear" w:color="auto" w:fill="FFFFFF"/>
        <w:ind w:firstLine="643"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本单位决算公开信息反馈和联系方式：顾翩   023-81067061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附件：1.重庆市荣昌区古昌镇综合行政执法大队2023年度部门决算公开报表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pPr>
        <w:rPr>
          <w:rFonts w:hint="default" w:cs="宋体"/>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4430"/>
        <w:gridCol w:w="1142"/>
        <w:gridCol w:w="3101"/>
        <w:gridCol w:w="2141"/>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重庆市荣昌区古昌镇综合行政执法大队</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8.42</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61.53</w:t>
            </w: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61.53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重庆市荣昌区古昌镇综合行政执法大队</w:t>
            </w: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auto"/>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auto"/>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shd w:val="clear" w:color="auto" w:fill="auto"/>
        <w:tblLayout w:type="autofit"/>
        <w:tblCellMar>
          <w:top w:w="0" w:type="dxa"/>
          <w:left w:w="0" w:type="dxa"/>
          <w:bottom w:w="0" w:type="dxa"/>
          <w:right w:w="0" w:type="dxa"/>
        </w:tblCellMar>
      </w:tblPr>
      <w:tblGrid>
        <w:gridCol w:w="2995"/>
        <w:gridCol w:w="1535"/>
        <w:gridCol w:w="2730"/>
        <w:gridCol w:w="686"/>
        <w:gridCol w:w="686"/>
        <w:gridCol w:w="687"/>
        <w:gridCol w:w="1030"/>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auto"/>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auto"/>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556"/>
        <w:gridCol w:w="3230"/>
        <w:gridCol w:w="2002"/>
        <w:gridCol w:w="2002"/>
        <w:gridCol w:w="2013"/>
      </w:tblGrid>
      <w:tr>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61.53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46.10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46.10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2.81</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auto"/>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auto"/>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auto"/>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61.02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700"/>
        <w:gridCol w:w="2830"/>
        <w:gridCol w:w="1022"/>
        <w:gridCol w:w="1022"/>
        <w:gridCol w:w="1023"/>
        <w:gridCol w:w="1023"/>
        <w:gridCol w:w="1069"/>
        <w:gridCol w:w="1114"/>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shd w:val="clear" w:color="auto" w:fill="auto"/>
        <w:tblLayout w:type="autofit"/>
        <w:tblCellMar>
          <w:top w:w="0" w:type="dxa"/>
          <w:left w:w="0" w:type="dxa"/>
          <w:bottom w:w="0" w:type="dxa"/>
          <w:right w:w="0" w:type="dxa"/>
        </w:tblCellMar>
      </w:tblPr>
      <w:tblGrid>
        <w:gridCol w:w="1725"/>
        <w:gridCol w:w="2805"/>
        <w:gridCol w:w="2089"/>
        <w:gridCol w:w="71"/>
        <w:gridCol w:w="2087"/>
        <w:gridCol w:w="28"/>
        <w:gridCol w:w="199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auto"/>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shd w:val="clear" w:color="auto" w:fill="auto"/>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重庆市荣昌区古昌镇综合行政执法大队</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auto"/>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550ABE"/>
    <w:rsid w:val="00770383"/>
    <w:rsid w:val="007819D4"/>
    <w:rsid w:val="007B419D"/>
    <w:rsid w:val="007E064E"/>
    <w:rsid w:val="009B67B8"/>
    <w:rsid w:val="009D2B67"/>
    <w:rsid w:val="00B03CCD"/>
    <w:rsid w:val="00C20C3E"/>
    <w:rsid w:val="00F73F90"/>
    <w:rsid w:val="01474EBF"/>
    <w:rsid w:val="018061A6"/>
    <w:rsid w:val="01F3521E"/>
    <w:rsid w:val="02846772"/>
    <w:rsid w:val="03B87EA0"/>
    <w:rsid w:val="03E3214F"/>
    <w:rsid w:val="044C50BA"/>
    <w:rsid w:val="05BC6D49"/>
    <w:rsid w:val="05EF2CE1"/>
    <w:rsid w:val="06194FF1"/>
    <w:rsid w:val="06A2550B"/>
    <w:rsid w:val="06F80EE2"/>
    <w:rsid w:val="07001CCA"/>
    <w:rsid w:val="075678DB"/>
    <w:rsid w:val="079D7CC7"/>
    <w:rsid w:val="08051BCA"/>
    <w:rsid w:val="085E0942"/>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9901E3"/>
    <w:rsid w:val="0F836721"/>
    <w:rsid w:val="0FA25D96"/>
    <w:rsid w:val="0FC26431"/>
    <w:rsid w:val="107B59E5"/>
    <w:rsid w:val="108D73F6"/>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142200"/>
    <w:rsid w:val="2F5D5ACE"/>
    <w:rsid w:val="2FCA4B37"/>
    <w:rsid w:val="2FE029D7"/>
    <w:rsid w:val="2FF06E00"/>
    <w:rsid w:val="304A3045"/>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03319"/>
    <w:rsid w:val="3B6F6EE0"/>
    <w:rsid w:val="3C566AD6"/>
    <w:rsid w:val="3C594871"/>
    <w:rsid w:val="3C6A5B02"/>
    <w:rsid w:val="3D2757A1"/>
    <w:rsid w:val="3D3D4FC4"/>
    <w:rsid w:val="3DDF3AB1"/>
    <w:rsid w:val="3E1D0952"/>
    <w:rsid w:val="3E42660A"/>
    <w:rsid w:val="3E7555B1"/>
    <w:rsid w:val="3E787ED9"/>
    <w:rsid w:val="3EA346E0"/>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0D2F84"/>
    <w:rsid w:val="45CB699A"/>
    <w:rsid w:val="465B470D"/>
    <w:rsid w:val="469D6AD4"/>
    <w:rsid w:val="471E6C84"/>
    <w:rsid w:val="472947BA"/>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802D99"/>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4247A"/>
    <w:rsid w:val="552256E1"/>
    <w:rsid w:val="554E5773"/>
    <w:rsid w:val="555A3CBC"/>
    <w:rsid w:val="5582012B"/>
    <w:rsid w:val="558E4E05"/>
    <w:rsid w:val="55BE2E85"/>
    <w:rsid w:val="56530F5D"/>
    <w:rsid w:val="567700D3"/>
    <w:rsid w:val="56FF7E9E"/>
    <w:rsid w:val="578867FC"/>
    <w:rsid w:val="5842572D"/>
    <w:rsid w:val="5A3B59D6"/>
    <w:rsid w:val="5AD134D8"/>
    <w:rsid w:val="5B29115C"/>
    <w:rsid w:val="5C263CE4"/>
    <w:rsid w:val="5C5D2777"/>
    <w:rsid w:val="5CF66BF3"/>
    <w:rsid w:val="5D290C69"/>
    <w:rsid w:val="5DC10EB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622DDE"/>
    <w:rsid w:val="67924660"/>
    <w:rsid w:val="68407834"/>
    <w:rsid w:val="6883293E"/>
    <w:rsid w:val="688412AD"/>
    <w:rsid w:val="68EB1B71"/>
    <w:rsid w:val="6A6C7940"/>
    <w:rsid w:val="6AAD2300"/>
    <w:rsid w:val="6B474EF5"/>
    <w:rsid w:val="6BA2265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E55FC5"/>
    <w:rsid w:val="750837F0"/>
    <w:rsid w:val="754758CF"/>
    <w:rsid w:val="764F62AB"/>
    <w:rsid w:val="765C45EC"/>
    <w:rsid w:val="768A7619"/>
    <w:rsid w:val="772E1EBA"/>
    <w:rsid w:val="781926BC"/>
    <w:rsid w:val="796B2AB7"/>
    <w:rsid w:val="796D60A4"/>
    <w:rsid w:val="79A031D5"/>
    <w:rsid w:val="7A1525F7"/>
    <w:rsid w:val="7B420052"/>
    <w:rsid w:val="7BD06A28"/>
    <w:rsid w:val="7C3A7C0B"/>
    <w:rsid w:val="7C5248E4"/>
    <w:rsid w:val="7C566698"/>
    <w:rsid w:val="7C5866A3"/>
    <w:rsid w:val="7D5A618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7977</Words>
  <Characters>9358</Characters>
  <Lines>190</Lines>
  <Paragraphs>53</Paragraphs>
  <TotalTime>5</TotalTime>
  <ScaleCrop>false</ScaleCrop>
  <LinksUpToDate>false</LinksUpToDate>
  <CharactersWithSpaces>10375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2024-09-29T07:22:00Z</cp:lastPrinted>
  <dcterms:modified xsi:type="dcterms:W3CDTF">2024-12-04T02:58:23Z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BB46EABDBB2749749395447164B066B3_12</vt:lpwstr>
  </property>
</Properties>
</file>