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jc w:val="center"/>
        <w:rPr>
          <w:rFonts w:hint="eastAsia" w:ascii="方正小标宋_GBK" w:hAnsi="方正小标宋_GBK" w:eastAsia="方正小标宋_GBK" w:cs="方正小标宋_GBK"/>
          <w:b w:val="0"/>
          <w:bCs w:val="0"/>
          <w:sz w:val="44"/>
          <w:szCs w:val="44"/>
          <w:shd w:val="clear" w:color="auto" w:fill="FFFFFF"/>
          <w:lang w:val="en-US" w:eastAsia="zh-CN"/>
        </w:rPr>
      </w:pPr>
      <w:r>
        <w:rPr>
          <w:rFonts w:hint="eastAsia" w:ascii="方正小标宋_GBK" w:hAnsi="方正小标宋_GBK" w:eastAsia="方正小标宋_GBK" w:cs="方正小标宋_GBK"/>
          <w:b w:val="0"/>
          <w:bCs w:val="0"/>
          <w:sz w:val="44"/>
          <w:szCs w:val="44"/>
        </w:rPr>
        <w:t>重庆市荣昌区人民政府峰高街道办事处本级</w:t>
      </w:r>
      <w:r>
        <w:rPr>
          <w:rFonts w:hint="eastAsia" w:ascii="方正小标宋_GBK" w:hAnsi="方正小标宋_GBK" w:eastAsia="方正小标宋_GBK" w:cs="方正小标宋_GBK"/>
          <w:b w:val="0"/>
          <w:bCs w:val="0"/>
          <w:sz w:val="44"/>
          <w:szCs w:val="44"/>
          <w:shd w:val="clear" w:color="auto" w:fill="FFFFFF"/>
        </w:rPr>
        <w:t>2023年度</w:t>
      </w:r>
      <w:r>
        <w:rPr>
          <w:rFonts w:hint="eastAsia" w:ascii="方正小标宋_GBK" w:hAnsi="方正小标宋_GBK" w:eastAsia="方正小标宋_GBK" w:cs="方正小标宋_GBK"/>
          <w:b w:val="0"/>
          <w:bCs w:val="0"/>
          <w:sz w:val="44"/>
          <w:szCs w:val="44"/>
          <w:shd w:val="clear" w:color="auto" w:fill="FFFFFF"/>
          <w:lang w:val="en-US" w:eastAsia="zh-CN"/>
        </w:rPr>
        <w:t>部门</w:t>
      </w:r>
      <w:r>
        <w:rPr>
          <w:rFonts w:hint="eastAsia" w:ascii="方正小标宋_GBK" w:hAnsi="方正小标宋_GBK" w:eastAsia="方正小标宋_GBK" w:cs="方正小标宋_GBK"/>
          <w:b w:val="0"/>
          <w:bCs w:val="0"/>
          <w:sz w:val="44"/>
          <w:szCs w:val="44"/>
          <w:shd w:val="clear" w:color="auto" w:fill="FFFFFF"/>
        </w:rPr>
        <w:t>决算公开</w:t>
      </w:r>
      <w:r>
        <w:rPr>
          <w:rFonts w:hint="eastAsia" w:ascii="方正小标宋_GBK" w:hAnsi="方正小标宋_GBK" w:eastAsia="方正小标宋_GBK" w:cs="方正小标宋_GBK"/>
          <w:b w:val="0"/>
          <w:bCs w:val="0"/>
          <w:sz w:val="44"/>
          <w:szCs w:val="44"/>
          <w:shd w:val="clear" w:color="auto" w:fill="FFFFFF"/>
          <w:lang w:val="en-US" w:eastAsia="zh-CN"/>
        </w:rPr>
        <w:t>报告</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黑体_GBK" w:hAnsi="方正黑体_GBK" w:eastAsia="方正黑体_GBK" w:cs="方正黑体_GBK"/>
          <w:b w:val="0"/>
          <w:bCs w:val="0"/>
          <w:color w:val="auto"/>
          <w:sz w:val="32"/>
          <w:szCs w:val="32"/>
        </w:rPr>
      </w:pPr>
      <w:r>
        <w:rPr>
          <w:rStyle w:val="10"/>
          <w:rFonts w:hint="eastAsia" w:ascii="方正黑体_GBK" w:hAnsi="方正黑体_GBK" w:eastAsia="方正黑体_GBK" w:cs="方正黑体_GBK"/>
          <w:b w:val="0"/>
          <w:bCs w:val="0"/>
          <w:color w:val="auto"/>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（一）职能职责</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N/>
        <w:bidi w:val="0"/>
        <w:adjustRightInd/>
        <w:snapToGrid w:val="0"/>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 xml:space="preserve">1.制定和组织实施经济、科技和社会发展计划，组织指导各行生产，协调本街道与外地区经济交流与合作，抓好招商引资。 </w:t>
      </w:r>
    </w:p>
    <w:p>
      <w:pPr>
        <w:keepNext w:val="0"/>
        <w:keepLines w:val="0"/>
        <w:pageBreakBefore w:val="0"/>
        <w:widowControl/>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2.制定组织街道规划，部署重点工程建设，地方道路、公共设施、水利设施，负责土地、林木等。</w:t>
      </w:r>
    </w:p>
    <w:p>
      <w:pPr>
        <w:keepNext w:val="0"/>
        <w:keepLines w:val="0"/>
        <w:pageBreakBefore w:val="0"/>
        <w:widowControl/>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3.负责本区域内民政、计划生育、文化教育、卫生体育等社会公益事业的综合性工作。</w:t>
      </w:r>
    </w:p>
    <w:p>
      <w:pPr>
        <w:keepNext w:val="0"/>
        <w:keepLines w:val="0"/>
        <w:pageBreakBefore w:val="0"/>
        <w:widowControl/>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4.负责本级财政税收和财政收入，完成国家计划，增强财政实力。</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5.完成上级政府交办的其他事项。</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楷体_GBK" w:hAnsi="方正楷体_GBK" w:eastAsia="方正楷体_GBK" w:cs="方正楷体_GBK"/>
          <w:b w:val="0"/>
          <w:bCs w:val="0"/>
          <w:color w:val="auto"/>
          <w:sz w:val="32"/>
          <w:szCs w:val="32"/>
          <w:lang w:eastAsia="zh-CN"/>
        </w:rPr>
      </w:pPr>
      <w:r>
        <w:rPr>
          <w:rStyle w:val="10"/>
          <w:rFonts w:hint="eastAsia" w:ascii="方正楷体_GBK" w:hAnsi="方正楷体_GBK" w:eastAsia="方正楷体_GBK" w:cs="方正楷体_GBK"/>
          <w:b w:val="0"/>
          <w:bCs w:val="0"/>
          <w:color w:val="auto"/>
          <w:sz w:val="32"/>
          <w:szCs w:val="32"/>
          <w:shd w:val="clear" w:color="auto" w:fill="FFFFFF"/>
        </w:rPr>
        <w:t>（二）机构设置</w:t>
      </w:r>
      <w:r>
        <w:rPr>
          <w:rStyle w:val="10"/>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单位内设机构10个：党政办公室、人大工委办公室、党群工作办公室、经济发展办公室、民政和社区事务办公室、平安建设办公室、规划建设管理环保办公室、财政办公室、应急管理办公室、综合行政执法办公室。本单位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年末实有在职人员</w:t>
      </w:r>
      <w:r>
        <w:rPr>
          <w:rFonts w:hint="eastAsia" w:ascii="方正仿宋_GBK" w:hAnsi="方正仿宋_GBK" w:eastAsia="方正仿宋_GBK" w:cs="方正仿宋_GBK"/>
          <w:color w:val="auto"/>
          <w:kern w:val="0"/>
          <w:sz w:val="32"/>
          <w:szCs w:val="32"/>
          <w:lang w:val="en-US" w:eastAsia="zh-CN"/>
        </w:rPr>
        <w:t>37</w:t>
      </w:r>
      <w:r>
        <w:rPr>
          <w:rFonts w:hint="eastAsia" w:ascii="方正仿宋_GBK" w:hAnsi="方正仿宋_GBK" w:eastAsia="方正仿宋_GBK" w:cs="方正仿宋_GBK"/>
          <w:color w:val="auto"/>
          <w:kern w:val="0"/>
          <w:sz w:val="32"/>
          <w:szCs w:val="32"/>
        </w:rPr>
        <w:t>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其中参公人员5人</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rPr>
        <w:t>比上年度</w:t>
      </w:r>
      <w:r>
        <w:rPr>
          <w:rFonts w:hint="eastAsia" w:ascii="方正仿宋_GBK" w:hAnsi="方正仿宋_GBK" w:eastAsia="方正仿宋_GBK" w:cs="方正仿宋_GBK"/>
          <w:color w:val="auto"/>
          <w:kern w:val="0"/>
          <w:sz w:val="32"/>
          <w:szCs w:val="32"/>
          <w:lang w:val="en-US" w:eastAsia="zh-CN"/>
        </w:rPr>
        <w:t>减少2</w:t>
      </w:r>
      <w:r>
        <w:rPr>
          <w:rFonts w:hint="eastAsia" w:ascii="方正仿宋_GBK" w:hAnsi="方正仿宋_GBK" w:eastAsia="方正仿宋_GBK" w:cs="方正仿宋_GBK"/>
          <w:color w:val="auto"/>
          <w:kern w:val="0"/>
          <w:sz w:val="32"/>
          <w:szCs w:val="32"/>
        </w:rPr>
        <w:t>人</w:t>
      </w:r>
      <w:r>
        <w:rPr>
          <w:rFonts w:hint="eastAsia" w:ascii="方正仿宋_GBK" w:hAnsi="方正仿宋_GBK" w:eastAsia="方正仿宋_GBK" w:cs="方正仿宋_GBK"/>
          <w:color w:val="auto"/>
          <w:kern w:val="0"/>
          <w:sz w:val="32"/>
          <w:szCs w:val="32"/>
          <w:lang w:eastAsia="zh-CN"/>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楷体_GBK" w:hAnsi="方正楷体_GBK" w:eastAsia="方正楷体_GBK" w:cs="方正楷体_GBK"/>
          <w:b w:val="0"/>
          <w:bCs w:val="0"/>
          <w:color w:val="auto"/>
          <w:sz w:val="32"/>
          <w:szCs w:val="32"/>
          <w:shd w:val="clear" w:color="auto" w:fill="FFFFFF"/>
        </w:rPr>
        <w:t>（一）收入支出决算总体情况说明。</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1.总体情况。</w:t>
      </w:r>
      <w:r>
        <w:rPr>
          <w:rFonts w:hint="eastAsia" w:ascii="方正仿宋_GBK" w:hAnsi="方正仿宋_GBK" w:eastAsia="方正仿宋_GBK" w:cs="方正仿宋_GBK"/>
          <w:b w:val="0"/>
          <w:bCs w:val="0"/>
          <w:color w:val="auto"/>
          <w:sz w:val="32"/>
          <w:szCs w:val="32"/>
          <w:shd w:val="clear" w:color="auto" w:fill="FFFFFF"/>
        </w:rPr>
        <w:t>2023年度收入总计4266.10万元，支出总计</w:t>
      </w:r>
      <w:r>
        <w:rPr>
          <w:rFonts w:hint="eastAsia" w:ascii="方正仿宋_GBK" w:hAnsi="方正仿宋_GBK" w:eastAsia="方正仿宋_GBK" w:cs="方正仿宋_GBK"/>
          <w:b w:val="0"/>
          <w:bCs w:val="0"/>
          <w:color w:val="auto"/>
          <w:sz w:val="32"/>
          <w:szCs w:val="32"/>
        </w:rPr>
        <w:t>4266.10</w:t>
      </w:r>
      <w:r>
        <w:rPr>
          <w:rFonts w:hint="eastAsia" w:ascii="方正仿宋_GBK" w:hAnsi="方正仿宋_GBK" w:eastAsia="方正仿宋_GBK" w:cs="方正仿宋_GBK"/>
          <w:b w:val="0"/>
          <w:bCs w:val="0"/>
          <w:color w:val="auto"/>
          <w:sz w:val="32"/>
          <w:szCs w:val="32"/>
          <w:shd w:val="clear" w:color="auto" w:fill="FFFFFF"/>
        </w:rPr>
        <w:t>万元。收支较上年决算数减少1460.36万元，下降25.50%，主要原因是</w:t>
      </w:r>
      <w:r>
        <w:rPr>
          <w:rFonts w:hint="eastAsia" w:ascii="方正仿宋_GBK" w:hAnsi="方正仿宋_GBK" w:eastAsia="方正仿宋_GBK" w:cs="方正仿宋_GBK"/>
          <w:b w:val="0"/>
          <w:bCs w:val="0"/>
          <w:color w:val="auto"/>
          <w:sz w:val="32"/>
          <w:szCs w:val="32"/>
          <w:shd w:val="clear" w:color="auto" w:fill="FFFFFF"/>
          <w:lang w:val="en-US" w:eastAsia="zh-CN"/>
        </w:rPr>
        <w:t>政府性基金预算收入减少26.7万元、其他收入减少73.29万元、年初结转和结余减少1383.3万元</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2.收入情况。</w:t>
      </w:r>
      <w:r>
        <w:rPr>
          <w:rFonts w:hint="eastAsia" w:ascii="方正仿宋_GBK" w:hAnsi="方正仿宋_GBK" w:eastAsia="方正仿宋_GBK" w:cs="方正仿宋_GBK"/>
          <w:b w:val="0"/>
          <w:bCs w:val="0"/>
          <w:color w:val="auto"/>
          <w:sz w:val="32"/>
          <w:szCs w:val="32"/>
          <w:shd w:val="clear" w:color="auto" w:fill="FFFFFF"/>
        </w:rPr>
        <w:t>2023年度收入合计4218.24万元，较上年决算数减少77.06万元，下降1.79%，主要原因是</w:t>
      </w:r>
      <w:r>
        <w:rPr>
          <w:rFonts w:hint="eastAsia" w:ascii="方正仿宋_GBK" w:hAnsi="方正仿宋_GBK" w:eastAsia="方正仿宋_GBK" w:cs="方正仿宋_GBK"/>
          <w:b w:val="0"/>
          <w:bCs w:val="0"/>
          <w:color w:val="auto"/>
          <w:sz w:val="32"/>
          <w:szCs w:val="32"/>
          <w:shd w:val="clear" w:color="auto" w:fill="FFFFFF"/>
          <w:lang w:val="en-US" w:eastAsia="zh-CN"/>
        </w:rPr>
        <w:t>政府性基金预算收入减少26.7万元、其他收入减少73.29万元</w:t>
      </w:r>
      <w:r>
        <w:rPr>
          <w:rFonts w:hint="eastAsia" w:ascii="方正仿宋_GBK" w:hAnsi="方正仿宋_GBK" w:eastAsia="方正仿宋_GBK" w:cs="方正仿宋_GBK"/>
          <w:b w:val="0"/>
          <w:bCs w:val="0"/>
          <w:color w:val="auto"/>
          <w:sz w:val="32"/>
          <w:szCs w:val="32"/>
          <w:shd w:val="clear" w:color="auto" w:fill="FFFFFF"/>
        </w:rPr>
        <w:t>。其中：财政拨款收入</w:t>
      </w:r>
      <w:r>
        <w:rPr>
          <w:rFonts w:hint="eastAsia" w:ascii="方正仿宋_GBK" w:hAnsi="方正仿宋_GBK" w:eastAsia="方正仿宋_GBK" w:cs="方正仿宋_GBK"/>
          <w:b w:val="0"/>
          <w:bCs w:val="0"/>
          <w:color w:val="auto"/>
          <w:sz w:val="32"/>
          <w:szCs w:val="32"/>
        </w:rPr>
        <w:t>4218.24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%；事业收入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万元，占0.00%；经营收入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万元，占0.00%；其他收入</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万元，占0.00%。此外，使用非财政拨款结余和专用结余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万元，年初结转和结余</w:t>
      </w:r>
      <w:r>
        <w:rPr>
          <w:rFonts w:hint="eastAsia" w:ascii="方正仿宋_GBK" w:hAnsi="方正仿宋_GBK" w:eastAsia="方正仿宋_GBK" w:cs="方正仿宋_GBK"/>
          <w:b w:val="0"/>
          <w:bCs w:val="0"/>
          <w:color w:val="auto"/>
          <w:sz w:val="32"/>
          <w:szCs w:val="32"/>
        </w:rPr>
        <w:t>47.86</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3.支出情况。</w:t>
      </w:r>
      <w:r>
        <w:rPr>
          <w:rFonts w:hint="eastAsia" w:ascii="方正仿宋_GBK" w:hAnsi="方正仿宋_GBK" w:eastAsia="方正仿宋_GBK" w:cs="方正仿宋_GBK"/>
          <w:b w:val="0"/>
          <w:bCs w:val="0"/>
          <w:color w:val="auto"/>
          <w:sz w:val="32"/>
          <w:szCs w:val="32"/>
          <w:shd w:val="clear" w:color="auto" w:fill="FFFFFF"/>
        </w:rPr>
        <w:t>2023年度支出合计</w:t>
      </w:r>
      <w:r>
        <w:rPr>
          <w:rFonts w:hint="eastAsia" w:ascii="方正仿宋_GBK" w:hAnsi="方正仿宋_GBK" w:eastAsia="方正仿宋_GBK" w:cs="方正仿宋_GBK"/>
          <w:b w:val="0"/>
          <w:bCs w:val="0"/>
          <w:color w:val="auto"/>
          <w:sz w:val="32"/>
          <w:szCs w:val="32"/>
        </w:rPr>
        <w:t>4266.10</w:t>
      </w:r>
      <w:r>
        <w:rPr>
          <w:rFonts w:hint="eastAsia" w:ascii="方正仿宋_GBK" w:hAnsi="方正仿宋_GBK" w:eastAsia="方正仿宋_GBK" w:cs="方正仿宋_GBK"/>
          <w:b w:val="0"/>
          <w:bCs w:val="0"/>
          <w:color w:val="auto"/>
          <w:sz w:val="32"/>
          <w:szCs w:val="32"/>
          <w:shd w:val="clear" w:color="auto" w:fill="FFFFFF"/>
        </w:rPr>
        <w:t>万元，较上年决算数减少1460.36万元，下降25.50%，主要原因是</w:t>
      </w:r>
      <w:r>
        <w:rPr>
          <w:rFonts w:hint="eastAsia" w:ascii="方正仿宋_GBK" w:hAnsi="方正仿宋_GBK" w:eastAsia="方正仿宋_GBK" w:cs="方正仿宋_GBK"/>
          <w:b w:val="0"/>
          <w:bCs w:val="0"/>
          <w:color w:val="auto"/>
          <w:sz w:val="32"/>
          <w:szCs w:val="32"/>
          <w:shd w:val="clear" w:color="auto" w:fill="FFFFFF"/>
          <w:lang w:val="en-US" w:eastAsia="zh-CN"/>
        </w:rPr>
        <w:t>政府性基金预算收入减少26.7万元、其他收入减少73.29万元、年初结转和结余减少1383.3万元</w:t>
      </w:r>
      <w:r>
        <w:rPr>
          <w:rFonts w:hint="eastAsia" w:ascii="方正仿宋_GBK" w:hAnsi="方正仿宋_GBK" w:eastAsia="方正仿宋_GBK" w:cs="方正仿宋_GBK"/>
          <w:b w:val="0"/>
          <w:bCs w:val="0"/>
          <w:color w:val="auto"/>
          <w:sz w:val="32"/>
          <w:szCs w:val="32"/>
          <w:shd w:val="clear" w:color="auto" w:fill="FFFFFF"/>
        </w:rPr>
        <w:t>。其中：基本支出</w:t>
      </w:r>
      <w:r>
        <w:rPr>
          <w:rFonts w:hint="eastAsia" w:ascii="方正仿宋_GBK" w:hAnsi="方正仿宋_GBK" w:eastAsia="方正仿宋_GBK" w:cs="方正仿宋_GBK"/>
          <w:b w:val="0"/>
          <w:bCs w:val="0"/>
          <w:color w:val="auto"/>
          <w:sz w:val="32"/>
          <w:szCs w:val="32"/>
        </w:rPr>
        <w:t>1298.18</w:t>
      </w:r>
      <w:r>
        <w:rPr>
          <w:rFonts w:hint="eastAsia" w:ascii="方正仿宋_GBK" w:hAnsi="方正仿宋_GBK" w:eastAsia="方正仿宋_GBK" w:cs="方正仿宋_GBK"/>
          <w:b w:val="0"/>
          <w:bCs w:val="0"/>
          <w:color w:val="auto"/>
          <w:sz w:val="32"/>
          <w:szCs w:val="32"/>
          <w:shd w:val="clear" w:color="auto" w:fill="FFFFFF"/>
        </w:rPr>
        <w:t>万元，占30.43%；项目支出</w:t>
      </w:r>
      <w:r>
        <w:rPr>
          <w:rFonts w:hint="eastAsia" w:ascii="方正仿宋_GBK" w:hAnsi="方正仿宋_GBK" w:eastAsia="方正仿宋_GBK" w:cs="方正仿宋_GBK"/>
          <w:b w:val="0"/>
          <w:bCs w:val="0"/>
          <w:color w:val="auto"/>
          <w:sz w:val="32"/>
          <w:szCs w:val="32"/>
        </w:rPr>
        <w:t>2967.93</w:t>
      </w:r>
      <w:r>
        <w:rPr>
          <w:rFonts w:hint="eastAsia" w:ascii="方正仿宋_GBK" w:hAnsi="方正仿宋_GBK" w:eastAsia="方正仿宋_GBK" w:cs="方正仿宋_GBK"/>
          <w:b w:val="0"/>
          <w:bCs w:val="0"/>
          <w:color w:val="auto"/>
          <w:sz w:val="32"/>
          <w:szCs w:val="32"/>
          <w:shd w:val="clear" w:color="auto" w:fill="FFFFFF"/>
        </w:rPr>
        <w:t>万元，占69.57%；经营支出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万元，占0.00%。此外，结余分配</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4.结转结余情况。</w:t>
      </w:r>
      <w:r>
        <w:rPr>
          <w:rFonts w:hint="eastAsia" w:ascii="方正仿宋_GBK" w:hAnsi="方正仿宋_GBK" w:eastAsia="方正仿宋_GBK" w:cs="方正仿宋_GBK"/>
          <w:b w:val="0"/>
          <w:bCs w:val="0"/>
          <w:color w:val="auto"/>
          <w:sz w:val="32"/>
          <w:szCs w:val="32"/>
          <w:shd w:val="clear" w:color="auto" w:fill="FFFFFF"/>
        </w:rPr>
        <w:t>2023年度年末结转和结余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b w:val="0"/>
          <w:bCs w:val="0"/>
          <w:color w:val="auto"/>
          <w:sz w:val="32"/>
          <w:szCs w:val="32"/>
          <w:shd w:val="clear" w:color="auto" w:fill="FFFFFF"/>
          <w:lang w:val="en-US" w:eastAsia="zh-CN"/>
        </w:rPr>
        <w:t>与上年持平</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3"/>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（二）财政拨款收入支出决算总体情况说明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2023年度财政拨款收、支总计4266.10万元。与2022年相比，财政拨款收、支总计各减少1387.07万元，下降24.54%。主要原因是</w:t>
      </w:r>
      <w:r>
        <w:rPr>
          <w:rFonts w:hint="eastAsia" w:ascii="方正仿宋_GBK" w:hAnsi="方正仿宋_GBK" w:eastAsia="方正仿宋_GBK" w:cs="方正仿宋_GBK"/>
          <w:b w:val="0"/>
          <w:bCs w:val="0"/>
          <w:color w:val="auto"/>
          <w:sz w:val="32"/>
          <w:szCs w:val="32"/>
          <w:shd w:val="clear" w:color="auto" w:fill="FFFFFF"/>
          <w:lang w:val="en-US" w:eastAsia="zh-CN"/>
        </w:rPr>
        <w:t>政府性基金预算收入减少26.7万元、年初结转和结余减少1383.3万元</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3"/>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（三）一般公共预算财政拨款收入支出决算情况说明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1.收入情况。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2023年度一般公共预算财政拨款收入</w:t>
      </w:r>
      <w:r>
        <w:rPr>
          <w:rFonts w:hint="eastAsia" w:ascii="方正仿宋_GBK" w:hAnsi="方正仿宋_GBK" w:eastAsia="方正仿宋_GBK" w:cs="方正仿宋_GBK"/>
          <w:b w:val="0"/>
          <w:bCs w:val="0"/>
          <w:color w:val="auto"/>
          <w:sz w:val="32"/>
          <w:szCs w:val="32"/>
        </w:rPr>
        <w:t>4179.40</w:t>
      </w:r>
      <w:r>
        <w:rPr>
          <w:rFonts w:hint="eastAsia" w:ascii="方正仿宋_GBK" w:hAnsi="方正仿宋_GBK" w:eastAsia="方正仿宋_GBK" w:cs="方正仿宋_GBK"/>
          <w:b w:val="0"/>
          <w:bCs w:val="0"/>
          <w:color w:val="auto"/>
          <w:sz w:val="32"/>
          <w:szCs w:val="32"/>
          <w:shd w:val="clear" w:color="auto" w:fill="FFFFFF"/>
        </w:rPr>
        <w:t>万元，较上年决算数增加22.93万元，增长0.55%。主要原因是</w:t>
      </w:r>
      <w:r>
        <w:rPr>
          <w:rFonts w:hint="eastAsia" w:ascii="方正仿宋_GBK" w:hAnsi="方正仿宋_GBK" w:eastAsia="方正仿宋_GBK" w:cs="方正仿宋_GBK"/>
          <w:b w:val="0"/>
          <w:bCs w:val="0"/>
          <w:color w:val="auto"/>
          <w:sz w:val="32"/>
          <w:szCs w:val="32"/>
          <w:shd w:val="clear" w:color="auto" w:fill="FFFFFF"/>
          <w:lang w:val="en-US" w:eastAsia="zh-CN"/>
        </w:rPr>
        <w:t>教育支出和城乡社区支出增加</w:t>
      </w:r>
      <w:r>
        <w:rPr>
          <w:rFonts w:hint="eastAsia" w:ascii="方正仿宋_GBK" w:hAnsi="方正仿宋_GBK" w:eastAsia="方正仿宋_GBK" w:cs="方正仿宋_GBK"/>
          <w:b w:val="0"/>
          <w:bCs w:val="0"/>
          <w:color w:val="auto"/>
          <w:sz w:val="32"/>
          <w:szCs w:val="32"/>
          <w:shd w:val="clear" w:color="auto" w:fill="FFFFFF"/>
        </w:rPr>
        <w:t>。较年初预算数增加1743.19万元，增长71.55%。主要原因是</w:t>
      </w:r>
      <w:r>
        <w:rPr>
          <w:rFonts w:hint="eastAsia" w:ascii="方正仿宋_GBK" w:hAnsi="方正仿宋_GBK" w:eastAsia="方正仿宋_GBK" w:cs="方正仿宋_GBK"/>
          <w:b w:val="0"/>
          <w:bCs w:val="0"/>
          <w:color w:val="auto"/>
          <w:sz w:val="32"/>
          <w:szCs w:val="32"/>
          <w:shd w:val="clear" w:color="auto" w:fill="FFFFFF"/>
          <w:lang w:val="en-US" w:eastAsia="zh-CN"/>
        </w:rPr>
        <w:t>荣峰河大石桥绿化工程、场镇品质提升、耕地恢复补足、水产养殖污染整治提升、特色精品村、美丽宜居村等项目和抚恤金增加</w:t>
      </w:r>
      <w:r>
        <w:rPr>
          <w:rFonts w:hint="eastAsia" w:ascii="方正仿宋_GBK" w:hAnsi="方正仿宋_GBK" w:eastAsia="方正仿宋_GBK" w:cs="方正仿宋_GBK"/>
          <w:b w:val="0"/>
          <w:bCs w:val="0"/>
          <w:color w:val="auto"/>
          <w:sz w:val="32"/>
          <w:szCs w:val="32"/>
          <w:shd w:val="clear" w:color="auto" w:fill="FFFFFF"/>
        </w:rPr>
        <w:t>。此外，年初财政拨款结转和结余</w:t>
      </w:r>
      <w:r>
        <w:rPr>
          <w:rFonts w:hint="eastAsia" w:ascii="方正仿宋_GBK" w:hAnsi="方正仿宋_GBK" w:eastAsia="方正仿宋_GBK" w:cs="方正仿宋_GBK"/>
          <w:b w:val="0"/>
          <w:bCs w:val="0"/>
          <w:color w:val="auto"/>
          <w:sz w:val="32"/>
          <w:szCs w:val="32"/>
        </w:rPr>
        <w:t>47.86</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2.支出情况。</w:t>
      </w:r>
      <w:r>
        <w:rPr>
          <w:rFonts w:hint="eastAsia" w:ascii="方正仿宋_GBK" w:hAnsi="方正仿宋_GBK" w:eastAsia="方正仿宋_GBK" w:cs="方正仿宋_GBK"/>
          <w:b w:val="0"/>
          <w:bCs w:val="0"/>
          <w:color w:val="auto"/>
          <w:sz w:val="32"/>
          <w:szCs w:val="32"/>
          <w:shd w:val="clear" w:color="auto" w:fill="FFFFFF"/>
        </w:rPr>
        <w:t>2023年度一般公共预算财政拨款支出</w:t>
      </w:r>
      <w:r>
        <w:rPr>
          <w:rFonts w:hint="eastAsia" w:ascii="方正仿宋_GBK" w:hAnsi="方正仿宋_GBK" w:eastAsia="方正仿宋_GBK" w:cs="方正仿宋_GBK"/>
          <w:b w:val="0"/>
          <w:bCs w:val="0"/>
          <w:color w:val="auto"/>
          <w:sz w:val="32"/>
          <w:szCs w:val="32"/>
        </w:rPr>
        <w:t>4227.26</w:t>
      </w:r>
      <w:r>
        <w:rPr>
          <w:rFonts w:hint="eastAsia" w:ascii="方正仿宋_GBK" w:hAnsi="方正仿宋_GBK" w:eastAsia="方正仿宋_GBK" w:cs="方正仿宋_GBK"/>
          <w:b w:val="0"/>
          <w:bCs w:val="0"/>
          <w:color w:val="auto"/>
          <w:sz w:val="32"/>
          <w:szCs w:val="32"/>
          <w:shd w:val="clear" w:color="auto" w:fill="FFFFFF"/>
        </w:rPr>
        <w:t>万元，较上年决算数减少1360.37万元，下降24.35%。主要原因是</w:t>
      </w:r>
      <w:r>
        <w:rPr>
          <w:rFonts w:hint="eastAsia" w:ascii="方正仿宋_GBK" w:hAnsi="方正仿宋_GBK" w:eastAsia="方正仿宋_GBK" w:cs="方正仿宋_GBK"/>
          <w:b w:val="0"/>
          <w:bCs w:val="0"/>
          <w:color w:val="auto"/>
          <w:sz w:val="32"/>
          <w:szCs w:val="32"/>
          <w:shd w:val="clear" w:color="auto" w:fill="FFFFFF"/>
          <w:lang w:val="en-US" w:eastAsia="zh-CN"/>
        </w:rPr>
        <w:t>社会保障和就业、农林水、住房保障支出减少</w:t>
      </w:r>
      <w:r>
        <w:rPr>
          <w:rFonts w:hint="eastAsia" w:ascii="方正仿宋_GBK" w:hAnsi="方正仿宋_GBK" w:eastAsia="方正仿宋_GBK" w:cs="方正仿宋_GBK"/>
          <w:b w:val="0"/>
          <w:bCs w:val="0"/>
          <w:color w:val="auto"/>
          <w:sz w:val="32"/>
          <w:szCs w:val="32"/>
          <w:shd w:val="clear" w:color="auto" w:fill="FFFFFF"/>
        </w:rPr>
        <w:t>。较年初预算数增加1791.05万元，增长73.52%。主要原因是</w:t>
      </w:r>
      <w:r>
        <w:rPr>
          <w:rFonts w:hint="eastAsia" w:ascii="方正仿宋_GBK" w:hAnsi="方正仿宋_GBK" w:eastAsia="方正仿宋_GBK" w:cs="方正仿宋_GBK"/>
          <w:b w:val="0"/>
          <w:bCs w:val="0"/>
          <w:color w:val="auto"/>
          <w:sz w:val="32"/>
          <w:szCs w:val="32"/>
          <w:shd w:val="clear" w:color="auto" w:fill="FFFFFF"/>
          <w:lang w:val="en-US" w:eastAsia="zh-CN"/>
        </w:rPr>
        <w:t>荣峰河大石桥绿化工程、场镇品质提升、耕地恢复补足、水产养殖污染整治提升、特色精品村、美丽宜居村等项目和抚恤金增加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Style w:val="10"/>
          <w:rFonts w:hint="eastAsia" w:ascii="方正仿宋_GBK" w:hAnsi="方正仿宋_GBK" w:eastAsia="方正仿宋_GBK" w:cs="方正仿宋_GBK"/>
          <w:b w:val="0"/>
          <w:bCs w:val="0"/>
          <w:color w:val="auto"/>
          <w:sz w:val="32"/>
          <w:szCs w:val="32"/>
          <w:shd w:val="clear" w:color="auto" w:fill="FFFFFF"/>
        </w:rPr>
        <w:t>3.结转结余情况。</w:t>
      </w:r>
      <w:r>
        <w:rPr>
          <w:rFonts w:hint="eastAsia" w:ascii="方正仿宋_GBK" w:hAnsi="方正仿宋_GBK" w:eastAsia="方正仿宋_GBK" w:cs="方正仿宋_GBK"/>
          <w:b w:val="0"/>
          <w:bCs w:val="0"/>
          <w:color w:val="auto"/>
          <w:sz w:val="32"/>
          <w:szCs w:val="32"/>
          <w:shd w:val="clear" w:color="auto" w:fill="FFFFFF"/>
        </w:rPr>
        <w:t>2023年度年末一般公共预算财政拨款结转和结余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万元，较上年决算数无增减，</w:t>
      </w:r>
      <w:r>
        <w:rPr>
          <w:rFonts w:hint="eastAsia" w:ascii="方正仿宋_GBK" w:hAnsi="方正仿宋_GBK" w:eastAsia="方正仿宋_GBK" w:cs="方正仿宋_GBK"/>
          <w:b w:val="0"/>
          <w:bCs w:val="0"/>
          <w:color w:val="auto"/>
          <w:sz w:val="32"/>
          <w:szCs w:val="32"/>
          <w:shd w:val="clear" w:color="auto" w:fill="FFFFFF"/>
          <w:lang w:val="en-US" w:eastAsia="zh-CN"/>
        </w:rPr>
        <w:t>与上年持平</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Style w:val="10"/>
          <w:rFonts w:hint="eastAsia" w:ascii="方正仿宋_GBK" w:hAnsi="方正仿宋_GBK" w:eastAsia="方正仿宋_GBK" w:cs="方正仿宋_GBK"/>
          <w:b w:val="0"/>
          <w:bCs w:val="0"/>
          <w:color w:val="auto"/>
          <w:sz w:val="32"/>
          <w:szCs w:val="32"/>
          <w:shd w:val="clear" w:color="auto" w:fill="FFFFFF"/>
        </w:rPr>
        <w:t>4.比较情况。</w:t>
      </w:r>
      <w:r>
        <w:rPr>
          <w:rFonts w:hint="eastAsia" w:ascii="方正仿宋_GBK" w:hAnsi="方正仿宋_GBK" w:eastAsia="方正仿宋_GBK" w:cs="方正仿宋_GBK"/>
          <w:b w:val="0"/>
          <w:bCs w:val="0"/>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（1）一般公共服务支出</w:t>
      </w:r>
      <w:r>
        <w:rPr>
          <w:rFonts w:hint="eastAsia" w:ascii="方正仿宋_GBK" w:hAnsi="方正仿宋_GBK" w:eastAsia="方正仿宋_GBK" w:cs="方正仿宋_GBK"/>
          <w:b w:val="0"/>
          <w:bCs w:val="0"/>
          <w:color w:val="auto"/>
          <w:sz w:val="32"/>
          <w:szCs w:val="32"/>
        </w:rPr>
        <w:t>1315.07</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31.11</w:t>
      </w:r>
      <w:r>
        <w:rPr>
          <w:rFonts w:hint="eastAsia" w:ascii="方正仿宋_GBK" w:hAnsi="方正仿宋_GBK" w:eastAsia="方正仿宋_GBK" w:cs="方正仿宋_GBK"/>
          <w:b w:val="0"/>
          <w:bCs w:val="0"/>
          <w:color w:val="auto"/>
          <w:sz w:val="32"/>
          <w:szCs w:val="32"/>
          <w:shd w:val="clear" w:color="auto" w:fill="FFFFFF"/>
        </w:rPr>
        <w:t>%，较年初预算数增加56.73万元，增长4.51%，主要原因是</w:t>
      </w:r>
      <w:r>
        <w:rPr>
          <w:rFonts w:hint="eastAsia" w:ascii="方正仿宋_GBK" w:hAnsi="方正仿宋_GBK" w:eastAsia="方正仿宋_GBK" w:cs="方正仿宋_GBK"/>
          <w:b w:val="0"/>
          <w:bCs w:val="0"/>
          <w:color w:val="auto"/>
          <w:sz w:val="32"/>
          <w:szCs w:val="32"/>
          <w:shd w:val="clear" w:color="auto" w:fill="FFFFFF"/>
          <w:lang w:val="en-US" w:eastAsia="zh-CN"/>
        </w:rPr>
        <w:t>抚恤金支出增加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2</w:t>
      </w:r>
      <w:r>
        <w:rPr>
          <w:rFonts w:hint="eastAsia" w:ascii="方正仿宋_GBK" w:hAnsi="方正仿宋_GBK" w:eastAsia="方正仿宋_GBK" w:cs="方正仿宋_GBK"/>
          <w:b w:val="0"/>
          <w:bCs w:val="0"/>
          <w:color w:val="auto"/>
          <w:sz w:val="32"/>
          <w:szCs w:val="32"/>
          <w:shd w:val="clear" w:color="auto" w:fill="FFFFFF"/>
        </w:rPr>
        <w:t>）国防支出</w:t>
      </w:r>
      <w:r>
        <w:rPr>
          <w:rFonts w:hint="eastAsia" w:ascii="方正仿宋_GBK" w:hAnsi="方正仿宋_GBK" w:eastAsia="方正仿宋_GBK" w:cs="方正仿宋_GBK"/>
          <w:b w:val="0"/>
          <w:bCs w:val="0"/>
          <w:color w:val="auto"/>
          <w:sz w:val="32"/>
          <w:szCs w:val="32"/>
        </w:rPr>
        <w:t>0.72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0.02</w:t>
      </w:r>
      <w:r>
        <w:rPr>
          <w:rFonts w:hint="eastAsia" w:ascii="方正仿宋_GBK" w:hAnsi="方正仿宋_GBK" w:eastAsia="方正仿宋_GBK" w:cs="方正仿宋_GBK"/>
          <w:b w:val="0"/>
          <w:bCs w:val="0"/>
          <w:color w:val="auto"/>
          <w:sz w:val="32"/>
          <w:szCs w:val="32"/>
          <w:shd w:val="clear" w:color="auto" w:fill="FFFFFF"/>
        </w:rPr>
        <w:t>%，较年初预算数减少5.28万元，下降88.00%，主要原因是</w:t>
      </w:r>
      <w:r>
        <w:rPr>
          <w:rFonts w:hint="eastAsia" w:ascii="方正仿宋_GBK" w:hAnsi="方正仿宋_GBK" w:eastAsia="方正仿宋_GBK" w:cs="方正仿宋_GBK"/>
          <w:b w:val="0"/>
          <w:bCs w:val="0"/>
          <w:color w:val="auto"/>
          <w:sz w:val="32"/>
          <w:szCs w:val="32"/>
          <w:shd w:val="clear" w:color="auto" w:fill="FFFFFF"/>
          <w:lang w:val="en-US" w:eastAsia="zh-CN"/>
        </w:rPr>
        <w:t>国防武装经费支出减少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3</w:t>
      </w:r>
      <w:r>
        <w:rPr>
          <w:rFonts w:hint="eastAsia" w:ascii="方正仿宋_GBK" w:hAnsi="方正仿宋_GBK" w:eastAsia="方正仿宋_GBK" w:cs="方正仿宋_GBK"/>
          <w:b w:val="0"/>
          <w:bCs w:val="0"/>
          <w:color w:val="auto"/>
          <w:sz w:val="32"/>
          <w:szCs w:val="32"/>
          <w:shd w:val="clear" w:color="auto" w:fill="FFFFFF"/>
        </w:rPr>
        <w:t>）公共安全支出</w:t>
      </w:r>
      <w:r>
        <w:rPr>
          <w:rFonts w:hint="eastAsia" w:ascii="方正仿宋_GBK" w:hAnsi="方正仿宋_GBK" w:eastAsia="方正仿宋_GBK" w:cs="方正仿宋_GBK"/>
          <w:b w:val="0"/>
          <w:bCs w:val="0"/>
          <w:color w:val="auto"/>
          <w:sz w:val="32"/>
          <w:szCs w:val="32"/>
        </w:rPr>
        <w:t>0.61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0.01</w:t>
      </w:r>
      <w:r>
        <w:rPr>
          <w:rFonts w:hint="eastAsia" w:ascii="方正仿宋_GBK" w:hAnsi="方正仿宋_GBK" w:eastAsia="方正仿宋_GBK" w:cs="方正仿宋_GBK"/>
          <w:b w:val="0"/>
          <w:bCs w:val="0"/>
          <w:color w:val="auto"/>
          <w:sz w:val="32"/>
          <w:szCs w:val="32"/>
          <w:shd w:val="clear" w:color="auto" w:fill="FFFFFF"/>
        </w:rPr>
        <w:t>%，较年初预算数减少4.39万元，下降87.80%，主要原因是</w:t>
      </w:r>
      <w:r>
        <w:rPr>
          <w:rFonts w:hint="eastAsia" w:ascii="方正仿宋_GBK" w:hAnsi="方正仿宋_GBK" w:eastAsia="方正仿宋_GBK" w:cs="方正仿宋_GBK"/>
          <w:b w:val="0"/>
          <w:bCs w:val="0"/>
          <w:color w:val="auto"/>
          <w:sz w:val="32"/>
          <w:szCs w:val="32"/>
          <w:shd w:val="clear" w:color="auto" w:fill="FFFFFF"/>
          <w:lang w:val="en-US" w:eastAsia="zh-CN"/>
        </w:rPr>
        <w:t>安全生产及应急管理经费支出减少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4</w:t>
      </w:r>
      <w:r>
        <w:rPr>
          <w:rFonts w:hint="eastAsia" w:ascii="方正仿宋_GBK" w:hAnsi="方正仿宋_GBK" w:eastAsia="方正仿宋_GBK" w:cs="方正仿宋_GBK"/>
          <w:b w:val="0"/>
          <w:bCs w:val="0"/>
          <w:color w:val="auto"/>
          <w:sz w:val="32"/>
          <w:szCs w:val="32"/>
          <w:shd w:val="clear" w:color="auto" w:fill="FFFFFF"/>
        </w:rPr>
        <w:t>）教育支出</w:t>
      </w:r>
      <w:r>
        <w:rPr>
          <w:rFonts w:hint="eastAsia" w:ascii="方正仿宋_GBK" w:hAnsi="方正仿宋_GBK" w:eastAsia="方正仿宋_GBK" w:cs="方正仿宋_GBK"/>
          <w:b w:val="0"/>
          <w:bCs w:val="0"/>
          <w:color w:val="auto"/>
          <w:sz w:val="32"/>
          <w:szCs w:val="32"/>
        </w:rPr>
        <w:t>6.78</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0.16</w:t>
      </w:r>
      <w:r>
        <w:rPr>
          <w:rFonts w:hint="eastAsia" w:ascii="方正仿宋_GBK" w:hAnsi="方正仿宋_GBK" w:eastAsia="方正仿宋_GBK" w:cs="方正仿宋_GBK"/>
          <w:b w:val="0"/>
          <w:bCs w:val="0"/>
          <w:color w:val="auto"/>
          <w:sz w:val="32"/>
          <w:szCs w:val="32"/>
          <w:shd w:val="clear" w:color="auto" w:fill="FFFFFF"/>
        </w:rPr>
        <w:t>%，较年初预算数减少3.22万元，下降32.20%，主要原因是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职工教育经费支出减少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5</w:t>
      </w:r>
      <w:r>
        <w:rPr>
          <w:rFonts w:hint="eastAsia" w:ascii="方正仿宋_GBK" w:hAnsi="方正仿宋_GBK" w:eastAsia="方正仿宋_GBK" w:cs="方正仿宋_GBK"/>
          <w:b w:val="0"/>
          <w:bCs w:val="0"/>
          <w:color w:val="auto"/>
          <w:sz w:val="32"/>
          <w:szCs w:val="32"/>
          <w:shd w:val="clear" w:color="auto" w:fill="FFFFFF"/>
        </w:rPr>
        <w:t>）文化旅游体育与传媒支出</w:t>
      </w:r>
      <w:r>
        <w:rPr>
          <w:rFonts w:hint="eastAsia" w:ascii="方正仿宋_GBK" w:hAnsi="方正仿宋_GBK" w:eastAsia="方正仿宋_GBK" w:cs="方正仿宋_GBK"/>
          <w:b w:val="0"/>
          <w:bCs w:val="0"/>
          <w:color w:val="auto"/>
          <w:sz w:val="32"/>
          <w:szCs w:val="32"/>
        </w:rPr>
        <w:t>2.61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0.06</w:t>
      </w:r>
      <w:r>
        <w:rPr>
          <w:rFonts w:hint="eastAsia" w:ascii="方正仿宋_GBK" w:hAnsi="方正仿宋_GBK" w:eastAsia="方正仿宋_GBK" w:cs="方正仿宋_GBK"/>
          <w:b w:val="0"/>
          <w:bCs w:val="0"/>
          <w:color w:val="auto"/>
          <w:sz w:val="32"/>
          <w:szCs w:val="32"/>
          <w:shd w:val="clear" w:color="auto" w:fill="FFFFFF"/>
        </w:rPr>
        <w:t>%，较年初预算数减少6.41万元，下降71.06%，主要原因是</w:t>
      </w:r>
      <w:r>
        <w:rPr>
          <w:rFonts w:hint="eastAsia" w:ascii="方正仿宋_GBK" w:hAnsi="方正仿宋_GBK" w:eastAsia="方正仿宋_GBK" w:cs="方正仿宋_GBK"/>
          <w:b w:val="0"/>
          <w:bCs w:val="0"/>
          <w:color w:val="auto"/>
          <w:sz w:val="32"/>
          <w:szCs w:val="32"/>
          <w:shd w:val="clear" w:color="auto" w:fill="FFFFFF"/>
          <w:lang w:val="en-US" w:eastAsia="zh-CN"/>
        </w:rPr>
        <w:t>免开补助和中央公共文化资金支出减少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6</w:t>
      </w:r>
      <w:r>
        <w:rPr>
          <w:rFonts w:hint="eastAsia" w:ascii="方正仿宋_GBK" w:hAnsi="方正仿宋_GBK" w:eastAsia="方正仿宋_GBK" w:cs="方正仿宋_GBK"/>
          <w:b w:val="0"/>
          <w:bCs w:val="0"/>
          <w:color w:val="auto"/>
          <w:sz w:val="32"/>
          <w:szCs w:val="32"/>
          <w:shd w:val="clear" w:color="auto" w:fill="FFFFFF"/>
        </w:rPr>
        <w:t>）社会保障与就业支出</w:t>
      </w:r>
      <w:r>
        <w:rPr>
          <w:rFonts w:hint="eastAsia" w:ascii="方正仿宋_GBK" w:hAnsi="方正仿宋_GBK" w:eastAsia="方正仿宋_GBK" w:cs="方正仿宋_GBK"/>
          <w:b w:val="0"/>
          <w:bCs w:val="0"/>
          <w:color w:val="auto"/>
          <w:sz w:val="32"/>
          <w:szCs w:val="32"/>
        </w:rPr>
        <w:t>387.02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9.16</w:t>
      </w:r>
      <w:r>
        <w:rPr>
          <w:rFonts w:hint="eastAsia" w:ascii="方正仿宋_GBK" w:hAnsi="方正仿宋_GBK" w:eastAsia="方正仿宋_GBK" w:cs="方正仿宋_GBK"/>
          <w:b w:val="0"/>
          <w:bCs w:val="0"/>
          <w:color w:val="auto"/>
          <w:sz w:val="32"/>
          <w:szCs w:val="32"/>
          <w:shd w:val="clear" w:color="auto" w:fill="FFFFFF"/>
        </w:rPr>
        <w:t>%，较年初预算数减少39.19万元，下降9.19%，主要原因是</w:t>
      </w:r>
      <w:r>
        <w:rPr>
          <w:rFonts w:hint="eastAsia" w:ascii="方正仿宋_GBK" w:hAnsi="方正仿宋_GBK" w:eastAsia="方正仿宋_GBK" w:cs="方正仿宋_GBK"/>
          <w:b w:val="0"/>
          <w:bCs w:val="0"/>
          <w:color w:val="auto"/>
          <w:sz w:val="32"/>
          <w:szCs w:val="32"/>
          <w:shd w:val="clear" w:color="auto" w:fill="FFFFFF"/>
          <w:lang w:val="en-US" w:eastAsia="zh-CN"/>
        </w:rPr>
        <w:t>特困人员死亡丧葬补助和村级便民服务中心建设支出减少</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7</w:t>
      </w:r>
      <w:r>
        <w:rPr>
          <w:rFonts w:hint="eastAsia" w:ascii="方正仿宋_GBK" w:hAnsi="方正仿宋_GBK" w:eastAsia="方正仿宋_GBK" w:cs="方正仿宋_GBK"/>
          <w:b w:val="0"/>
          <w:bCs w:val="0"/>
          <w:color w:val="auto"/>
          <w:sz w:val="32"/>
          <w:szCs w:val="32"/>
          <w:shd w:val="clear" w:color="auto" w:fill="FFFFFF"/>
        </w:rPr>
        <w:t>）卫生健康支出</w:t>
      </w:r>
      <w:r>
        <w:rPr>
          <w:rFonts w:hint="eastAsia" w:ascii="方正仿宋_GBK" w:hAnsi="方正仿宋_GBK" w:eastAsia="方正仿宋_GBK" w:cs="方正仿宋_GBK"/>
          <w:b w:val="0"/>
          <w:bCs w:val="0"/>
          <w:color w:val="auto"/>
          <w:sz w:val="32"/>
          <w:szCs w:val="32"/>
        </w:rPr>
        <w:t>58.51</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1.38</w:t>
      </w:r>
      <w:r>
        <w:rPr>
          <w:rFonts w:hint="eastAsia" w:ascii="方正仿宋_GBK" w:hAnsi="方正仿宋_GBK" w:eastAsia="方正仿宋_GBK" w:cs="方正仿宋_GBK"/>
          <w:b w:val="0"/>
          <w:bCs w:val="0"/>
          <w:color w:val="auto"/>
          <w:sz w:val="32"/>
          <w:szCs w:val="32"/>
          <w:shd w:val="clear" w:color="auto" w:fill="FFFFFF"/>
        </w:rPr>
        <w:t>%，较年初预算数增加5.76万元，增长10.92%，主要原因是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职工医疗保险缴费增加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8</w:t>
      </w:r>
      <w:r>
        <w:rPr>
          <w:rFonts w:hint="eastAsia" w:ascii="方正仿宋_GBK" w:hAnsi="方正仿宋_GBK" w:eastAsia="方正仿宋_GBK" w:cs="方正仿宋_GBK"/>
          <w:b w:val="0"/>
          <w:bCs w:val="0"/>
          <w:color w:val="auto"/>
          <w:sz w:val="32"/>
          <w:szCs w:val="32"/>
          <w:shd w:val="clear" w:color="auto" w:fill="FFFFFF"/>
        </w:rPr>
        <w:t>）节能环保支出</w:t>
      </w:r>
      <w:r>
        <w:rPr>
          <w:rFonts w:hint="eastAsia" w:ascii="方正仿宋_GBK" w:hAnsi="方正仿宋_GBK" w:eastAsia="方正仿宋_GBK" w:cs="方正仿宋_GBK"/>
          <w:b w:val="0"/>
          <w:bCs w:val="0"/>
          <w:color w:val="auto"/>
          <w:sz w:val="32"/>
          <w:szCs w:val="32"/>
        </w:rPr>
        <w:t>21.92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0.52</w:t>
      </w:r>
      <w:r>
        <w:rPr>
          <w:rFonts w:hint="eastAsia" w:ascii="方正仿宋_GBK" w:hAnsi="方正仿宋_GBK" w:eastAsia="方正仿宋_GBK" w:cs="方正仿宋_GBK"/>
          <w:b w:val="0"/>
          <w:bCs w:val="0"/>
          <w:color w:val="auto"/>
          <w:sz w:val="32"/>
          <w:szCs w:val="32"/>
          <w:shd w:val="clear" w:color="auto" w:fill="FFFFFF"/>
        </w:rPr>
        <w:t>%，较年初预算数增加16.58万元，增长310.49%，主要原因是</w:t>
      </w:r>
      <w:r>
        <w:rPr>
          <w:rFonts w:hint="eastAsia" w:ascii="方正仿宋_GBK" w:hAnsi="方正仿宋_GBK" w:eastAsia="方正仿宋_GBK" w:cs="方正仿宋_GBK"/>
          <w:b w:val="0"/>
          <w:bCs w:val="0"/>
          <w:color w:val="auto"/>
          <w:sz w:val="32"/>
          <w:szCs w:val="32"/>
          <w:shd w:val="clear" w:color="auto" w:fill="FFFFFF"/>
          <w:lang w:val="en-US" w:eastAsia="zh-CN"/>
        </w:rPr>
        <w:t>重点河流流域生态补偿金和黑臭水体治理项目支出增加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9</w:t>
      </w:r>
      <w:r>
        <w:rPr>
          <w:rFonts w:hint="eastAsia" w:ascii="方正仿宋_GBK" w:hAnsi="方正仿宋_GBK" w:eastAsia="方正仿宋_GBK" w:cs="方正仿宋_GBK"/>
          <w:b w:val="0"/>
          <w:bCs w:val="0"/>
          <w:color w:val="auto"/>
          <w:sz w:val="32"/>
          <w:szCs w:val="32"/>
          <w:shd w:val="clear" w:color="auto" w:fill="FFFFFF"/>
        </w:rPr>
        <w:t>）城乡社区支出</w:t>
      </w:r>
      <w:r>
        <w:rPr>
          <w:rFonts w:hint="eastAsia" w:ascii="方正仿宋_GBK" w:hAnsi="方正仿宋_GBK" w:eastAsia="方正仿宋_GBK" w:cs="方正仿宋_GBK"/>
          <w:b w:val="0"/>
          <w:bCs w:val="0"/>
          <w:color w:val="auto"/>
          <w:sz w:val="32"/>
          <w:szCs w:val="32"/>
        </w:rPr>
        <w:t>877.72</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20.76</w:t>
      </w:r>
      <w:r>
        <w:rPr>
          <w:rFonts w:hint="eastAsia" w:ascii="方正仿宋_GBK" w:hAnsi="方正仿宋_GBK" w:eastAsia="方正仿宋_GBK" w:cs="方正仿宋_GBK"/>
          <w:b w:val="0"/>
          <w:bCs w:val="0"/>
          <w:color w:val="auto"/>
          <w:sz w:val="32"/>
          <w:szCs w:val="32"/>
          <w:shd w:val="clear" w:color="auto" w:fill="FFFFFF"/>
        </w:rPr>
        <w:t>%，较年初预算数增加727.72万元，增长485.15%，主要原因是</w:t>
      </w:r>
      <w:r>
        <w:rPr>
          <w:rFonts w:hint="eastAsia" w:ascii="方正仿宋_GBK" w:hAnsi="方正仿宋_GBK" w:eastAsia="方正仿宋_GBK" w:cs="方正仿宋_GBK"/>
          <w:b w:val="0"/>
          <w:bCs w:val="0"/>
          <w:color w:val="auto"/>
          <w:sz w:val="32"/>
          <w:szCs w:val="32"/>
          <w:shd w:val="clear" w:color="auto" w:fill="FFFFFF"/>
          <w:lang w:val="en-US" w:eastAsia="zh-CN"/>
        </w:rPr>
        <w:t>场镇品质提升工程和基础设施建设项目支出增加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default" w:ascii="方正仿宋_GBK" w:hAnsi="方正仿宋_GBK" w:eastAsia="方正仿宋_GBK" w:cs="方正仿宋_GBK"/>
          <w:b w:val="0"/>
          <w:bCs w:val="0"/>
          <w:color w:val="auto"/>
          <w:sz w:val="32"/>
          <w:szCs w:val="32"/>
          <w:shd w:val="clear" w:color="auto" w:fill="FFFFFF"/>
          <w:lang w:val="en-US" w:eastAsia="zh-CN"/>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10</w:t>
      </w:r>
      <w:r>
        <w:rPr>
          <w:rFonts w:hint="eastAsia" w:ascii="方正仿宋_GBK" w:hAnsi="方正仿宋_GBK" w:eastAsia="方正仿宋_GBK" w:cs="方正仿宋_GBK"/>
          <w:b w:val="0"/>
          <w:bCs w:val="0"/>
          <w:color w:val="auto"/>
          <w:sz w:val="32"/>
          <w:szCs w:val="32"/>
          <w:shd w:val="clear" w:color="auto" w:fill="FFFFFF"/>
        </w:rPr>
        <w:t>）农林水支出</w:t>
      </w:r>
      <w:r>
        <w:rPr>
          <w:rFonts w:hint="eastAsia" w:ascii="方正仿宋_GBK" w:hAnsi="方正仿宋_GBK" w:eastAsia="方正仿宋_GBK" w:cs="方正仿宋_GBK"/>
          <w:b w:val="0"/>
          <w:bCs w:val="0"/>
          <w:color w:val="auto"/>
          <w:sz w:val="32"/>
          <w:szCs w:val="32"/>
        </w:rPr>
        <w:t>1199.03</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28.36</w:t>
      </w:r>
      <w:r>
        <w:rPr>
          <w:rFonts w:hint="eastAsia" w:ascii="方正仿宋_GBK" w:hAnsi="方正仿宋_GBK" w:eastAsia="方正仿宋_GBK" w:cs="方正仿宋_GBK"/>
          <w:b w:val="0"/>
          <w:bCs w:val="0"/>
          <w:color w:val="auto"/>
          <w:sz w:val="32"/>
          <w:szCs w:val="32"/>
          <w:shd w:val="clear" w:color="auto" w:fill="FFFFFF"/>
        </w:rPr>
        <w:t>%，较年初预算数增加904.53万元，增长307.14%，主要原因是</w:t>
      </w:r>
      <w:r>
        <w:rPr>
          <w:rFonts w:hint="eastAsia" w:ascii="方正仿宋_GBK" w:hAnsi="方正仿宋_GBK" w:eastAsia="方正仿宋_GBK" w:cs="方正仿宋_GBK"/>
          <w:b w:val="0"/>
          <w:bCs w:val="0"/>
          <w:color w:val="auto"/>
          <w:sz w:val="32"/>
          <w:szCs w:val="32"/>
          <w:shd w:val="clear" w:color="auto" w:fill="FFFFFF"/>
          <w:lang w:val="en-US" w:eastAsia="zh-CN"/>
        </w:rPr>
        <w:t>荣峰河大石桥绿化工程、水产养殖污染整治提升、特色精品村、美丽宜居村等项目支出增加。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11</w:t>
      </w:r>
      <w:r>
        <w:rPr>
          <w:rFonts w:hint="eastAsia" w:ascii="方正仿宋_GBK" w:hAnsi="方正仿宋_GBK" w:eastAsia="方正仿宋_GBK" w:cs="方正仿宋_GBK"/>
          <w:b w:val="0"/>
          <w:bCs w:val="0"/>
          <w:color w:val="auto"/>
          <w:sz w:val="32"/>
          <w:szCs w:val="32"/>
          <w:shd w:val="clear" w:color="auto" w:fill="FFFFFF"/>
        </w:rPr>
        <w:t>）交通运输支出</w:t>
      </w:r>
      <w:r>
        <w:rPr>
          <w:rFonts w:hint="eastAsia" w:ascii="方正仿宋_GBK" w:hAnsi="方正仿宋_GBK" w:eastAsia="方正仿宋_GBK" w:cs="方正仿宋_GBK"/>
          <w:b w:val="0"/>
          <w:bCs w:val="0"/>
          <w:color w:val="auto"/>
          <w:sz w:val="32"/>
          <w:szCs w:val="32"/>
        </w:rPr>
        <w:t>306.44</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7.25</w:t>
      </w:r>
      <w:r>
        <w:rPr>
          <w:rFonts w:hint="eastAsia" w:ascii="方正仿宋_GBK" w:hAnsi="方正仿宋_GBK" w:eastAsia="方正仿宋_GBK" w:cs="方正仿宋_GBK"/>
          <w:b w:val="0"/>
          <w:bCs w:val="0"/>
          <w:color w:val="auto"/>
          <w:sz w:val="32"/>
          <w:szCs w:val="32"/>
          <w:shd w:val="clear" w:color="auto" w:fill="FFFFFF"/>
        </w:rPr>
        <w:t>%，较年初预算数增加158.84万元，增长107.62%，主要原因是</w:t>
      </w:r>
      <w:r>
        <w:rPr>
          <w:rFonts w:hint="eastAsia" w:ascii="方正仿宋_GBK" w:hAnsi="方正仿宋_GBK" w:eastAsia="方正仿宋_GBK" w:cs="方正仿宋_GBK"/>
          <w:b w:val="0"/>
          <w:bCs w:val="0"/>
          <w:color w:val="auto"/>
          <w:sz w:val="32"/>
          <w:szCs w:val="32"/>
          <w:shd w:val="clear" w:color="auto" w:fill="FFFFFF"/>
          <w:lang w:val="en-US" w:eastAsia="zh-CN"/>
        </w:rPr>
        <w:t>农村公路建设补助资金支出增加</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12</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自然资源海洋气象等支出18.00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0.43</w:t>
      </w:r>
      <w:r>
        <w:rPr>
          <w:rFonts w:hint="eastAsia" w:ascii="方正仿宋_GBK" w:hAnsi="方正仿宋_GBK" w:eastAsia="方正仿宋_GBK" w:cs="方正仿宋_GBK"/>
          <w:b w:val="0"/>
          <w:bCs w:val="0"/>
          <w:color w:val="auto"/>
          <w:sz w:val="32"/>
          <w:szCs w:val="32"/>
          <w:shd w:val="clear" w:color="auto" w:fill="FFFFFF"/>
        </w:rPr>
        <w:t>%，较年初预算数增加18.00万元，增长100.00%，主要原因是</w:t>
      </w:r>
      <w:r>
        <w:rPr>
          <w:rFonts w:hint="eastAsia" w:ascii="方正仿宋_GBK" w:hAnsi="方正仿宋_GBK" w:eastAsia="方正仿宋_GBK" w:cs="方正仿宋_GBK"/>
          <w:b w:val="0"/>
          <w:bCs w:val="0"/>
          <w:color w:val="auto"/>
          <w:sz w:val="32"/>
          <w:szCs w:val="32"/>
          <w:shd w:val="clear" w:color="auto" w:fill="FFFFFF"/>
          <w:lang w:val="en-US" w:eastAsia="zh-CN"/>
        </w:rPr>
        <w:t>年中新增耕地恢复补足项目预算</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13</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住房保障支出31.83</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0.75</w:t>
      </w:r>
      <w:r>
        <w:rPr>
          <w:rFonts w:hint="eastAsia" w:ascii="方正仿宋_GBK" w:hAnsi="方正仿宋_GBK" w:eastAsia="方正仿宋_GBK" w:cs="方正仿宋_GBK"/>
          <w:b w:val="0"/>
          <w:bCs w:val="0"/>
          <w:color w:val="auto"/>
          <w:sz w:val="32"/>
          <w:szCs w:val="32"/>
          <w:shd w:val="clear" w:color="auto" w:fill="FFFFFF"/>
        </w:rPr>
        <w:t>%，较年初预算数减少39.62万元，下降55.45%，主要原因是</w:t>
      </w:r>
      <w:r>
        <w:rPr>
          <w:rFonts w:hint="eastAsia" w:ascii="方正仿宋_GBK" w:hAnsi="方正仿宋_GBK" w:eastAsia="方正仿宋_GBK" w:cs="方正仿宋_GBK"/>
          <w:b w:val="0"/>
          <w:bCs w:val="0"/>
          <w:color w:val="auto"/>
          <w:sz w:val="32"/>
          <w:szCs w:val="32"/>
          <w:shd w:val="clear" w:color="auto" w:fill="FFFFFF"/>
          <w:lang w:val="en-US" w:eastAsia="zh-CN"/>
        </w:rPr>
        <w:t>住房公积金缴费减少</w:t>
      </w:r>
      <w:r>
        <w:rPr>
          <w:rFonts w:hint="eastAsia" w:ascii="方正仿宋_GBK" w:hAnsi="方正仿宋_GBK" w:eastAsia="方正仿宋_GBK" w:cs="方正仿宋_GBK"/>
          <w:b w:val="0"/>
          <w:bCs w:val="0"/>
          <w:color w:val="auto"/>
          <w:sz w:val="32"/>
          <w:szCs w:val="32"/>
          <w:shd w:val="clear" w:color="auto" w:fill="FFFFFF"/>
        </w:rPr>
        <w:t>。</w:t>
      </w:r>
    </w:p>
    <w:p>
      <w:pPr>
        <w:keepNext w:val="0"/>
        <w:keepLines w:val="0"/>
        <w:pageBreakBefore w:val="0"/>
        <w:widowControl/>
        <w:kinsoku/>
        <w:wordWrap/>
        <w:overflowPunct/>
        <w:topLinePunct w:val="0"/>
        <w:autoSpaceDN/>
        <w:bidi w:val="0"/>
        <w:adjustRightInd/>
        <w:snapToGrid w:val="0"/>
        <w:spacing w:beforeAutospacing="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shd w:val="clear" w:color="auto" w:fill="FFFFFF"/>
          <w:lang w:val="en-US" w:eastAsia="zh-CN"/>
        </w:rPr>
        <w:t>14</w:t>
      </w:r>
      <w:r>
        <w:rPr>
          <w:rFonts w:hint="eastAsia" w:ascii="方正仿宋_GBK" w:hAnsi="方正仿宋_GBK" w:eastAsia="方正仿宋_GBK" w:cs="方正仿宋_GBK"/>
          <w:b w:val="0"/>
          <w:bCs w:val="0"/>
          <w:color w:val="auto"/>
          <w:sz w:val="32"/>
          <w:szCs w:val="32"/>
          <w:shd w:val="clear" w:color="auto" w:fill="FFFFFF"/>
        </w:rPr>
        <w:t>）</w:t>
      </w:r>
      <w:r>
        <w:rPr>
          <w:rFonts w:hint="eastAsia" w:ascii="方正仿宋_GBK" w:hAnsi="方正仿宋_GBK" w:eastAsia="方正仿宋_GBK" w:cs="方正仿宋_GBK"/>
          <w:b w:val="0"/>
          <w:bCs w:val="0"/>
          <w:color w:val="auto"/>
          <w:sz w:val="32"/>
          <w:szCs w:val="32"/>
        </w:rPr>
        <w:t>灾害防治及应急管理支出1.00</w:t>
      </w:r>
      <w:r>
        <w:rPr>
          <w:rFonts w:hint="eastAsia" w:ascii="方正仿宋_GBK" w:hAnsi="方正仿宋_GBK" w:eastAsia="方正仿宋_GBK" w:cs="方正仿宋_GBK"/>
          <w:b w:val="0"/>
          <w:bCs w:val="0"/>
          <w:color w:val="auto"/>
          <w:sz w:val="32"/>
          <w:szCs w:val="32"/>
          <w:shd w:val="clear" w:color="auto" w:fill="FFFFFF"/>
        </w:rPr>
        <w:t>万元，占</w:t>
      </w:r>
      <w:r>
        <w:rPr>
          <w:rFonts w:hint="eastAsia" w:ascii="方正仿宋_GBK" w:hAnsi="方正仿宋_GBK" w:eastAsia="方正仿宋_GBK" w:cs="方正仿宋_GBK"/>
          <w:b w:val="0"/>
          <w:bCs w:val="0"/>
          <w:color w:val="auto"/>
          <w:sz w:val="32"/>
          <w:szCs w:val="32"/>
        </w:rPr>
        <w:t>0.02</w:t>
      </w:r>
      <w:r>
        <w:rPr>
          <w:rFonts w:hint="eastAsia" w:ascii="方正仿宋_GBK" w:hAnsi="方正仿宋_GBK" w:eastAsia="方正仿宋_GBK" w:cs="方正仿宋_GBK"/>
          <w:b w:val="0"/>
          <w:bCs w:val="0"/>
          <w:color w:val="auto"/>
          <w:sz w:val="32"/>
          <w:szCs w:val="32"/>
          <w:shd w:val="clear" w:color="auto" w:fill="FFFFFF"/>
        </w:rPr>
        <w:t>%，较年初预算数增加1.00万元，增长100.00%，主要原因是</w:t>
      </w:r>
      <w:r>
        <w:rPr>
          <w:rFonts w:hint="eastAsia" w:ascii="方正仿宋_GBK" w:hAnsi="方正仿宋_GBK" w:eastAsia="方正仿宋_GBK" w:cs="方正仿宋_GBK"/>
          <w:b w:val="0"/>
          <w:bCs w:val="0"/>
          <w:color w:val="auto"/>
          <w:sz w:val="32"/>
          <w:szCs w:val="32"/>
          <w:shd w:val="clear" w:color="auto" w:fill="FFFFFF"/>
          <w:lang w:val="en-US" w:eastAsia="zh-CN"/>
        </w:rPr>
        <w:t>年中新增应急救灾专项资金预算</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（四）一般公共预算财政拨款基本支出决算情况说明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2023年度一般公共财政拨款基本支出</w:t>
      </w:r>
      <w:r>
        <w:rPr>
          <w:rFonts w:hint="eastAsia" w:ascii="方正仿宋_GBK" w:hAnsi="方正仿宋_GBK" w:eastAsia="方正仿宋_GBK" w:cs="方正仿宋_GBK"/>
          <w:b w:val="0"/>
          <w:bCs w:val="0"/>
          <w:color w:val="auto"/>
          <w:sz w:val="32"/>
          <w:szCs w:val="32"/>
        </w:rPr>
        <w:t>1298.18</w:t>
      </w:r>
      <w:r>
        <w:rPr>
          <w:rFonts w:hint="eastAsia" w:ascii="方正仿宋_GBK" w:hAnsi="方正仿宋_GBK" w:eastAsia="方正仿宋_GBK" w:cs="方正仿宋_GBK"/>
          <w:b w:val="0"/>
          <w:bCs w:val="0"/>
          <w:color w:val="auto"/>
          <w:sz w:val="32"/>
          <w:szCs w:val="32"/>
          <w:shd w:val="clear" w:color="auto" w:fill="FFFFFF"/>
        </w:rPr>
        <w:t>万元。其中：人员经费</w:t>
      </w:r>
      <w:r>
        <w:rPr>
          <w:rFonts w:hint="eastAsia" w:ascii="方正仿宋_GBK" w:hAnsi="方正仿宋_GBK" w:eastAsia="方正仿宋_GBK" w:cs="方正仿宋_GBK"/>
          <w:b w:val="0"/>
          <w:bCs w:val="0"/>
          <w:color w:val="auto"/>
          <w:sz w:val="32"/>
          <w:szCs w:val="32"/>
        </w:rPr>
        <w:t>1085.28</w:t>
      </w:r>
      <w:r>
        <w:rPr>
          <w:rFonts w:hint="eastAsia" w:ascii="方正仿宋_GBK" w:hAnsi="方正仿宋_GBK" w:eastAsia="方正仿宋_GBK" w:cs="方正仿宋_GBK"/>
          <w:b w:val="0"/>
          <w:bCs w:val="0"/>
          <w:color w:val="auto"/>
          <w:sz w:val="32"/>
          <w:szCs w:val="32"/>
          <w:shd w:val="clear" w:color="auto" w:fill="FFFFFF"/>
        </w:rPr>
        <w:t>万元，较上年决算数增加89.57万元，增长9.00%，主要原因是</w:t>
      </w:r>
      <w:r>
        <w:rPr>
          <w:rFonts w:hint="eastAsia" w:ascii="方正仿宋_GBK" w:hAnsi="方正仿宋_GBK" w:eastAsia="方正仿宋_GBK" w:cs="方正仿宋_GBK"/>
          <w:b w:val="0"/>
          <w:bCs w:val="0"/>
          <w:color w:val="auto"/>
          <w:sz w:val="32"/>
          <w:szCs w:val="32"/>
          <w:shd w:val="clear" w:color="auto" w:fill="FFFFFF"/>
          <w:lang w:val="en-US" w:eastAsia="zh-CN"/>
        </w:rPr>
        <w:t>职工工资福利、社会保障、对个人和家庭的补助增加</w:t>
      </w:r>
      <w:r>
        <w:rPr>
          <w:rFonts w:hint="eastAsia" w:ascii="方正仿宋_GBK" w:hAnsi="方正仿宋_GBK" w:eastAsia="方正仿宋_GBK" w:cs="方正仿宋_GBK"/>
          <w:b w:val="0"/>
          <w:bCs w:val="0"/>
          <w:color w:val="auto"/>
          <w:sz w:val="32"/>
          <w:szCs w:val="32"/>
          <w:shd w:val="clear" w:color="auto" w:fill="FFFFFF"/>
        </w:rPr>
        <w:t>。人员经费用途主要包括</w:t>
      </w:r>
      <w:r>
        <w:rPr>
          <w:rFonts w:hint="eastAsia" w:ascii="方正仿宋_GBK" w:hAnsi="方正仿宋_GBK" w:eastAsia="方正仿宋_GBK" w:cs="方正仿宋_GBK"/>
          <w:b w:val="0"/>
          <w:bCs w:val="0"/>
          <w:color w:val="auto"/>
          <w:sz w:val="32"/>
          <w:szCs w:val="32"/>
          <w:shd w:val="clear" w:color="auto" w:fill="FFFFFF"/>
          <w:lang w:val="en-US" w:eastAsia="zh-CN"/>
        </w:rPr>
        <w:t>基本工资、津贴补贴、奖金、社会保障缴费、对个人和家庭的补助</w:t>
      </w:r>
      <w:r>
        <w:rPr>
          <w:rFonts w:hint="eastAsia" w:ascii="方正仿宋_GBK" w:hAnsi="方正仿宋_GBK" w:eastAsia="方正仿宋_GBK" w:cs="方正仿宋_GBK"/>
          <w:b w:val="0"/>
          <w:bCs w:val="0"/>
          <w:color w:val="auto"/>
          <w:sz w:val="32"/>
          <w:szCs w:val="32"/>
          <w:shd w:val="clear" w:color="auto" w:fill="FFFFFF"/>
        </w:rPr>
        <w:t>。公用经费</w:t>
      </w:r>
      <w:r>
        <w:rPr>
          <w:rFonts w:hint="eastAsia" w:ascii="方正仿宋_GBK" w:hAnsi="方正仿宋_GBK" w:eastAsia="方正仿宋_GBK" w:cs="方正仿宋_GBK"/>
          <w:b w:val="0"/>
          <w:bCs w:val="0"/>
          <w:color w:val="auto"/>
          <w:sz w:val="32"/>
          <w:szCs w:val="32"/>
        </w:rPr>
        <w:t>212.90</w:t>
      </w:r>
      <w:r>
        <w:rPr>
          <w:rFonts w:hint="eastAsia" w:ascii="方正仿宋_GBK" w:hAnsi="方正仿宋_GBK" w:eastAsia="方正仿宋_GBK" w:cs="方正仿宋_GBK"/>
          <w:b w:val="0"/>
          <w:bCs w:val="0"/>
          <w:color w:val="auto"/>
          <w:sz w:val="32"/>
          <w:szCs w:val="32"/>
          <w:shd w:val="clear" w:color="auto" w:fill="FFFFFF"/>
        </w:rPr>
        <w:t>万元，较上年决算数减少29.98万元，下降12.34%，主要原因是</w:t>
      </w:r>
      <w:r>
        <w:rPr>
          <w:rFonts w:hint="eastAsia" w:ascii="方正仿宋_GBK" w:hAnsi="方正仿宋_GBK" w:eastAsia="方正仿宋_GBK" w:cs="方正仿宋_GBK"/>
          <w:b w:val="0"/>
          <w:bCs w:val="0"/>
          <w:color w:val="auto"/>
          <w:sz w:val="32"/>
          <w:szCs w:val="32"/>
          <w:shd w:val="clear" w:color="auto" w:fill="FFFFFF"/>
          <w:lang w:val="en-US" w:eastAsia="zh-CN"/>
        </w:rPr>
        <w:t>培训费、公务接待费、工会经费、其他商品和服务支出减少</w:t>
      </w:r>
      <w:r>
        <w:rPr>
          <w:rFonts w:hint="eastAsia" w:ascii="方正仿宋_GBK" w:hAnsi="方正仿宋_GBK" w:eastAsia="方正仿宋_GBK" w:cs="方正仿宋_GBK"/>
          <w:b w:val="0"/>
          <w:bCs w:val="0"/>
          <w:color w:val="auto"/>
          <w:sz w:val="32"/>
          <w:szCs w:val="32"/>
          <w:shd w:val="clear" w:color="auto" w:fill="FFFFFF"/>
        </w:rPr>
        <w:t>。公用经费用途主要包括</w:t>
      </w:r>
      <w:r>
        <w:rPr>
          <w:rFonts w:hint="eastAsia" w:ascii="方正仿宋_GBK" w:hAnsi="方正仿宋_GBK" w:eastAsia="方正仿宋_GBK" w:cs="方正仿宋_GBK"/>
          <w:b w:val="0"/>
          <w:bCs w:val="0"/>
          <w:color w:val="auto"/>
          <w:sz w:val="32"/>
          <w:szCs w:val="32"/>
          <w:shd w:val="clear" w:color="auto" w:fill="FFFFFF"/>
          <w:lang w:val="en-US" w:eastAsia="zh-CN"/>
        </w:rPr>
        <w:t>办公费、水电费、邮电费、会议费、培训费、公务接待费、劳务费、工会经费、福利费、公务用车运行维护费、其他交通费用、其他商品和服务支出、办公设备购置</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3"/>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（五）政府性基金预算收支决算情况说明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2023年度政府性基金预算财政拨款年初结转结余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万元，年末结转结余</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万元。本年收入</w:t>
      </w:r>
      <w:r>
        <w:rPr>
          <w:rFonts w:hint="eastAsia" w:ascii="方正仿宋_GBK" w:hAnsi="方正仿宋_GBK" w:eastAsia="方正仿宋_GBK" w:cs="方正仿宋_GBK"/>
          <w:b w:val="0"/>
          <w:bCs w:val="0"/>
          <w:color w:val="auto"/>
          <w:sz w:val="32"/>
          <w:szCs w:val="32"/>
        </w:rPr>
        <w:t>38.84</w:t>
      </w:r>
      <w:r>
        <w:rPr>
          <w:rFonts w:hint="eastAsia" w:ascii="方正仿宋_GBK" w:hAnsi="方正仿宋_GBK" w:eastAsia="方正仿宋_GBK" w:cs="方正仿宋_GBK"/>
          <w:b w:val="0"/>
          <w:bCs w:val="0"/>
          <w:color w:val="auto"/>
          <w:sz w:val="32"/>
          <w:szCs w:val="32"/>
          <w:shd w:val="clear" w:color="auto" w:fill="FFFFFF"/>
        </w:rPr>
        <w:t>万元，较上年决算数减少26.70万元，下降40.74%，主要原因是</w:t>
      </w:r>
      <w:r>
        <w:rPr>
          <w:rFonts w:hint="eastAsia" w:ascii="方正仿宋_GBK" w:hAnsi="方正仿宋_GBK" w:eastAsia="方正仿宋_GBK" w:cs="方正仿宋_GBK"/>
          <w:b w:val="0"/>
          <w:bCs w:val="0"/>
          <w:color w:val="auto"/>
          <w:sz w:val="32"/>
          <w:szCs w:val="32"/>
          <w:shd w:val="clear" w:color="auto" w:fill="FFFFFF"/>
          <w:lang w:val="en-US" w:eastAsia="zh-CN"/>
        </w:rPr>
        <w:t>城市建设支出较少</w:t>
      </w:r>
      <w:r>
        <w:rPr>
          <w:rFonts w:hint="eastAsia" w:ascii="方正仿宋_GBK" w:hAnsi="方正仿宋_GBK" w:eastAsia="方正仿宋_GBK" w:cs="方正仿宋_GBK"/>
          <w:b w:val="0"/>
          <w:bCs w:val="0"/>
          <w:color w:val="auto"/>
          <w:sz w:val="32"/>
          <w:szCs w:val="32"/>
          <w:shd w:val="clear" w:color="auto" w:fill="FFFFFF"/>
        </w:rPr>
        <w:t>。本年支出</w:t>
      </w:r>
      <w:r>
        <w:rPr>
          <w:rFonts w:hint="eastAsia" w:ascii="方正仿宋_GBK" w:hAnsi="方正仿宋_GBK" w:eastAsia="方正仿宋_GBK" w:cs="方正仿宋_GBK"/>
          <w:b w:val="0"/>
          <w:bCs w:val="0"/>
          <w:color w:val="auto"/>
          <w:sz w:val="32"/>
          <w:szCs w:val="32"/>
        </w:rPr>
        <w:t>38.84</w:t>
      </w:r>
      <w:r>
        <w:rPr>
          <w:rFonts w:hint="eastAsia" w:ascii="方正仿宋_GBK" w:hAnsi="方正仿宋_GBK" w:eastAsia="方正仿宋_GBK" w:cs="方正仿宋_GBK"/>
          <w:b w:val="0"/>
          <w:bCs w:val="0"/>
          <w:color w:val="auto"/>
          <w:sz w:val="32"/>
          <w:szCs w:val="32"/>
          <w:shd w:val="clear" w:color="auto" w:fill="FFFFFF"/>
        </w:rPr>
        <w:t>万元，较上年决算数减少26.70万元，下降40.74%，主要原因是</w:t>
      </w:r>
      <w:r>
        <w:rPr>
          <w:rFonts w:hint="eastAsia" w:ascii="方正仿宋_GBK" w:hAnsi="方正仿宋_GBK" w:eastAsia="方正仿宋_GBK" w:cs="方正仿宋_GBK"/>
          <w:b w:val="0"/>
          <w:bCs w:val="0"/>
          <w:color w:val="auto"/>
          <w:sz w:val="32"/>
          <w:szCs w:val="32"/>
          <w:shd w:val="clear" w:color="auto" w:fill="FFFFFF"/>
          <w:lang w:val="en-US" w:eastAsia="zh-CN"/>
        </w:rPr>
        <w:t>城市建设支出较少</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3"/>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（六）国有资本经营预算财政拨款支出决算情况说明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color w:val="auto"/>
          <w:sz w:val="32"/>
          <w:szCs w:val="32"/>
        </w:rPr>
        <w:t>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（一）“三公”经费支出总体情况说明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2023年度“三公”经费支出共计</w:t>
      </w:r>
      <w:r>
        <w:rPr>
          <w:rFonts w:hint="eastAsia" w:ascii="方正仿宋_GBK" w:hAnsi="方正仿宋_GBK" w:eastAsia="方正仿宋_GBK" w:cs="方正仿宋_GBK"/>
          <w:b w:val="0"/>
          <w:bCs w:val="0"/>
          <w:color w:val="auto"/>
          <w:sz w:val="32"/>
          <w:szCs w:val="32"/>
        </w:rPr>
        <w:t>18.94</w:t>
      </w:r>
      <w:r>
        <w:rPr>
          <w:rFonts w:hint="eastAsia" w:ascii="方正仿宋_GBK" w:hAnsi="方正仿宋_GBK" w:eastAsia="方正仿宋_GBK" w:cs="方正仿宋_GBK"/>
          <w:b w:val="0"/>
          <w:bCs w:val="0"/>
          <w:color w:val="auto"/>
          <w:sz w:val="32"/>
          <w:szCs w:val="32"/>
          <w:shd w:val="clear" w:color="auto" w:fill="FFFFFF"/>
        </w:rPr>
        <w:t>万元，较年初预算数减少5.06万元，下降21.08%，主要原因是</w:t>
      </w:r>
      <w:r>
        <w:rPr>
          <w:rFonts w:hint="eastAsia" w:ascii="方正仿宋_GBK" w:hAnsi="方正仿宋_GBK" w:eastAsia="方正仿宋_GBK" w:cs="方正仿宋_GBK"/>
          <w:color w:val="auto"/>
          <w:sz w:val="32"/>
          <w:szCs w:val="32"/>
          <w:lang w:val="en-US" w:eastAsia="zh-CN"/>
        </w:rPr>
        <w:t>按照要求严控“三公”经费，减少支出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较上年支出数减少14.43万元，下降43.24%，主要原因是</w:t>
      </w:r>
      <w:r>
        <w:rPr>
          <w:rFonts w:hint="eastAsia" w:ascii="方正仿宋_GBK" w:hAnsi="方正仿宋_GBK" w:eastAsia="方正仿宋_GBK" w:cs="方正仿宋_GBK"/>
          <w:color w:val="auto"/>
          <w:sz w:val="32"/>
          <w:szCs w:val="32"/>
          <w:lang w:val="en-US" w:eastAsia="zh-CN"/>
        </w:rPr>
        <w:t>按照要求严控“三公”经费，减少支出</w:t>
      </w:r>
      <w:r>
        <w:rPr>
          <w:rFonts w:hint="eastAsia" w:ascii="方正仿宋_GBK" w:hAnsi="方正仿宋_GBK" w:eastAsia="方正仿宋_GBK" w:cs="方正仿宋_GBK"/>
          <w:color w:val="auto"/>
          <w:sz w:val="32"/>
          <w:szCs w:val="32"/>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（二）“三公”经费分项支出情况</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2023年度本单位因公出国（境）费用0.00万元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未发生</w:t>
      </w:r>
      <w:r>
        <w:rPr>
          <w:rFonts w:hint="eastAsia" w:ascii="方正仿宋_GBK" w:hAnsi="方正仿宋_GBK" w:eastAsia="方正仿宋_GBK" w:cs="方正仿宋_GBK"/>
          <w:color w:val="auto"/>
          <w:sz w:val="32"/>
          <w:szCs w:val="32"/>
        </w:rPr>
        <w:t>因公出国（境）</w:t>
      </w:r>
      <w:r>
        <w:rPr>
          <w:rFonts w:hint="eastAsia" w:ascii="方正仿宋_GBK" w:hAnsi="方正仿宋_GBK" w:eastAsia="方正仿宋_GBK" w:cs="方正仿宋_GBK"/>
          <w:color w:val="auto"/>
          <w:sz w:val="32"/>
          <w:szCs w:val="32"/>
          <w:lang w:val="en-US" w:eastAsia="zh-CN"/>
        </w:rPr>
        <w:t>支出</w:t>
      </w:r>
      <w:r>
        <w:rPr>
          <w:rFonts w:hint="eastAsia" w:ascii="方正仿宋_GBK" w:hAnsi="方正仿宋_GBK" w:eastAsia="方正仿宋_GBK" w:cs="方正仿宋_GBK"/>
          <w:color w:val="auto"/>
          <w:sz w:val="32"/>
          <w:szCs w:val="32"/>
        </w:rPr>
        <w:t>。费用支出较年初预算数无增减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较上年支出数无增减</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与上年持平。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公务车购置费</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color w:val="auto"/>
          <w:sz w:val="32"/>
          <w:szCs w:val="32"/>
          <w:lang w:val="en-US" w:eastAsia="zh-CN"/>
        </w:rPr>
        <w:t>未发生公务车购置支出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val="0"/>
          <w:bCs w:val="0"/>
          <w:color w:val="auto"/>
          <w:sz w:val="32"/>
          <w:szCs w:val="32"/>
          <w:shd w:val="clear" w:color="auto" w:fill="FFFFFF"/>
        </w:rPr>
        <w:t>费用支出较年初预算数无增减。较上年支出数无增减，</w:t>
      </w:r>
      <w:r>
        <w:rPr>
          <w:rFonts w:hint="eastAsia" w:ascii="方正仿宋_GBK" w:hAnsi="方正仿宋_GBK" w:eastAsia="方正仿宋_GBK" w:cs="方正仿宋_GBK"/>
          <w:b w:val="0"/>
          <w:bCs w:val="0"/>
          <w:color w:val="auto"/>
          <w:sz w:val="32"/>
          <w:szCs w:val="32"/>
          <w:shd w:val="clear" w:color="auto" w:fill="FFFFFF"/>
          <w:lang w:val="en-US" w:eastAsia="zh-CN"/>
        </w:rPr>
        <w:t>与上年持平</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公务车运行维护费</w:t>
      </w:r>
      <w:r>
        <w:rPr>
          <w:rFonts w:hint="eastAsia" w:ascii="方正仿宋_GBK" w:hAnsi="方正仿宋_GBK" w:eastAsia="方正仿宋_GBK" w:cs="方正仿宋_GBK"/>
          <w:b w:val="0"/>
          <w:bCs w:val="0"/>
          <w:color w:val="auto"/>
          <w:sz w:val="32"/>
          <w:szCs w:val="32"/>
        </w:rPr>
        <w:t>18.15</w:t>
      </w:r>
      <w:r>
        <w:rPr>
          <w:rFonts w:hint="eastAsia" w:ascii="方正仿宋_GBK" w:hAnsi="方正仿宋_GBK" w:eastAsia="方正仿宋_GBK" w:cs="方正仿宋_GBK"/>
          <w:b w:val="0"/>
          <w:bCs w:val="0"/>
          <w:color w:val="auto"/>
          <w:sz w:val="32"/>
          <w:szCs w:val="32"/>
          <w:shd w:val="clear" w:color="auto" w:fill="FFFFFF"/>
        </w:rPr>
        <w:t>万元，主要用于</w:t>
      </w:r>
      <w:r>
        <w:rPr>
          <w:rFonts w:hint="eastAsia" w:ascii="方正仿宋_GBK" w:hAnsi="方正仿宋_GBK" w:eastAsia="方正仿宋_GBK" w:cs="方正仿宋_GBK"/>
          <w:b w:val="0"/>
          <w:bCs w:val="0"/>
          <w:color w:val="auto"/>
          <w:sz w:val="32"/>
          <w:szCs w:val="32"/>
          <w:shd w:val="clear" w:color="auto" w:fill="FFFFFF"/>
          <w:lang w:val="en-US" w:eastAsia="zh-CN"/>
        </w:rPr>
        <w:t>公务车</w:t>
      </w:r>
      <w:r>
        <w:rPr>
          <w:rFonts w:hint="eastAsia" w:ascii="方正仿宋_GBK" w:hAnsi="方正仿宋_GBK" w:eastAsia="方正仿宋_GBK" w:cs="方正仿宋_GBK"/>
          <w:color w:val="auto"/>
          <w:kern w:val="0"/>
          <w:sz w:val="32"/>
          <w:szCs w:val="32"/>
        </w:rPr>
        <w:t>燃料费、维修维护费、保险费等</w:t>
      </w:r>
      <w:r>
        <w:rPr>
          <w:rFonts w:hint="eastAsia" w:ascii="方正仿宋_GBK" w:hAnsi="方正仿宋_GBK" w:eastAsia="方正仿宋_GBK" w:cs="方正仿宋_GBK"/>
          <w:b w:val="0"/>
          <w:bCs w:val="0"/>
          <w:color w:val="auto"/>
          <w:sz w:val="32"/>
          <w:szCs w:val="32"/>
          <w:shd w:val="clear" w:color="auto" w:fill="FFFFFF"/>
        </w:rPr>
        <w:t>。费用支出较年初预算数减少1.85万元，下降9.25%，主要原因是</w:t>
      </w:r>
      <w:r>
        <w:rPr>
          <w:rFonts w:hint="eastAsia" w:ascii="方正仿宋_GBK" w:hAnsi="方正仿宋_GBK" w:eastAsia="方正仿宋_GBK" w:cs="方正仿宋_GBK"/>
          <w:color w:val="auto"/>
          <w:sz w:val="32"/>
          <w:szCs w:val="32"/>
          <w:lang w:val="en-US" w:eastAsia="zh-CN"/>
        </w:rPr>
        <w:t>按照要求严控公务车运行经费，减少支出</w:t>
      </w:r>
      <w:r>
        <w:rPr>
          <w:rFonts w:hint="eastAsia" w:ascii="方正仿宋_GBK" w:hAnsi="方正仿宋_GBK" w:eastAsia="方正仿宋_GBK" w:cs="方正仿宋_GBK"/>
          <w:b w:val="0"/>
          <w:bCs w:val="0"/>
          <w:color w:val="auto"/>
          <w:sz w:val="32"/>
          <w:szCs w:val="32"/>
          <w:shd w:val="clear" w:color="auto" w:fill="FFFFFF"/>
        </w:rPr>
        <w:t>。较上年支出数减少10.84万元，下降37.39%，主要原因是</w:t>
      </w:r>
      <w:r>
        <w:rPr>
          <w:rFonts w:hint="eastAsia" w:ascii="方正仿宋_GBK" w:hAnsi="方正仿宋_GBK" w:eastAsia="方正仿宋_GBK" w:cs="方正仿宋_GBK"/>
          <w:color w:val="auto"/>
          <w:sz w:val="32"/>
          <w:szCs w:val="32"/>
          <w:lang w:val="en-US" w:eastAsia="zh-CN"/>
        </w:rPr>
        <w:t>按照要求严控公务车运行经费，减少支出</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公务接待费</w:t>
      </w:r>
      <w:r>
        <w:rPr>
          <w:rFonts w:hint="eastAsia" w:ascii="方正仿宋_GBK" w:hAnsi="方正仿宋_GBK" w:eastAsia="方正仿宋_GBK" w:cs="方正仿宋_GBK"/>
          <w:b w:val="0"/>
          <w:bCs w:val="0"/>
          <w:color w:val="auto"/>
          <w:sz w:val="32"/>
          <w:szCs w:val="32"/>
        </w:rPr>
        <w:t>0.79</w:t>
      </w:r>
      <w:r>
        <w:rPr>
          <w:rFonts w:hint="eastAsia" w:ascii="方正仿宋_GBK" w:hAnsi="方正仿宋_GBK" w:eastAsia="方正仿宋_GBK" w:cs="方正仿宋_GBK"/>
          <w:b w:val="0"/>
          <w:bCs w:val="0"/>
          <w:color w:val="auto"/>
          <w:sz w:val="32"/>
          <w:szCs w:val="32"/>
          <w:shd w:val="clear" w:color="auto" w:fill="FFFFFF"/>
        </w:rPr>
        <w:t>万元，主要用于接待</w:t>
      </w:r>
      <w:r>
        <w:rPr>
          <w:rFonts w:hint="eastAsia" w:ascii="方正仿宋_GBK" w:hAnsi="方正仿宋_GBK" w:eastAsia="方正仿宋_GBK" w:cs="方正仿宋_GBK"/>
          <w:color w:val="auto"/>
          <w:kern w:val="0"/>
          <w:sz w:val="32"/>
          <w:szCs w:val="32"/>
        </w:rPr>
        <w:t>相关部门检查指导工作</w:t>
      </w:r>
      <w:r>
        <w:rPr>
          <w:rFonts w:hint="eastAsia" w:ascii="方正仿宋_GBK" w:hAnsi="方正仿宋_GBK" w:eastAsia="方正仿宋_GBK" w:cs="方正仿宋_GBK"/>
          <w:color w:val="auto"/>
          <w:kern w:val="0"/>
          <w:sz w:val="32"/>
          <w:szCs w:val="32"/>
          <w:lang w:val="en-US" w:eastAsia="zh-CN"/>
        </w:rPr>
        <w:t>和</w:t>
      </w:r>
      <w:r>
        <w:rPr>
          <w:rFonts w:hint="eastAsia" w:ascii="方正仿宋_GBK" w:hAnsi="方正仿宋_GBK" w:eastAsia="方正仿宋_GBK" w:cs="方正仿宋_GBK"/>
          <w:color w:val="auto"/>
          <w:kern w:val="0"/>
          <w:sz w:val="32"/>
          <w:szCs w:val="32"/>
        </w:rPr>
        <w:t>发展招商引资等经济业务所发生的接待支出。</w:t>
      </w:r>
      <w:r>
        <w:rPr>
          <w:rFonts w:hint="eastAsia" w:ascii="方正仿宋_GBK" w:hAnsi="方正仿宋_GBK" w:eastAsia="方正仿宋_GBK" w:cs="方正仿宋_GBK"/>
          <w:b w:val="0"/>
          <w:bCs w:val="0"/>
          <w:color w:val="auto"/>
          <w:sz w:val="32"/>
          <w:szCs w:val="32"/>
          <w:shd w:val="clear" w:color="auto" w:fill="FFFFFF"/>
        </w:rPr>
        <w:t>费用支出较年初预算数减少3.21万元，下降80.25%，主要原因是</w:t>
      </w:r>
      <w:r>
        <w:rPr>
          <w:rFonts w:hint="eastAsia" w:ascii="方正仿宋_GBK" w:hAnsi="方正仿宋_GBK" w:eastAsia="方正仿宋_GBK" w:cs="方正仿宋_GBK"/>
          <w:color w:val="auto"/>
          <w:sz w:val="32"/>
          <w:szCs w:val="32"/>
          <w:lang w:val="en-US" w:eastAsia="zh-CN"/>
        </w:rPr>
        <w:t>按照要求严控公务接待费，减少支出</w:t>
      </w:r>
      <w:r>
        <w:rPr>
          <w:rFonts w:hint="eastAsia" w:ascii="方正仿宋_GBK" w:hAnsi="方正仿宋_GBK" w:eastAsia="方正仿宋_GBK" w:cs="方正仿宋_GBK"/>
          <w:b w:val="0"/>
          <w:bCs w:val="0"/>
          <w:color w:val="auto"/>
          <w:sz w:val="32"/>
          <w:szCs w:val="32"/>
          <w:shd w:val="clear" w:color="auto" w:fill="FFFFFF"/>
        </w:rPr>
        <w:t>。较上年支出数减少3.59万元，下降81.96%，主要原因是</w:t>
      </w:r>
      <w:r>
        <w:rPr>
          <w:rFonts w:hint="eastAsia" w:ascii="方正仿宋_GBK" w:hAnsi="方正仿宋_GBK" w:eastAsia="方正仿宋_GBK" w:cs="方正仿宋_GBK"/>
          <w:color w:val="auto"/>
          <w:sz w:val="32"/>
          <w:szCs w:val="32"/>
          <w:lang w:val="en-US" w:eastAsia="zh-CN"/>
        </w:rPr>
        <w:t>按照要求严控公务接待费，减少支出</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（三）“三公”经费实物量情况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2023年度本单位因公出国（境）共计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个团组，</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人；公务用车购置</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辆，公务车保有量为</w:t>
      </w:r>
      <w:r>
        <w:rPr>
          <w:rFonts w:hint="eastAsia" w:ascii="方正仿宋_GBK" w:hAnsi="方正仿宋_GBK" w:eastAsia="方正仿宋_GBK" w:cs="方正仿宋_GBK"/>
          <w:b w:val="0"/>
          <w:bCs w:val="0"/>
          <w:color w:val="auto"/>
          <w:sz w:val="32"/>
          <w:szCs w:val="32"/>
        </w:rPr>
        <w:t>6</w:t>
      </w:r>
      <w:r>
        <w:rPr>
          <w:rFonts w:hint="eastAsia" w:ascii="方正仿宋_GBK" w:hAnsi="方正仿宋_GBK" w:eastAsia="方正仿宋_GBK" w:cs="方正仿宋_GBK"/>
          <w:b w:val="0"/>
          <w:bCs w:val="0"/>
          <w:color w:val="auto"/>
          <w:sz w:val="32"/>
          <w:szCs w:val="32"/>
          <w:shd w:val="clear" w:color="auto" w:fill="FFFFFF"/>
        </w:rPr>
        <w:t>辆；国内公务接待</w:t>
      </w:r>
      <w:r>
        <w:rPr>
          <w:rFonts w:hint="eastAsia" w:ascii="方正仿宋_GBK" w:hAnsi="方正仿宋_GBK" w:eastAsia="方正仿宋_GBK" w:cs="方正仿宋_GBK"/>
          <w:b w:val="0"/>
          <w:bCs w:val="0"/>
          <w:color w:val="auto"/>
          <w:sz w:val="32"/>
          <w:szCs w:val="32"/>
        </w:rPr>
        <w:t>15</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110</w:t>
      </w:r>
      <w:r>
        <w:rPr>
          <w:rFonts w:hint="eastAsia" w:ascii="方正仿宋_GBK" w:hAnsi="方正仿宋_GBK" w:eastAsia="方正仿宋_GBK" w:cs="方正仿宋_GBK"/>
          <w:b w:val="0"/>
          <w:bCs w:val="0"/>
          <w:color w:val="auto"/>
          <w:sz w:val="32"/>
          <w:szCs w:val="32"/>
          <w:shd w:val="clear" w:color="auto" w:fill="FFFFFF"/>
        </w:rPr>
        <w:t>人，其中：国内外事接待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人；国（境）外公务接待</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批次，</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人。2023年本单位人均接待费</w:t>
      </w:r>
      <w:r>
        <w:rPr>
          <w:rFonts w:hint="eastAsia" w:ascii="方正仿宋_GBK" w:hAnsi="方正仿宋_GBK" w:eastAsia="方正仿宋_GBK" w:cs="方正仿宋_GBK"/>
          <w:b w:val="0"/>
          <w:bCs w:val="0"/>
          <w:color w:val="auto"/>
          <w:sz w:val="32"/>
          <w:szCs w:val="32"/>
        </w:rPr>
        <w:t>71.70</w:t>
      </w:r>
      <w:r>
        <w:rPr>
          <w:rFonts w:hint="eastAsia" w:ascii="方正仿宋_GBK" w:hAnsi="方正仿宋_GBK" w:eastAsia="方正仿宋_GBK" w:cs="方正仿宋_GBK"/>
          <w:b w:val="0"/>
          <w:bCs w:val="0"/>
          <w:color w:val="auto"/>
          <w:sz w:val="32"/>
          <w:szCs w:val="32"/>
          <w:shd w:val="clear" w:color="auto" w:fill="FFFFFF"/>
        </w:rPr>
        <w:t>元，车均购置费</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万元，车均维护费</w:t>
      </w:r>
      <w:r>
        <w:rPr>
          <w:rFonts w:hint="eastAsia" w:ascii="方正仿宋_GBK" w:hAnsi="方正仿宋_GBK" w:eastAsia="方正仿宋_GBK" w:cs="方正仿宋_GBK"/>
          <w:b w:val="0"/>
          <w:bCs w:val="0"/>
          <w:color w:val="auto"/>
          <w:sz w:val="32"/>
          <w:szCs w:val="32"/>
        </w:rPr>
        <w:t>3.03</w:t>
      </w:r>
      <w:r>
        <w:rPr>
          <w:rFonts w:hint="eastAsia" w:ascii="方正仿宋_GBK" w:hAnsi="方正仿宋_GBK" w:eastAsia="方正仿宋_GBK" w:cs="方正仿宋_GBK"/>
          <w:b w:val="0"/>
          <w:bCs w:val="0"/>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（一）财政拨款会议费和培训费情况说明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本年度会议费支出</w:t>
      </w:r>
      <w:r>
        <w:rPr>
          <w:rFonts w:hint="eastAsia" w:ascii="方正仿宋_GBK" w:hAnsi="方正仿宋_GBK" w:eastAsia="方正仿宋_GBK" w:cs="方正仿宋_GBK"/>
          <w:b w:val="0"/>
          <w:bCs w:val="0"/>
          <w:color w:val="auto"/>
          <w:sz w:val="32"/>
          <w:szCs w:val="32"/>
        </w:rPr>
        <w:t>7.76</w:t>
      </w:r>
      <w:r>
        <w:rPr>
          <w:rFonts w:hint="eastAsia" w:ascii="方正仿宋_GBK" w:hAnsi="方正仿宋_GBK" w:eastAsia="方正仿宋_GBK" w:cs="方正仿宋_GBK"/>
          <w:b w:val="0"/>
          <w:bCs w:val="0"/>
          <w:color w:val="auto"/>
          <w:sz w:val="32"/>
          <w:szCs w:val="32"/>
          <w:shd w:val="clear" w:color="auto" w:fill="FFFFFF"/>
        </w:rPr>
        <w:t>万元，较上年决算数减少2.06万元，下降20.98%，主要原因是</w:t>
      </w:r>
      <w:r>
        <w:rPr>
          <w:rFonts w:hint="eastAsia" w:ascii="方正仿宋_GBK" w:hAnsi="方正仿宋_GBK" w:eastAsia="方正仿宋_GBK" w:cs="方正仿宋_GBK"/>
          <w:color w:val="auto"/>
          <w:sz w:val="32"/>
          <w:szCs w:val="32"/>
          <w:lang w:val="en-US" w:eastAsia="zh-CN"/>
        </w:rPr>
        <w:t>按照要求严控会议费，减少支出</w:t>
      </w:r>
      <w:r>
        <w:rPr>
          <w:rFonts w:hint="eastAsia" w:ascii="方正仿宋_GBK" w:hAnsi="方正仿宋_GBK" w:eastAsia="方正仿宋_GBK" w:cs="方正仿宋_GBK"/>
          <w:b w:val="0"/>
          <w:bCs w:val="0"/>
          <w:color w:val="auto"/>
          <w:sz w:val="32"/>
          <w:szCs w:val="32"/>
          <w:shd w:val="clear" w:color="auto" w:fill="FFFFFF"/>
        </w:rPr>
        <w:t>。本年度培训费支出</w:t>
      </w:r>
      <w:r>
        <w:rPr>
          <w:rFonts w:hint="eastAsia" w:ascii="方正仿宋_GBK" w:hAnsi="方正仿宋_GBK" w:eastAsia="方正仿宋_GBK" w:cs="方正仿宋_GBK"/>
          <w:b w:val="0"/>
          <w:bCs w:val="0"/>
          <w:color w:val="auto"/>
          <w:sz w:val="32"/>
          <w:szCs w:val="32"/>
        </w:rPr>
        <w:t>1.78</w:t>
      </w:r>
      <w:r>
        <w:rPr>
          <w:rFonts w:hint="eastAsia" w:ascii="方正仿宋_GBK" w:hAnsi="方正仿宋_GBK" w:eastAsia="方正仿宋_GBK" w:cs="方正仿宋_GBK"/>
          <w:b w:val="0"/>
          <w:bCs w:val="0"/>
          <w:color w:val="auto"/>
          <w:sz w:val="32"/>
          <w:szCs w:val="32"/>
          <w:shd w:val="clear" w:color="auto" w:fill="FFFFFF"/>
        </w:rPr>
        <w:t>万元，较上年决算数减少10.11万元，下降85.03%，主要原因是</w:t>
      </w:r>
      <w:r>
        <w:rPr>
          <w:rFonts w:hint="eastAsia" w:ascii="方正仿宋_GBK" w:hAnsi="方正仿宋_GBK" w:eastAsia="方正仿宋_GBK" w:cs="方正仿宋_GBK"/>
          <w:color w:val="auto"/>
          <w:sz w:val="32"/>
          <w:szCs w:val="32"/>
          <w:lang w:val="en-US" w:eastAsia="zh-CN"/>
        </w:rPr>
        <w:t>按照要求严控培训费，减少支出</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（二）机关运行经费情况说明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2023年度本单位机关运行经费支出</w:t>
      </w:r>
      <w:r>
        <w:rPr>
          <w:rFonts w:hint="eastAsia" w:ascii="方正仿宋_GBK" w:hAnsi="方正仿宋_GBK" w:eastAsia="方正仿宋_GBK" w:cs="方正仿宋_GBK"/>
          <w:b w:val="0"/>
          <w:bCs w:val="0"/>
          <w:color w:val="auto"/>
          <w:sz w:val="32"/>
          <w:szCs w:val="32"/>
        </w:rPr>
        <w:t>212.90</w:t>
      </w:r>
      <w:r>
        <w:rPr>
          <w:rFonts w:hint="eastAsia" w:ascii="方正仿宋_GBK" w:hAnsi="方正仿宋_GBK" w:eastAsia="方正仿宋_GBK" w:cs="方正仿宋_GBK"/>
          <w:b w:val="0"/>
          <w:bCs w:val="0"/>
          <w:color w:val="auto"/>
          <w:sz w:val="32"/>
          <w:szCs w:val="32"/>
          <w:shd w:val="clear" w:color="auto" w:fill="FFFFFF"/>
        </w:rPr>
        <w:t>万元，机关运行经费主要用于开支</w:t>
      </w:r>
      <w:r>
        <w:rPr>
          <w:rFonts w:hint="eastAsia" w:ascii="方正仿宋_GBK" w:hAnsi="方正仿宋_GBK" w:eastAsia="方正仿宋_GBK" w:cs="方正仿宋_GBK"/>
          <w:b w:val="0"/>
          <w:bCs w:val="0"/>
          <w:color w:val="auto"/>
          <w:sz w:val="32"/>
          <w:szCs w:val="32"/>
          <w:shd w:val="clear" w:color="auto" w:fill="FFFFFF"/>
          <w:lang w:val="en-US" w:eastAsia="zh-CN"/>
        </w:rPr>
        <w:t>办公费、水电费、邮电费、会议费、培训费、公务接待费、劳务费、工会经费、福利费、公务用车运行维护费、其他交通费用、其他商品和服务支出、办公设备购置</w:t>
      </w:r>
      <w:r>
        <w:rPr>
          <w:rFonts w:hint="eastAsia" w:ascii="方正仿宋_GBK" w:hAnsi="方正仿宋_GBK" w:eastAsia="方正仿宋_GBK" w:cs="方正仿宋_GBK"/>
          <w:b w:val="0"/>
          <w:bCs w:val="0"/>
          <w:color w:val="auto"/>
          <w:sz w:val="32"/>
          <w:szCs w:val="32"/>
          <w:shd w:val="clear" w:color="auto" w:fill="FFFFFF"/>
        </w:rPr>
        <w:t>。机关运行经费较上年支出数减少29.98万元，下降12.34%，主要原因是</w:t>
      </w:r>
      <w:r>
        <w:rPr>
          <w:rFonts w:hint="eastAsia" w:ascii="方正仿宋_GBK" w:hAnsi="方正仿宋_GBK" w:eastAsia="方正仿宋_GBK" w:cs="方正仿宋_GBK"/>
          <w:color w:val="auto"/>
          <w:sz w:val="32"/>
          <w:szCs w:val="32"/>
          <w:lang w:val="en-US" w:eastAsia="zh-CN"/>
        </w:rPr>
        <w:t>按照要求严控机关运行经费，减少支出</w:t>
      </w:r>
      <w:r>
        <w:rPr>
          <w:rFonts w:hint="eastAsia" w:ascii="方正仿宋_GBK" w:hAnsi="方正仿宋_GBK" w:eastAsia="方正仿宋_GBK" w:cs="方正仿宋_GBK"/>
          <w:b w:val="0"/>
          <w:bCs w:val="0"/>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（三）国有资产占用情况说明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shd w:val="clear" w:color="auto" w:fill="FFFFFF"/>
        </w:rPr>
        <w:t>截至2023年12月31日，本单位共有车辆</w:t>
      </w:r>
      <w:r>
        <w:rPr>
          <w:rFonts w:hint="eastAsia" w:ascii="方正仿宋_GBK" w:hAnsi="方正仿宋_GBK" w:eastAsia="方正仿宋_GBK" w:cs="方正仿宋_GBK"/>
          <w:b w:val="0"/>
          <w:bCs w:val="0"/>
          <w:color w:val="auto"/>
          <w:sz w:val="32"/>
          <w:szCs w:val="32"/>
        </w:rPr>
        <w:t>6</w:t>
      </w:r>
      <w:r>
        <w:rPr>
          <w:rFonts w:hint="eastAsia" w:ascii="方正仿宋_GBK" w:hAnsi="方正仿宋_GBK" w:eastAsia="方正仿宋_GBK" w:cs="方正仿宋_GBK"/>
          <w:b w:val="0"/>
          <w:bCs w:val="0"/>
          <w:color w:val="auto"/>
          <w:sz w:val="32"/>
          <w:szCs w:val="32"/>
          <w:shd w:val="clear" w:color="auto" w:fill="FFFFFF"/>
        </w:rPr>
        <w:t>辆，其中，副部（省）级及以上领导用车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辆、主要负责人用车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辆、机要通信用车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辆、应急保障用车</w:t>
      </w:r>
      <w:r>
        <w:rPr>
          <w:rFonts w:hint="eastAsia" w:ascii="方正仿宋_GBK" w:hAnsi="方正仿宋_GBK" w:eastAsia="方正仿宋_GBK" w:cs="方正仿宋_GBK"/>
          <w:b w:val="0"/>
          <w:bCs w:val="0"/>
          <w:color w:val="auto"/>
          <w:sz w:val="32"/>
          <w:szCs w:val="32"/>
        </w:rPr>
        <w:t>2</w:t>
      </w:r>
      <w:r>
        <w:rPr>
          <w:rFonts w:hint="eastAsia" w:ascii="方正仿宋_GBK" w:hAnsi="方正仿宋_GBK" w:eastAsia="方正仿宋_GBK" w:cs="方正仿宋_GBK"/>
          <w:b w:val="0"/>
          <w:bCs w:val="0"/>
          <w:color w:val="auto"/>
          <w:sz w:val="32"/>
          <w:szCs w:val="32"/>
          <w:shd w:val="clear" w:color="auto" w:fill="FFFFFF"/>
        </w:rPr>
        <w:t>辆、执法执勤用车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辆，特种专业技术用车</w:t>
      </w:r>
      <w:r>
        <w:rPr>
          <w:rFonts w:hint="eastAsia" w:ascii="方正仿宋_GBK" w:hAnsi="方正仿宋_GBK" w:eastAsia="方正仿宋_GBK" w:cs="方正仿宋_GBK"/>
          <w:b w:val="0"/>
          <w:bCs w:val="0"/>
          <w:color w:val="auto"/>
          <w:sz w:val="32"/>
          <w:szCs w:val="32"/>
        </w:rPr>
        <w:t>4</w:t>
      </w:r>
      <w:r>
        <w:rPr>
          <w:rFonts w:hint="eastAsia" w:ascii="方正仿宋_GBK" w:hAnsi="方正仿宋_GBK" w:eastAsia="方正仿宋_GBK" w:cs="方正仿宋_GBK"/>
          <w:b w:val="0"/>
          <w:bCs w:val="0"/>
          <w:color w:val="auto"/>
          <w:sz w:val="32"/>
          <w:szCs w:val="32"/>
          <w:shd w:val="clear" w:color="auto" w:fill="FFFFFF"/>
        </w:rPr>
        <w:t>辆，离退休干部用车</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辆。单价100万元（含）以上专用设备</w:t>
      </w:r>
      <w:r>
        <w:rPr>
          <w:rFonts w:hint="eastAsia" w:ascii="方正仿宋_GBK" w:hAnsi="方正仿宋_GBK" w:eastAsia="方正仿宋_GBK" w:cs="方正仿宋_GBK"/>
          <w:b w:val="0"/>
          <w:bCs w:val="0"/>
          <w:color w:val="auto"/>
          <w:sz w:val="32"/>
          <w:szCs w:val="32"/>
        </w:rPr>
        <w:t>0</w:t>
      </w:r>
      <w:r>
        <w:rPr>
          <w:rFonts w:hint="eastAsia" w:ascii="方正仿宋_GBK" w:hAnsi="方正仿宋_GBK" w:eastAsia="方正仿宋_GBK" w:cs="方正仿宋_GBK"/>
          <w:b w:val="0"/>
          <w:bCs w:val="0"/>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（四）政府采购支出情况说明</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Fonts w:hint="eastAsia" w:ascii="方正仿宋_GBK" w:hAnsi="方正仿宋_GBK" w:eastAsia="方正仿宋_GBK" w:cs="方正仿宋_GBK"/>
          <w:b w:val="0"/>
          <w:bCs w:val="0"/>
          <w:color w:val="auto"/>
          <w:sz w:val="32"/>
          <w:szCs w:val="32"/>
          <w:shd w:val="clear" w:color="auto" w:fill="FFFFFF"/>
        </w:rPr>
      </w:pPr>
      <w:r>
        <w:rPr>
          <w:rFonts w:hint="eastAsia" w:ascii="方正仿宋_GBK" w:hAnsi="方正仿宋_GBK" w:eastAsia="方正仿宋_GBK" w:cs="方正仿宋_GBK"/>
          <w:b w:val="0"/>
          <w:bCs w:val="0"/>
          <w:color w:val="auto"/>
          <w:sz w:val="32"/>
          <w:szCs w:val="32"/>
          <w:shd w:val="clear" w:color="auto" w:fill="FFFFFF"/>
        </w:rPr>
        <w:t>2023年度本单位政府采购支出总额</w:t>
      </w:r>
      <w:r>
        <w:rPr>
          <w:rFonts w:hint="eastAsia" w:ascii="方正仿宋_GBK" w:hAnsi="方正仿宋_GBK" w:eastAsia="方正仿宋_GBK" w:cs="方正仿宋_GBK"/>
          <w:b w:val="0"/>
          <w:bCs w:val="0"/>
          <w:color w:val="auto"/>
          <w:sz w:val="32"/>
          <w:szCs w:val="32"/>
        </w:rPr>
        <w:t>410.37</w:t>
      </w:r>
      <w:r>
        <w:rPr>
          <w:rFonts w:hint="eastAsia" w:ascii="方正仿宋_GBK" w:hAnsi="方正仿宋_GBK" w:eastAsia="方正仿宋_GBK" w:cs="方正仿宋_GBK"/>
          <w:b w:val="0"/>
          <w:bCs w:val="0"/>
          <w:color w:val="auto"/>
          <w:sz w:val="32"/>
          <w:szCs w:val="32"/>
          <w:shd w:val="clear" w:color="auto" w:fill="FFFFFF"/>
        </w:rPr>
        <w:t>万元，其中：政府采购货物支出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万元、政府采购工程支出</w:t>
      </w:r>
      <w:r>
        <w:rPr>
          <w:rFonts w:hint="eastAsia" w:ascii="方正仿宋_GBK" w:hAnsi="方正仿宋_GBK" w:eastAsia="方正仿宋_GBK" w:cs="方正仿宋_GBK"/>
          <w:b w:val="0"/>
          <w:bCs w:val="0"/>
          <w:color w:val="auto"/>
          <w:sz w:val="32"/>
          <w:szCs w:val="32"/>
        </w:rPr>
        <w:t>0.00</w:t>
      </w:r>
      <w:r>
        <w:rPr>
          <w:rFonts w:hint="eastAsia" w:ascii="方正仿宋_GBK" w:hAnsi="方正仿宋_GBK" w:eastAsia="方正仿宋_GBK" w:cs="方正仿宋_GBK"/>
          <w:b w:val="0"/>
          <w:bCs w:val="0"/>
          <w:color w:val="auto"/>
          <w:sz w:val="32"/>
          <w:szCs w:val="32"/>
          <w:shd w:val="clear" w:color="auto" w:fill="FFFFFF"/>
        </w:rPr>
        <w:t>万元、政府采购服务支出</w:t>
      </w:r>
      <w:r>
        <w:rPr>
          <w:rFonts w:hint="eastAsia" w:ascii="方正仿宋_GBK" w:hAnsi="方正仿宋_GBK" w:eastAsia="方正仿宋_GBK" w:cs="方正仿宋_GBK"/>
          <w:b w:val="0"/>
          <w:bCs w:val="0"/>
          <w:color w:val="auto"/>
          <w:sz w:val="32"/>
          <w:szCs w:val="32"/>
        </w:rPr>
        <w:t>410.37</w:t>
      </w:r>
      <w:r>
        <w:rPr>
          <w:rFonts w:hint="eastAsia" w:ascii="方正仿宋_GBK" w:hAnsi="方正仿宋_GBK" w:eastAsia="方正仿宋_GBK" w:cs="方正仿宋_GBK"/>
          <w:b w:val="0"/>
          <w:bCs w:val="0"/>
          <w:color w:val="auto"/>
          <w:sz w:val="32"/>
          <w:szCs w:val="32"/>
          <w:shd w:val="clear" w:color="auto" w:fill="FFFFFF"/>
        </w:rPr>
        <w:t>万元。授予中小企业合同金额</w:t>
      </w:r>
      <w:r>
        <w:rPr>
          <w:rFonts w:hint="eastAsia" w:ascii="方正仿宋_GBK" w:hAnsi="方正仿宋_GBK" w:eastAsia="方正仿宋_GBK" w:cs="方正仿宋_GBK"/>
          <w:b w:val="0"/>
          <w:bCs w:val="0"/>
          <w:color w:val="auto"/>
          <w:sz w:val="32"/>
          <w:szCs w:val="32"/>
        </w:rPr>
        <w:t>410.37万</w:t>
      </w:r>
      <w:r>
        <w:rPr>
          <w:rFonts w:hint="eastAsia" w:ascii="方正仿宋_GBK" w:hAnsi="方正仿宋_GBK" w:eastAsia="方正仿宋_GBK" w:cs="方正仿宋_GBK"/>
          <w:b w:val="0"/>
          <w:bCs w:val="0"/>
          <w:color w:val="auto"/>
          <w:sz w:val="32"/>
          <w:szCs w:val="32"/>
          <w:shd w:val="clear" w:color="auto" w:fill="FFFFFF"/>
        </w:rPr>
        <w:t>元，占政府采购支出总额的</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%，其中：授予小微企业合同金额</w:t>
      </w:r>
      <w:r>
        <w:rPr>
          <w:rFonts w:hint="eastAsia" w:ascii="方正仿宋_GBK" w:hAnsi="方正仿宋_GBK" w:eastAsia="方正仿宋_GBK" w:cs="方正仿宋_GBK"/>
          <w:b w:val="0"/>
          <w:bCs w:val="0"/>
          <w:color w:val="auto"/>
          <w:sz w:val="32"/>
          <w:szCs w:val="32"/>
        </w:rPr>
        <w:t>410.37</w:t>
      </w:r>
      <w:r>
        <w:rPr>
          <w:rFonts w:hint="eastAsia" w:ascii="方正仿宋_GBK" w:hAnsi="方正仿宋_GBK" w:eastAsia="方正仿宋_GBK" w:cs="方正仿宋_GBK"/>
          <w:b w:val="0"/>
          <w:bCs w:val="0"/>
          <w:color w:val="auto"/>
          <w:sz w:val="32"/>
          <w:szCs w:val="32"/>
          <w:shd w:val="clear" w:color="auto" w:fill="FFFFFF"/>
        </w:rPr>
        <w:t>万元，占政府采购支出总额的</w:t>
      </w:r>
      <w:r>
        <w:rPr>
          <w:rFonts w:hint="eastAsia" w:ascii="方正仿宋_GBK" w:hAnsi="方正仿宋_GBK" w:eastAsia="方正仿宋_GBK" w:cs="方正仿宋_GBK"/>
          <w:b w:val="0"/>
          <w:bCs w:val="0"/>
          <w:color w:val="auto"/>
          <w:sz w:val="32"/>
          <w:szCs w:val="32"/>
        </w:rPr>
        <w:t>100.00</w:t>
      </w:r>
      <w:r>
        <w:rPr>
          <w:rFonts w:hint="eastAsia" w:ascii="方正仿宋_GBK" w:hAnsi="方正仿宋_GBK" w:eastAsia="方正仿宋_GBK" w:cs="方正仿宋_GBK"/>
          <w:b w:val="0"/>
          <w:bCs w:val="0"/>
          <w:color w:val="auto"/>
          <w:sz w:val="32"/>
          <w:szCs w:val="32"/>
          <w:shd w:val="clear" w:color="auto" w:fill="FFFFFF"/>
        </w:rPr>
        <w:t>%。主要用于采购</w:t>
      </w:r>
      <w:r>
        <w:rPr>
          <w:rFonts w:hint="eastAsia" w:ascii="方正仿宋_GBK" w:hAnsi="方正仿宋_GBK" w:eastAsia="方正仿宋_GBK" w:cs="方正仿宋_GBK"/>
          <w:b w:val="0"/>
          <w:bCs w:val="0"/>
          <w:color w:val="auto"/>
          <w:sz w:val="32"/>
          <w:szCs w:val="32"/>
          <w:shd w:val="clear" w:color="auto" w:fill="FFFFFF"/>
          <w:lang w:val="en-US" w:eastAsia="zh-CN"/>
        </w:rPr>
        <w:t>场镇清扫保洁一体化外包服务</w:t>
      </w:r>
      <w:r>
        <w:rPr>
          <w:rFonts w:hint="eastAsia" w:ascii="方正仿宋_GBK" w:hAnsi="方正仿宋_GBK" w:eastAsia="方正仿宋_GBK" w:cs="方正仿宋_GBK"/>
          <w:b w:val="0"/>
          <w:bCs w:val="0"/>
          <w:color w:val="auto"/>
          <w:sz w:val="32"/>
          <w:szCs w:val="32"/>
          <w:shd w:val="clear" w:color="auto" w:fill="FFFFFF"/>
        </w:rPr>
        <w:t>。</w:t>
      </w:r>
    </w:p>
    <w:p>
      <w:pPr>
        <w:pStyle w:val="6"/>
        <w:keepNext w:val="0"/>
        <w:keepLines w:val="0"/>
        <w:pageBreakBefore w:val="0"/>
        <w:widowControl/>
        <w:numPr>
          <w:ilvl w:val="0"/>
          <w:numId w:val="0"/>
        </w:numPr>
        <w:shd w:val="clear" w:color="auto" w:fill="FFFFFF"/>
        <w:kinsoku/>
        <w:wordWrap/>
        <w:overflowPunct/>
        <w:topLinePunct w:val="0"/>
        <w:autoSpaceDN/>
        <w:bidi w:val="0"/>
        <w:adjustRightInd/>
        <w:snapToGrid w:val="0"/>
        <w:spacing w:before="0" w:beforeAutospacing="0" w:after="0" w:afterAutospacing="0" w:line="240" w:lineRule="auto"/>
        <w:ind w:firstLine="640" w:firstLineChars="200"/>
        <w:jc w:val="both"/>
        <w:textAlignment w:val="auto"/>
        <w:rPr>
          <w:rStyle w:val="10"/>
          <w:rFonts w:hint="eastAsia" w:ascii="方正黑体_GBK" w:hAnsi="方正黑体_GBK" w:eastAsia="方正黑体_GBK" w:cs="方正黑体_GBK"/>
          <w:b w:val="0"/>
          <w:bCs w:val="0"/>
          <w:color w:val="auto"/>
          <w:sz w:val="32"/>
          <w:szCs w:val="32"/>
          <w:shd w:val="clear" w:color="auto" w:fill="FFFFFF"/>
        </w:rPr>
      </w:pPr>
      <w:r>
        <w:rPr>
          <w:rStyle w:val="10"/>
          <w:rFonts w:hint="eastAsia" w:ascii="方正黑体_GBK" w:hAnsi="方正黑体_GBK" w:eastAsia="方正黑体_GBK" w:cs="方正黑体_GBK"/>
          <w:b w:val="0"/>
          <w:bCs w:val="0"/>
          <w:color w:val="auto"/>
          <w:sz w:val="32"/>
          <w:szCs w:val="32"/>
          <w:shd w:val="clear" w:color="auto" w:fill="FFFFFF"/>
          <w:lang w:val="en-US" w:eastAsia="zh-CN"/>
        </w:rPr>
        <w:t>五、</w:t>
      </w:r>
      <w:r>
        <w:rPr>
          <w:rStyle w:val="10"/>
          <w:rFonts w:hint="eastAsia" w:ascii="方正黑体_GBK" w:hAnsi="方正黑体_GBK" w:eastAsia="方正黑体_GBK" w:cs="方正黑体_GBK"/>
          <w:b w:val="0"/>
          <w:bCs w:val="0"/>
          <w:color w:val="auto"/>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（一）单位自评情况</w:t>
      </w:r>
      <w:r>
        <w:rPr>
          <w:rFonts w:hint="eastAsia" w:ascii="方正楷体_GBK" w:hAnsi="方正楷体_GBK" w:eastAsia="方正楷体_GBK" w:cs="方正楷体_GBK"/>
          <w:b w:val="0"/>
          <w:bCs w:val="0"/>
          <w:color w:val="auto"/>
          <w:sz w:val="32"/>
          <w:szCs w:val="32"/>
          <w:shd w:val="clear" w:color="auto" w:fill="FFFFFF"/>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firstLine="643"/>
        <w:jc w:val="both"/>
        <w:textAlignment w:val="auto"/>
        <w:rPr>
          <w:rFonts w:hint="eastAsia" w:ascii="方正仿宋_GBK" w:hAnsi="方正仿宋_GBK" w:eastAsia="方正仿宋_GBK" w:cs="方正仿宋_GBK"/>
          <w:color w:val="auto"/>
          <w:sz w:val="32"/>
          <w:szCs w:val="32"/>
          <w:shd w:val="clear" w:color="auto" w:fill="FFFFFF"/>
          <w:lang w:val="en-US" w:eastAsia="zh-CN" w:bidi="ar"/>
        </w:rPr>
      </w:pPr>
      <w:r>
        <w:rPr>
          <w:rFonts w:hint="eastAsia" w:ascii="方正仿宋_GBK" w:hAnsi="方正仿宋_GBK" w:eastAsia="方正仿宋_GBK" w:cs="方正仿宋_GBK"/>
          <w:color w:val="auto"/>
          <w:sz w:val="32"/>
          <w:szCs w:val="32"/>
          <w:shd w:val="clear" w:color="auto" w:fill="FFFFFF"/>
          <w:lang w:bidi="ar"/>
        </w:rPr>
        <w:t>根据预算绩效管理要求，我</w:t>
      </w:r>
      <w:r>
        <w:rPr>
          <w:rFonts w:hint="eastAsia" w:ascii="方正仿宋_GBK" w:hAnsi="方正仿宋_GBK" w:eastAsia="方正仿宋_GBK" w:cs="方正仿宋_GBK"/>
          <w:color w:val="auto"/>
          <w:sz w:val="32"/>
          <w:szCs w:val="32"/>
          <w:shd w:val="clear" w:color="auto" w:fill="FFFFFF"/>
          <w:lang w:val="en-US" w:eastAsia="zh-CN" w:bidi="ar"/>
        </w:rPr>
        <w:t>单位</w:t>
      </w:r>
      <w:r>
        <w:rPr>
          <w:rFonts w:hint="eastAsia" w:ascii="方正仿宋_GBK" w:hAnsi="方正仿宋_GBK" w:eastAsia="方正仿宋_GBK" w:cs="方正仿宋_GBK"/>
          <w:color w:val="auto"/>
          <w:sz w:val="32"/>
          <w:szCs w:val="32"/>
          <w:shd w:val="clear" w:color="auto" w:fill="FFFFFF"/>
          <w:lang w:bidi="ar"/>
        </w:rPr>
        <w:t>对</w:t>
      </w:r>
      <w:r>
        <w:rPr>
          <w:rFonts w:hint="eastAsia" w:ascii="方正仿宋_GBK" w:hAnsi="方正仿宋_GBK" w:eastAsia="方正仿宋_GBK" w:cs="方正仿宋_GBK"/>
          <w:color w:val="auto"/>
          <w:sz w:val="32"/>
          <w:szCs w:val="32"/>
          <w:shd w:val="clear" w:color="auto" w:fill="FFFFFF"/>
          <w:lang w:val="en-US" w:eastAsia="zh-CN" w:bidi="ar"/>
        </w:rPr>
        <w:t>71</w:t>
      </w:r>
      <w:r>
        <w:rPr>
          <w:rFonts w:hint="eastAsia" w:ascii="方正仿宋_GBK" w:hAnsi="方正仿宋_GBK" w:eastAsia="方正仿宋_GBK" w:cs="方正仿宋_GBK"/>
          <w:color w:val="auto"/>
          <w:sz w:val="32"/>
          <w:szCs w:val="32"/>
          <w:shd w:val="clear" w:color="auto" w:fill="FFFFFF"/>
          <w:lang w:bidi="ar"/>
        </w:rPr>
        <w:t>个项目开展了绩效自评，涉及项目支出资金</w:t>
      </w:r>
      <w:r>
        <w:rPr>
          <w:rFonts w:hint="eastAsia" w:ascii="方正仿宋_GBK" w:hAnsi="方正仿宋_GBK" w:eastAsia="方正仿宋_GBK" w:cs="方正仿宋_GBK"/>
          <w:color w:val="auto"/>
          <w:sz w:val="32"/>
          <w:szCs w:val="32"/>
          <w:shd w:val="clear" w:color="auto" w:fill="FFFFFF"/>
          <w:lang w:val="en-US" w:eastAsia="zh-CN" w:bidi="ar"/>
        </w:rPr>
        <w:t>2967.93</w:t>
      </w:r>
      <w:r>
        <w:rPr>
          <w:rFonts w:hint="eastAsia" w:ascii="方正仿宋_GBK" w:hAnsi="方正仿宋_GBK" w:eastAsia="方正仿宋_GBK" w:cs="方正仿宋_GBK"/>
          <w:color w:val="auto"/>
          <w:sz w:val="32"/>
          <w:szCs w:val="32"/>
          <w:shd w:val="clear" w:color="auto" w:fill="FFFFFF"/>
          <w:lang w:bidi="ar"/>
        </w:rPr>
        <w:t>万元</w:t>
      </w:r>
      <w:r>
        <w:rPr>
          <w:rFonts w:hint="eastAsia" w:ascii="方正仿宋_GBK" w:hAnsi="方正仿宋_GBK" w:eastAsia="方正仿宋_GBK" w:cs="方正仿宋_GBK"/>
          <w:color w:val="auto"/>
          <w:sz w:val="32"/>
          <w:szCs w:val="32"/>
          <w:shd w:val="clear" w:color="auto" w:fill="FFFFFF"/>
          <w:lang w:eastAsia="zh-CN" w:bidi="ar"/>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（二）单位绩效评价情况</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N/>
        <w:bidi w:val="0"/>
        <w:adjustRightInd/>
        <w:snapToGrid w:val="0"/>
        <w:ind w:left="0" w:firstLine="640" w:firstLineChars="200"/>
        <w:jc w:val="both"/>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val="0"/>
          <w:bCs w:val="0"/>
          <w:color w:val="auto"/>
          <w:sz w:val="32"/>
          <w:szCs w:val="32"/>
          <w:shd w:val="clear" w:color="auto" w:fill="FFFFFF"/>
        </w:rPr>
        <w:t>我单位对</w:t>
      </w:r>
      <w:r>
        <w:rPr>
          <w:rFonts w:hint="eastAsia" w:ascii="方正仿宋_GBK" w:hAnsi="方正仿宋_GBK" w:eastAsia="方正仿宋_GBK" w:cs="方正仿宋_GBK"/>
          <w:b w:val="0"/>
          <w:bCs w:val="0"/>
          <w:color w:val="auto"/>
          <w:sz w:val="32"/>
          <w:szCs w:val="32"/>
          <w:shd w:val="clear" w:color="auto" w:fill="FFFFFF"/>
          <w:lang w:val="en-US" w:eastAsia="zh-CN"/>
        </w:rPr>
        <w:t>71个项目</w:t>
      </w:r>
      <w:r>
        <w:rPr>
          <w:rFonts w:hint="eastAsia" w:ascii="方正仿宋_GBK" w:hAnsi="方正仿宋_GBK" w:eastAsia="方正仿宋_GBK" w:cs="方正仿宋_GBK"/>
          <w:b w:val="0"/>
          <w:bCs w:val="0"/>
          <w:color w:val="auto"/>
          <w:sz w:val="32"/>
          <w:szCs w:val="32"/>
          <w:shd w:val="clear" w:color="auto" w:fill="FFFFFF"/>
        </w:rPr>
        <w:t>开展了绩效评价，涉及财政拨款项目资金</w:t>
      </w:r>
      <w:r>
        <w:rPr>
          <w:rFonts w:hint="eastAsia" w:ascii="方正仿宋_GBK" w:hAnsi="方正仿宋_GBK" w:eastAsia="方正仿宋_GBK" w:cs="方正仿宋_GBK"/>
          <w:b w:val="0"/>
          <w:bCs w:val="0"/>
          <w:color w:val="auto"/>
          <w:sz w:val="32"/>
          <w:szCs w:val="32"/>
          <w:shd w:val="clear" w:color="auto" w:fill="FFFFFF"/>
          <w:lang w:val="en-US" w:eastAsia="zh-CN"/>
        </w:rPr>
        <w:t>2967.93</w:t>
      </w:r>
      <w:r>
        <w:rPr>
          <w:rFonts w:hint="eastAsia" w:ascii="方正仿宋_GBK" w:hAnsi="方正仿宋_GBK" w:eastAsia="方正仿宋_GBK" w:cs="方正仿宋_GBK"/>
          <w:b w:val="0"/>
          <w:bCs w:val="0"/>
          <w:color w:val="auto"/>
          <w:sz w:val="32"/>
          <w:szCs w:val="32"/>
          <w:shd w:val="clear" w:color="auto" w:fill="FFFFFF"/>
        </w:rPr>
        <w:t>万元</w:t>
      </w:r>
      <w:r>
        <w:rPr>
          <w:rFonts w:hint="eastAsia" w:ascii="方正仿宋_GBK" w:hAnsi="方正仿宋_GBK" w:eastAsia="方正仿宋_GBK" w:cs="方正仿宋_GBK"/>
          <w:b w:val="0"/>
          <w:bCs w:val="0"/>
          <w:color w:val="auto"/>
          <w:sz w:val="32"/>
          <w:szCs w:val="32"/>
          <w:shd w:val="clear" w:color="auto" w:fill="FFFFFF"/>
          <w:lang w:eastAsia="zh-CN"/>
        </w:rPr>
        <w:t>。</w:t>
      </w:r>
      <w:r>
        <w:rPr>
          <w:rFonts w:hint="eastAsia" w:ascii="方正仿宋_GBK" w:hAnsi="方正仿宋_GBK" w:eastAsia="方正仿宋_GBK" w:cs="方正仿宋_GBK"/>
          <w:color w:val="auto"/>
          <w:kern w:val="0"/>
          <w:sz w:val="32"/>
          <w:szCs w:val="32"/>
        </w:rPr>
        <w:t>全年预算资金项目从评价情况来看，绩效自评等级为“优”的</w:t>
      </w:r>
      <w:r>
        <w:rPr>
          <w:rFonts w:hint="eastAsia" w:ascii="方正仿宋_GBK" w:hAnsi="方正仿宋_GBK" w:eastAsia="方正仿宋_GBK" w:cs="方正仿宋_GBK"/>
          <w:color w:val="auto"/>
          <w:kern w:val="0"/>
          <w:sz w:val="32"/>
          <w:szCs w:val="32"/>
          <w:lang w:val="en-US" w:eastAsia="zh-CN"/>
        </w:rPr>
        <w:t>71</w:t>
      </w:r>
      <w:r>
        <w:rPr>
          <w:rFonts w:hint="eastAsia" w:ascii="方正仿宋_GBK" w:hAnsi="方正仿宋_GBK" w:eastAsia="方正仿宋_GBK" w:cs="方正仿宋_GBK"/>
          <w:color w:val="auto"/>
          <w:kern w:val="0"/>
          <w:sz w:val="32"/>
          <w:szCs w:val="32"/>
        </w:rPr>
        <w:t>个、“良”的0个、“中”的0个、“差”的0个。202</w:t>
      </w: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年本单位的项目预算执行严格按照财务管理制度和资金使用审批程序执行，各项资金使用规范、支付及时，较好地实现了绩效目标。</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lang w:val="en-US" w:eastAsia="zh-CN"/>
        </w:rPr>
        <w:t>详见附件2</w:t>
      </w:r>
      <w:r>
        <w:rPr>
          <w:rFonts w:hint="eastAsia" w:ascii="方正仿宋_GBK" w:hAnsi="方正仿宋_GBK" w:eastAsia="方正仿宋_GBK" w:cs="方正仿宋_GBK"/>
          <w:color w:val="auto"/>
          <w:kern w:val="0"/>
          <w:sz w:val="32"/>
          <w:szCs w:val="32"/>
          <w:lang w:eastAsia="zh-CN"/>
        </w:rPr>
        <w:t>）</w:t>
      </w:r>
    </w:p>
    <w:p>
      <w:pPr>
        <w:pStyle w:val="11"/>
        <w:keepNext w:val="0"/>
        <w:keepLines w:val="0"/>
        <w:pageBreakBefore w:val="0"/>
        <w:widowControl/>
        <w:kinsoku/>
        <w:wordWrap/>
        <w:overflowPunct/>
        <w:topLinePunct w:val="0"/>
        <w:autoSpaceDE w:val="0"/>
        <w:autoSpaceDN/>
        <w:bidi w:val="0"/>
        <w:adjustRightInd/>
        <w:snapToGrid w:val="0"/>
        <w:spacing w:beforeAutospacing="0" w:afterAutospacing="0" w:line="240" w:lineRule="auto"/>
        <w:ind w:left="0" w:leftChars="0" w:firstLine="640" w:firstLineChars="200"/>
        <w:jc w:val="both"/>
        <w:textAlignment w:val="auto"/>
        <w:rPr>
          <w:rFonts w:hint="eastAsia" w:ascii="方正楷体_GBK" w:hAnsi="方正楷体_GBK" w:eastAsia="方正楷体_GBK" w:cs="方正楷体_GBK"/>
          <w:b w:val="0"/>
          <w:bCs w:val="0"/>
          <w:color w:val="auto"/>
          <w:sz w:val="32"/>
          <w:szCs w:val="32"/>
          <w:shd w:val="clear" w:color="auto" w:fill="FFFFFF"/>
          <w:lang w:eastAsia="zh-CN"/>
        </w:rPr>
      </w:pPr>
      <w:r>
        <w:rPr>
          <w:rFonts w:hint="eastAsia" w:ascii="方正楷体_GBK" w:hAnsi="方正楷体_GBK" w:eastAsia="方正楷体_GBK" w:cs="方正楷体_GBK"/>
          <w:b w:val="0"/>
          <w:bCs w:val="0"/>
          <w:color w:val="auto"/>
          <w:sz w:val="32"/>
          <w:szCs w:val="32"/>
          <w:shd w:val="clear" w:color="auto" w:fill="FFFFFF"/>
        </w:rPr>
        <w:t>（三）财政绩效评价情况</w:t>
      </w:r>
      <w:r>
        <w:rPr>
          <w:rFonts w:hint="eastAsia" w:ascii="方正楷体_GBK" w:hAnsi="方正楷体_GBK" w:eastAsia="方正楷体_GBK" w:cs="方正楷体_GBK"/>
          <w:b w:val="0"/>
          <w:bCs w:val="0"/>
          <w:color w:val="auto"/>
          <w:sz w:val="32"/>
          <w:szCs w:val="32"/>
          <w:shd w:val="clear" w:color="auto" w:fill="FFFFFF"/>
          <w:lang w:eastAsia="zh-CN"/>
        </w:rPr>
        <w:t>。</w:t>
      </w:r>
    </w:p>
    <w:p>
      <w:pPr>
        <w:keepNext w:val="0"/>
        <w:keepLines w:val="0"/>
        <w:pageBreakBefore w:val="0"/>
        <w:widowControl/>
        <w:kinsoku/>
        <w:wordWrap/>
        <w:overflowPunct/>
        <w:topLinePunct w:val="0"/>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区</w:t>
      </w:r>
      <w:r>
        <w:rPr>
          <w:rFonts w:hint="eastAsia" w:ascii="方正仿宋_GBK" w:hAnsi="方正仿宋_GBK" w:eastAsia="方正仿宋_GBK" w:cs="方正仿宋_GBK"/>
          <w:color w:val="auto"/>
          <w:sz w:val="32"/>
          <w:szCs w:val="32"/>
        </w:rPr>
        <w:t>财政局未委托第三方对我单位开展绩效评价。</w:t>
      </w:r>
    </w:p>
    <w:p>
      <w:pPr>
        <w:keepNext w:val="0"/>
        <w:keepLines w:val="0"/>
        <w:pageBreakBefore w:val="0"/>
        <w:widowControl/>
        <w:numPr>
          <w:ilvl w:val="0"/>
          <w:numId w:val="0"/>
        </w:numPr>
        <w:kinsoku/>
        <w:wordWrap/>
        <w:overflowPunct/>
        <w:topLinePunct w:val="0"/>
        <w:autoSpaceDE/>
        <w:autoSpaceDN/>
        <w:bidi w:val="0"/>
        <w:adjustRightInd/>
        <w:snapToGrid w:val="0"/>
        <w:ind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六、</w:t>
      </w:r>
      <w:r>
        <w:rPr>
          <w:rFonts w:hint="eastAsia" w:ascii="方正黑体_GBK" w:hAnsi="方正黑体_GBK" w:eastAsia="方正黑体_GBK" w:cs="方正黑体_GBK"/>
          <w:color w:val="auto"/>
          <w:sz w:val="32"/>
          <w:szCs w:val="32"/>
        </w:rPr>
        <w:t>专业名词解释</w:t>
      </w:r>
    </w:p>
    <w:p>
      <w:pPr>
        <w:keepNext w:val="0"/>
        <w:keepLines w:val="0"/>
        <w:pageBreakBefore w:val="0"/>
        <w:widowControl/>
        <w:numPr>
          <w:ilvl w:val="0"/>
          <w:numId w:val="0"/>
        </w:numPr>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一</w:t>
      </w: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rPr>
        <w:t>财政拨款收入：</w:t>
      </w:r>
      <w:r>
        <w:rPr>
          <w:rFonts w:hint="eastAsia" w:ascii="方正仿宋_GBK" w:hAnsi="方正仿宋_GBK" w:eastAsia="方正仿宋_GBK" w:cs="方正仿宋_GBK"/>
          <w:color w:val="auto"/>
          <w:sz w:val="32"/>
          <w:szCs w:val="32"/>
        </w:rPr>
        <w:t>指本年度从本级财政部门取得的财政拨款，包括一般公共预算财政拨款和政府性基金预算财政拨款</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w:t>
      </w:r>
      <w:r>
        <w:rPr>
          <w:rFonts w:hint="eastAsia" w:ascii="方正楷体_GBK" w:hAnsi="方正楷体_GBK" w:eastAsia="方正楷体_GBK" w:cs="方正楷体_GBK"/>
          <w:color w:val="auto"/>
          <w:sz w:val="32"/>
          <w:szCs w:val="32"/>
          <w:lang w:eastAsia="zh-CN"/>
        </w:rPr>
        <w:t>二）</w:t>
      </w:r>
      <w:r>
        <w:rPr>
          <w:rFonts w:hint="eastAsia" w:ascii="方正楷体_GBK" w:hAnsi="方正楷体_GBK" w:eastAsia="方正楷体_GBK" w:cs="方正楷体_GBK"/>
          <w:color w:val="auto"/>
          <w:sz w:val="32"/>
          <w:szCs w:val="32"/>
        </w:rPr>
        <w:t>事业收入：</w:t>
      </w:r>
      <w:r>
        <w:rPr>
          <w:rFonts w:hint="eastAsia" w:ascii="方正仿宋_GBK" w:hAnsi="方正仿宋_GBK" w:eastAsia="方正仿宋_GBK" w:cs="方正仿宋_GBK"/>
          <w:color w:val="auto"/>
          <w:sz w:val="32"/>
          <w:szCs w:val="32"/>
        </w:rPr>
        <w:t>指事业单位开展专业业务活动及其辅助活动取得的现金流入；事业单位收到的财政专户实际核拨的教育收费等资金在此反映。</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（三）经营收入：</w:t>
      </w:r>
      <w:r>
        <w:rPr>
          <w:rFonts w:hint="eastAsia" w:ascii="方正仿宋_GBK" w:hAnsi="方正仿宋_GBK" w:eastAsia="方正仿宋_GBK" w:cs="方正仿宋_GBK"/>
          <w:color w:val="auto"/>
          <w:sz w:val="32"/>
          <w:szCs w:val="32"/>
        </w:rPr>
        <w:t>指事业单位在专业业务活动及其辅助活动之外开展非独立核算经营活动取得的现金流入。</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（四）其他收入：</w:t>
      </w:r>
      <w:r>
        <w:rPr>
          <w:rFonts w:hint="eastAsia" w:ascii="方正仿宋_GBK" w:hAnsi="方正仿宋_GBK" w:eastAsia="方正仿宋_GBK" w:cs="方正仿宋_GBK"/>
          <w:color w:val="auto"/>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（五）使用非财政拨款结余：</w:t>
      </w:r>
      <w:r>
        <w:rPr>
          <w:rFonts w:hint="eastAsia" w:ascii="方正仿宋_GBK" w:hAnsi="方正仿宋_GBK" w:eastAsia="方正仿宋_GBK" w:cs="方正仿宋_GBK"/>
          <w:color w:val="auto"/>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（六）年初结转和结余：</w:t>
      </w:r>
      <w:r>
        <w:rPr>
          <w:rFonts w:hint="eastAsia" w:ascii="方正仿宋_GBK" w:hAnsi="方正仿宋_GBK" w:eastAsia="方正仿宋_GBK" w:cs="方正仿宋_GBK"/>
          <w:color w:val="auto"/>
          <w:sz w:val="32"/>
          <w:szCs w:val="32"/>
        </w:rPr>
        <w:t>指单位上年结转本年使用的基本支出结转、项目支出结转和结余、经营结余。</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（七）结余分配：</w:t>
      </w:r>
      <w:r>
        <w:rPr>
          <w:rFonts w:hint="eastAsia" w:ascii="方正仿宋_GBK" w:hAnsi="方正仿宋_GBK" w:eastAsia="方正仿宋_GBK" w:cs="方正仿宋_GBK"/>
          <w:color w:val="auto"/>
          <w:sz w:val="32"/>
          <w:szCs w:val="32"/>
        </w:rPr>
        <w:t>指单位按照国家有关规定，缴纳所得税、提取专用基金、转入非财政拨款结余等当年结余的分配情况。</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（八）年末结转和结余：</w:t>
      </w:r>
      <w:r>
        <w:rPr>
          <w:rFonts w:hint="eastAsia" w:ascii="方正仿宋_GBK" w:hAnsi="方正仿宋_GBK" w:eastAsia="方正仿宋_GBK" w:cs="方正仿宋_GBK"/>
          <w:color w:val="auto"/>
          <w:sz w:val="32"/>
          <w:szCs w:val="32"/>
        </w:rPr>
        <w:t>指单位结转下年的基本支出结转、项目支出结转和结余、经营结余。</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（九）基本支出：</w:t>
      </w:r>
      <w:r>
        <w:rPr>
          <w:rFonts w:hint="eastAsia" w:ascii="方正仿宋_GBK" w:hAnsi="方正仿宋_GBK" w:eastAsia="方正仿宋_GBK" w:cs="方正仿宋_GBK"/>
          <w:color w:val="auto"/>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（十）项目支出：</w:t>
      </w:r>
      <w:r>
        <w:rPr>
          <w:rFonts w:hint="eastAsia" w:ascii="方正仿宋_GBK" w:hAnsi="方正仿宋_GBK" w:eastAsia="方正仿宋_GBK" w:cs="方正仿宋_GBK"/>
          <w:color w:val="auto"/>
          <w:sz w:val="32"/>
          <w:szCs w:val="32"/>
        </w:rPr>
        <w:t>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（十一）经营支出：</w:t>
      </w:r>
      <w:r>
        <w:rPr>
          <w:rFonts w:hint="eastAsia" w:ascii="方正仿宋_GBK" w:hAnsi="方正仿宋_GBK" w:eastAsia="方正仿宋_GBK" w:cs="方正仿宋_GBK"/>
          <w:color w:val="auto"/>
          <w:sz w:val="32"/>
          <w:szCs w:val="32"/>
        </w:rPr>
        <w:t>指事业单位在专业业务活动及其辅助活动之外开展非独立核算经营活动发生的支出。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（十二）“三公”经费：</w:t>
      </w:r>
      <w:r>
        <w:rPr>
          <w:rFonts w:hint="eastAsia" w:ascii="方正仿宋_GBK" w:hAnsi="方正仿宋_GBK" w:eastAsia="方正仿宋_GBK" w:cs="方正仿宋_GBK"/>
          <w:color w:val="auto"/>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（十三）机关运行经费：</w:t>
      </w:r>
      <w:r>
        <w:rPr>
          <w:rFonts w:hint="eastAsia" w:ascii="方正仿宋_GBK" w:hAnsi="方正仿宋_GBK" w:eastAsia="方正仿宋_GBK" w:cs="方正仿宋_GBK"/>
          <w:color w:val="auto"/>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（十四）工资福利支出（支出经济分类科目类级）：</w:t>
      </w:r>
      <w:r>
        <w:rPr>
          <w:rFonts w:hint="eastAsia" w:ascii="方正仿宋_GBK" w:hAnsi="方正仿宋_GBK" w:eastAsia="方正仿宋_GBK" w:cs="方正仿宋_GBK"/>
          <w:color w:val="auto"/>
          <w:sz w:val="32"/>
          <w:szCs w:val="32"/>
        </w:rPr>
        <w:t>反映单位开支的在职职工和编制外长期聘用人员的各类劳动报酬，以及为上述人员缴纳的各项社会保险费等。</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（十五）商品和服务支出（支出经济分类科目类级）：</w:t>
      </w:r>
      <w:r>
        <w:rPr>
          <w:rFonts w:hint="eastAsia" w:ascii="方正仿宋_GBK" w:hAnsi="方正仿宋_GBK" w:eastAsia="方正仿宋_GBK" w:cs="方正仿宋_GBK"/>
          <w:color w:val="auto"/>
          <w:sz w:val="32"/>
          <w:szCs w:val="32"/>
        </w:rPr>
        <w:t>反映单位购买商品和服务的支出（不包括用于购置固定资产的支出、战略性和应急储备支出）。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（十六）对个人和家庭的补助（支出经济分类科目类级）：</w:t>
      </w:r>
      <w:r>
        <w:rPr>
          <w:rFonts w:hint="eastAsia" w:ascii="方正仿宋_GBK" w:hAnsi="方正仿宋_GBK" w:eastAsia="方正仿宋_GBK" w:cs="方正仿宋_GBK"/>
          <w:color w:val="auto"/>
          <w:sz w:val="32"/>
          <w:szCs w:val="32"/>
        </w:rPr>
        <w:t>反映用于对个人和家庭的补助支出。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楷体_GBK" w:hAnsi="方正楷体_GBK" w:eastAsia="方正楷体_GBK" w:cs="方正楷体_GBK"/>
          <w:color w:val="auto"/>
          <w:sz w:val="32"/>
          <w:szCs w:val="32"/>
        </w:rPr>
        <w:t>（十七）其他资本性支出（支出经济分类科目类级）：</w:t>
      </w:r>
      <w:r>
        <w:rPr>
          <w:rFonts w:hint="eastAsia" w:ascii="方正仿宋_GBK" w:hAnsi="方正仿宋_GBK" w:eastAsia="方正仿宋_GBK" w:cs="方正仿宋_GBK"/>
          <w:color w:val="auto"/>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黑体_GBK" w:hAnsi="方正黑体_GBK" w:eastAsia="方正黑体_GBK" w:cs="方正黑体_GBK"/>
          <w:color w:val="auto"/>
          <w:sz w:val="32"/>
          <w:szCs w:val="32"/>
        </w:rPr>
        <w:t>七、决算公开联系方式及信息反馈渠道</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本单位决算公开信息反馈和联系方式：</w:t>
      </w:r>
      <w:r>
        <w:rPr>
          <w:rFonts w:hint="eastAsia" w:ascii="方正仿宋_GBK" w:hAnsi="方正仿宋_GBK" w:eastAsia="方正仿宋_GBK" w:cs="方正仿宋_GBK"/>
          <w:color w:val="auto"/>
          <w:sz w:val="32"/>
          <w:szCs w:val="32"/>
          <w:lang w:val="en-US" w:eastAsia="zh-CN"/>
        </w:rPr>
        <w:t>张莲</w:t>
      </w:r>
      <w:r>
        <w:rPr>
          <w:rFonts w:hint="eastAsia" w:ascii="方正仿宋_GBK" w:hAnsi="方正仿宋_GBK" w:eastAsia="方正仿宋_GBK" w:cs="方正仿宋_GBK"/>
          <w:color w:val="auto"/>
          <w:sz w:val="32"/>
          <w:szCs w:val="32"/>
        </w:rPr>
        <w:t>，023-</w:t>
      </w:r>
      <w:r>
        <w:rPr>
          <w:rFonts w:hint="eastAsia" w:ascii="方正仿宋_GBK" w:hAnsi="方正仿宋_GBK" w:eastAsia="方正仿宋_GBK" w:cs="方正仿宋_GBK"/>
          <w:color w:val="auto"/>
          <w:sz w:val="32"/>
          <w:szCs w:val="32"/>
          <w:lang w:val="en-US" w:eastAsia="zh-CN"/>
        </w:rPr>
        <w:t>46212076</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ind w:left="1598" w:leftChars="266" w:hanging="960" w:hangingChars="3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附件：1.重庆市荣昌区人民政府峰高街道办事处本级2023年度部门决算公开报表</w:t>
      </w:r>
    </w:p>
    <w:p>
      <w:pPr>
        <w:keepNext w:val="0"/>
        <w:keepLines w:val="0"/>
        <w:pageBreakBefore w:val="0"/>
        <w:widowControl/>
        <w:kinsoku/>
        <w:wordWrap/>
        <w:overflowPunct/>
        <w:topLinePunct w:val="0"/>
        <w:autoSpaceDE/>
        <w:autoSpaceDN/>
        <w:bidi w:val="0"/>
        <w:adjustRightInd/>
        <w:snapToGrid w:val="0"/>
        <w:ind w:left="1596" w:leftChars="665" w:firstLine="0" w:firstLineChars="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2.重庆市荣昌区人民政府峰高街道办事处本级2023年度项目绩效自评表</w:t>
      </w: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val="0"/>
        <w:jc w:val="both"/>
        <w:textAlignment w:val="auto"/>
        <w:rPr>
          <w:rFonts w:hint="eastAsia" w:ascii="方正仿宋_GBK" w:hAnsi="方正仿宋_GBK" w:eastAsia="方正仿宋_GBK" w:cs="方正仿宋_GBK"/>
          <w:sz w:val="32"/>
          <w:szCs w:val="32"/>
          <w:lang w:val="en-US" w:eastAsia="zh-CN"/>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242"/>
        <w:gridCol w:w="1245"/>
        <w:gridCol w:w="2970"/>
        <w:gridCol w:w="1419"/>
      </w:tblGrid>
      <w:tr>
        <w:tblPrEx>
          <w:tblLayout w:type="fixed"/>
          <w:tblCellMar>
            <w:top w:w="0" w:type="dxa"/>
            <w:left w:w="0" w:type="dxa"/>
            <w:bottom w:w="0" w:type="dxa"/>
            <w:right w:w="0" w:type="dxa"/>
          </w:tblCellMar>
        </w:tblPrEx>
        <w:trPr>
          <w:trHeight w:val="232" w:hRule="atLeast"/>
        </w:trPr>
        <w:tc>
          <w:tcPr>
            <w:tcW w:w="8876"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both"/>
              <w:textAlignment w:val="bottom"/>
              <w:rPr>
                <w:rFonts w:cs="宋体"/>
                <w:b/>
                <w:color w:val="000000"/>
                <w:sz w:val="32"/>
                <w:szCs w:val="32"/>
              </w:rPr>
            </w:pPr>
          </w:p>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32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4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297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457"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重庆市荣昌区人民政府峰高街道办事处本级</w:t>
            </w:r>
          </w:p>
        </w:tc>
        <w:tc>
          <w:tcPr>
            <w:tcW w:w="1419"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448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4389" w:type="dxa"/>
            <w:gridSpan w:val="2"/>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4,179.40</w:t>
            </w: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1,315.07</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38.84</w:t>
            </w: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6.78</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245"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387.02</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58.51</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21.92</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905.68</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1,199.03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306.44</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31.83</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10.88</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4,218.24</w:t>
            </w: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4,266.10</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41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2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47.86</w:t>
            </w:r>
            <w:r>
              <w:rPr>
                <w:color w:val="000000"/>
                <w:sz w:val="20"/>
                <w:u w:color="auto"/>
              </w:rPr>
              <w:t xml:space="preserve"> </w:t>
            </w:r>
          </w:p>
        </w:tc>
        <w:tc>
          <w:tcPr>
            <w:tcW w:w="29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419" w:type="dxa"/>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trPr>
        <w:tc>
          <w:tcPr>
            <w:tcW w:w="324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4,266.10</w:t>
            </w:r>
            <w:r>
              <w:rPr>
                <w:color w:val="000000"/>
                <w:sz w:val="20"/>
                <w:u w:color="auto"/>
              </w:rPr>
              <w:t xml:space="preserve"> </w:t>
            </w:r>
          </w:p>
        </w:tc>
        <w:tc>
          <w:tcPr>
            <w:tcW w:w="29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4,266.10</w:t>
            </w:r>
            <w:r>
              <w:rPr>
                <w:color w:val="000000"/>
                <w:sz w:val="20"/>
                <w:u w:color="auto"/>
              </w:rPr>
              <w:t xml:space="preserve"> </w:t>
            </w:r>
          </w:p>
        </w:tc>
      </w:tr>
    </w:tbl>
    <w:p>
      <w:pPr>
        <w:rPr>
          <w:rFonts w:hint="default" w:cs="宋体"/>
          <w:sz w:val="21"/>
          <w:szCs w:val="21"/>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cs="宋体"/>
          <w:sz w:val="20"/>
          <w:szCs w:val="20"/>
        </w:rPr>
      </w:pPr>
    </w:p>
    <w:p>
      <w:pPr>
        <w:spacing w:line="240" w:lineRule="exact"/>
        <w:rPr>
          <w:rFonts w:hint="default" w:cs="宋体"/>
          <w:sz w:val="20"/>
          <w:szCs w:val="20"/>
        </w:rPr>
      </w:pPr>
      <w:r>
        <w:rPr>
          <w:rFonts w:cs="宋体"/>
          <w:sz w:val="20"/>
          <w:szCs w:val="20"/>
        </w:rPr>
        <w:br w:type="textWrapping"/>
      </w:r>
    </w:p>
    <w:tbl>
      <w:tblPr>
        <w:tblStyle w:val="7"/>
        <w:tblW w:w="8876" w:type="dxa"/>
        <w:tblInd w:w="0" w:type="dxa"/>
        <w:tblLayout w:type="fixed"/>
        <w:tblCellMar>
          <w:top w:w="0" w:type="dxa"/>
          <w:left w:w="0" w:type="dxa"/>
          <w:bottom w:w="0" w:type="dxa"/>
          <w:right w:w="0" w:type="dxa"/>
        </w:tblCellMar>
      </w:tblPr>
      <w:tblGrid>
        <w:gridCol w:w="887"/>
        <w:gridCol w:w="3645"/>
        <w:gridCol w:w="960"/>
        <w:gridCol w:w="956"/>
        <w:gridCol w:w="230"/>
        <w:gridCol w:w="276"/>
        <w:gridCol w:w="758"/>
        <w:gridCol w:w="345"/>
        <w:gridCol w:w="510"/>
        <w:gridCol w:w="309"/>
      </w:tblGrid>
      <w:tr>
        <w:tblPrEx>
          <w:tblLayout w:type="fixed"/>
          <w:tblCellMar>
            <w:top w:w="0" w:type="dxa"/>
            <w:left w:w="0" w:type="dxa"/>
            <w:bottom w:w="0" w:type="dxa"/>
            <w:right w:w="0" w:type="dxa"/>
          </w:tblCellMar>
        </w:tblPrEx>
        <w:trPr>
          <w:trHeight w:val="653" w:hRule="atLeast"/>
        </w:trPr>
        <w:tc>
          <w:tcPr>
            <w:tcW w:w="8876"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43" w:hRule="atLeast"/>
        </w:trPr>
        <w:tc>
          <w:tcPr>
            <w:tcW w:w="549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重庆市荣昌区人民政府峰高街道办事处本级</w:t>
            </w:r>
          </w:p>
        </w:tc>
        <w:tc>
          <w:tcPr>
            <w:tcW w:w="9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922" w:type="dxa"/>
            <w:gridSpan w:val="4"/>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43" w:hRule="atLeast"/>
        </w:trPr>
        <w:tc>
          <w:tcPr>
            <w:tcW w:w="549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95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30"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2198" w:type="dxa"/>
            <w:gridSpan w:val="5"/>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15" w:hRule="atLeast"/>
        </w:trPr>
        <w:tc>
          <w:tcPr>
            <w:tcW w:w="4532"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2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03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34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3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68" w:hRule="atLeast"/>
        </w:trPr>
        <w:tc>
          <w:tcPr>
            <w:tcW w:w="88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45"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7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7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8"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45"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8"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45"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88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45"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7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7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4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74" w:hRule="atLeast"/>
        </w:trPr>
        <w:tc>
          <w:tcPr>
            <w:tcW w:w="45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4,218.24</w:t>
            </w:r>
            <w:r>
              <w:rPr>
                <w:b/>
                <w:color w:val="000000"/>
                <w:sz w:val="20"/>
                <w:u w:color="auto"/>
              </w:rPr>
              <w:t xml:space="preserve"> </w:t>
            </w:r>
          </w:p>
        </w:tc>
        <w:tc>
          <w:tcPr>
            <w:tcW w:w="95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4,218.24</w:t>
            </w:r>
            <w:r>
              <w:rPr>
                <w:b/>
                <w:color w:val="000000"/>
                <w:sz w:val="20"/>
                <w:u w:color="auto"/>
              </w:rPr>
              <w:t xml:space="preserve"> </w:t>
            </w:r>
          </w:p>
        </w:tc>
        <w:tc>
          <w:tcPr>
            <w:tcW w:w="2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7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7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1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191" w:hRule="atLeast"/>
        </w:trPr>
        <w:tc>
          <w:tcPr>
            <w:tcW w:w="88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1,315.07</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1,315.07</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1"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8.69</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8.69</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6"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6"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1,240.06</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1,240.06</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917.42</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917.42</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282.64</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282.64</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其他国防动员支出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21"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69"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387.02</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387.02</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290.33</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290.33</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81.71</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81.71</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9"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87.64</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87.64</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34"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120.97</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120.97</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36.37</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36.37</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66"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36.09</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36.09</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36.09</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36.09</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58.51</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58.51</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4"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3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905.68</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905.68</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777.20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777.20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777.20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777.20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100.52</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100.52</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100.52</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100.52</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1"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1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27.96</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27.96</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4"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1,167.07</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1,167.07</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82.04</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82.04</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21.37</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21.37</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39"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36.29</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36.29</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294.88</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294.88</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292.88</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292.88</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4.91</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农村水利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4"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746.24</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746.24</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1"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91"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296.24</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296.24</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306.44</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306.44</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127.60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127.60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178.84</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178.84</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178.84</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178.84</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4"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31.83</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31.83</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31.83</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31.83</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31.83</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31.83</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89"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39"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4"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8" w:hRule="atLeast"/>
        </w:trPr>
        <w:tc>
          <w:tcPr>
            <w:tcW w:w="88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4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9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2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7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977"/>
        <w:gridCol w:w="3660"/>
        <w:gridCol w:w="1005"/>
        <w:gridCol w:w="1035"/>
        <w:gridCol w:w="960"/>
        <w:gridCol w:w="435"/>
        <w:gridCol w:w="330"/>
        <w:gridCol w:w="474"/>
      </w:tblGrid>
      <w:tr>
        <w:tblPrEx>
          <w:tblLayout w:type="fixed"/>
          <w:tblCellMar>
            <w:top w:w="0" w:type="dxa"/>
            <w:left w:w="0" w:type="dxa"/>
            <w:bottom w:w="0" w:type="dxa"/>
            <w:right w:w="0" w:type="dxa"/>
          </w:tblCellMar>
        </w:tblPrEx>
        <w:trPr>
          <w:trHeight w:val="65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642"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重庆市荣昌区人民政府峰高街道办事处本级 </w:t>
            </w:r>
          </w:p>
        </w:tc>
        <w:tc>
          <w:tcPr>
            <w:tcW w:w="103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199"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shd w:val="clear" w:color="auto" w:fill="FFFFFF" w:themeFill="background1"/>
          <w:tblLayout w:type="fixed"/>
          <w:tblCellMar>
            <w:top w:w="0" w:type="dxa"/>
            <w:left w:w="0" w:type="dxa"/>
            <w:bottom w:w="0" w:type="dxa"/>
            <w:right w:w="0" w:type="dxa"/>
          </w:tblCellMar>
        </w:tblPrEx>
        <w:trPr>
          <w:trHeight w:val="342" w:hRule="atLeast"/>
        </w:trPr>
        <w:tc>
          <w:tcPr>
            <w:tcW w:w="5642"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3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199" w:type="dxa"/>
            <w:gridSpan w:val="4"/>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62" w:hRule="atLeast"/>
        </w:trPr>
        <w:tc>
          <w:tcPr>
            <w:tcW w:w="463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03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435"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47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977"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6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97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8" w:hRule="atLeast"/>
        </w:trPr>
        <w:tc>
          <w:tcPr>
            <w:tcW w:w="97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977"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366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35"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47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92" w:hRule="atLeast"/>
        </w:trPr>
        <w:tc>
          <w:tcPr>
            <w:tcW w:w="463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4,266.10</w:t>
            </w:r>
            <w:r>
              <w:rPr>
                <w:b/>
                <w:color w:val="000000"/>
                <w:sz w:val="20"/>
                <w:u w:color="auto"/>
              </w:rPr>
              <w:t xml:space="preserve"> </w:t>
            </w:r>
          </w:p>
        </w:tc>
        <w:tc>
          <w:tcPr>
            <w:tcW w:w="10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1,298.18</w:t>
            </w:r>
            <w:r>
              <w:rPr>
                <w:b/>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2,967.93</w:t>
            </w:r>
            <w:r>
              <w:rPr>
                <w:b/>
                <w:color w:val="000000"/>
                <w:sz w:val="20"/>
                <w:u w:color="auto"/>
              </w:rPr>
              <w:t xml:space="preserve"> </w:t>
            </w:r>
          </w:p>
        </w:tc>
        <w:tc>
          <w:tcPr>
            <w:tcW w:w="43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1,315.07</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917.42</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397.65</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29.82</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4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8.69</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8.69</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14.33</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1,240.06</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917.42</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322.64</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4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917.42</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917.42</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282.64</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282.64</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28.06</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28.06</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17.13</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0.86</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其他国防动员支出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0.61</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0.61</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6.78</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5.28</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5.00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1.50</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0.28</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0.28</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1"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2.61</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4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2.61</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387.02</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290.33</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96.70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290.33</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290.33</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4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81.71</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81.71</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87.64</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87.64</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120.97</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120.97</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7.60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2.25</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2.25</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36.37</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36.37</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20.37</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7.08</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7.08</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36.09</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36.09</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36.09</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36.09</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58.51</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57.10</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57.10</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32.36</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13.34</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11.40</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1.41</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1.41</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21.92</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21.92</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6.02</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2.37</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3.65</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15.90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15.90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905.68</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905.68</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777.20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777.20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777.20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777.20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100.52</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100.52</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100.52</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100.52</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27.96</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8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27.96</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27.96</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1,199.03</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1,199.03</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0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82.04</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82.04</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21.37</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21.37</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20.38</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36.29</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36.29</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318.84</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318.84</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292.88</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292.88</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25.96</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12.91</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0.71</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农村水利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39.00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5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746.24</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746.24</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4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450.00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296.24</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296.24</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0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306.44</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306.44</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127.60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127.60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5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108.40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19.20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178.84</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178.84</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178.84</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178.84</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31.83</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31.83</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31.83</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31.83</w:t>
            </w:r>
            <w:r>
              <w:rPr>
                <w:b/>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31.83</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31.83</w:t>
            </w: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72"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27"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10.88</w:t>
            </w:r>
            <w:r>
              <w:rPr>
                <w:b/>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0.78</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2296003</w:t>
            </w:r>
          </w:p>
        </w:tc>
        <w:tc>
          <w:tcPr>
            <w:tcW w:w="36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用于体育事业的彩票公益金支出</w:t>
            </w:r>
          </w:p>
        </w:tc>
        <w:tc>
          <w:tcPr>
            <w:tcW w:w="10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10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10.10</w:t>
            </w:r>
            <w:r>
              <w:rPr>
                <w:color w:val="000000"/>
                <w:sz w:val="20"/>
                <w:u w:color="auto"/>
              </w:rPr>
              <w:t xml:space="preserve"> </w:t>
            </w:r>
          </w:p>
        </w:tc>
        <w:tc>
          <w:tcPr>
            <w:tcW w:w="43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4"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9287" w:type="dxa"/>
        <w:jc w:val="center"/>
        <w:tblInd w:w="0" w:type="dxa"/>
        <w:shd w:val="clear" w:color="auto" w:fill="FFFFFF" w:themeFill="background1"/>
        <w:tblLayout w:type="fixed"/>
        <w:tblCellMar>
          <w:top w:w="0" w:type="dxa"/>
          <w:left w:w="0" w:type="dxa"/>
          <w:bottom w:w="0" w:type="dxa"/>
          <w:right w:w="0" w:type="dxa"/>
        </w:tblCellMar>
      </w:tblPr>
      <w:tblGrid>
        <w:gridCol w:w="2552"/>
        <w:gridCol w:w="870"/>
        <w:gridCol w:w="2655"/>
        <w:gridCol w:w="930"/>
        <w:gridCol w:w="915"/>
        <w:gridCol w:w="705"/>
        <w:gridCol w:w="660"/>
      </w:tblGrid>
      <w:tr>
        <w:tblPrEx>
          <w:shd w:val="clear" w:color="auto" w:fill="FFFFFF" w:themeFill="background1"/>
          <w:tblLayout w:type="fixed"/>
          <w:tblCellMar>
            <w:top w:w="0" w:type="dxa"/>
            <w:left w:w="0" w:type="dxa"/>
            <w:bottom w:w="0" w:type="dxa"/>
            <w:right w:w="0" w:type="dxa"/>
          </w:tblCellMar>
        </w:tblPrEx>
        <w:trPr>
          <w:trHeight w:val="400" w:hRule="atLeast"/>
          <w:jc w:val="center"/>
        </w:trPr>
        <w:tc>
          <w:tcPr>
            <w:tcW w:w="9287"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FFFFFF" w:themeFill="background1"/>
          <w:tblLayout w:type="fixed"/>
          <w:tblCellMar>
            <w:top w:w="0" w:type="dxa"/>
            <w:left w:w="0" w:type="dxa"/>
            <w:bottom w:w="0" w:type="dxa"/>
            <w:right w:w="0" w:type="dxa"/>
          </w:tblCellMar>
        </w:tblPrEx>
        <w:trPr>
          <w:trHeight w:val="246" w:hRule="atLeast"/>
          <w:jc w:val="center"/>
        </w:trPr>
        <w:tc>
          <w:tcPr>
            <w:tcW w:w="6077" w:type="dxa"/>
            <w:gridSpan w:val="3"/>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重庆市荣昌区人民政府峰高街道办事处本级</w:t>
            </w:r>
          </w:p>
        </w:tc>
        <w:tc>
          <w:tcPr>
            <w:tcW w:w="93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65"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284" w:hRule="atLeast"/>
          <w:jc w:val="center"/>
        </w:trPr>
        <w:tc>
          <w:tcPr>
            <w:tcW w:w="6077" w:type="dxa"/>
            <w:gridSpan w:val="3"/>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3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1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65"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28" w:hRule="atLeast"/>
          <w:jc w:val="center"/>
        </w:trPr>
        <w:tc>
          <w:tcPr>
            <w:tcW w:w="342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收     入</w:t>
            </w:r>
          </w:p>
        </w:tc>
        <w:tc>
          <w:tcPr>
            <w:tcW w:w="5865"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支     出</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项目</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c>
          <w:tcPr>
            <w:tcW w:w="265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功能分类科目</w:t>
            </w:r>
          </w:p>
        </w:tc>
        <w:tc>
          <w:tcPr>
            <w:tcW w:w="3210" w:type="dxa"/>
            <w:gridSpan w:val="4"/>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410" w:hRule="atLeast"/>
          <w:jc w:val="center"/>
        </w:trPr>
        <w:tc>
          <w:tcPr>
            <w:tcW w:w="255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265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一般公共预算财政拨款</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政府性基金预算财政拨款</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260"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4,179.40</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一、一般公共服务支出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1,315.07</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1,315.07</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二、政府性基金预算财政拨款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38.84</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二、外交支出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70"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三、国有资本经营预算财政拨款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三、国防支出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0.72</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四、公共安全支出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5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五、教育支出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6.78</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六、科学技术支出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8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七、文化旅游体育与传媒支出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6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八、社会保障和就业支出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387.02</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387.02</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7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九、卫生健康支出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58.51</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58.51</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十、节能环保支出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21.92</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21.92</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75"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十一、城乡社区支出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905.68</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877.72</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27.96</w:t>
            </w: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十二、农林水支出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1,199.03</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1,199.03</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十三、交通运输支出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306.44</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306.44</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十四、资源勘探工业信息等支出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十五、商业服务业等支出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十六、金融支出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十七、援助其他地区支出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十八、自然资源海洋气象等支出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18.00</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十九、住房保障支出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31.83</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31.83</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二十、粮油物资储备支出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二十一、国有资本经营预算支出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二十二、灾害防治及应急管理支出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二十三、其他支出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10.88</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10.88</w:t>
            </w: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二十四、债务还本支出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二十五、债务付息支出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二十六、抗疫特别国债安排的支出</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10"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本年收入合计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4,218.24</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本年支出合计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4,266.10</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4,227.26</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38.84</w:t>
            </w: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9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年初财政拨款结转和结余</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47.86</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年末财政拨款结转和结余</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63"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一般公共预算财政拨款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47.86</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val="0"/>
              <w:spacing w:line="240" w:lineRule="auto"/>
              <w:rPr>
                <w:rFonts w:hint="default" w:cs="宋体"/>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78"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政府性基金预算财政拨款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95"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cs="宋体"/>
                <w:color w:val="000000"/>
                <w:sz w:val="18"/>
                <w:szCs w:val="18"/>
              </w:rPr>
            </w:pPr>
            <w:r>
              <w:rPr>
                <w:rFonts w:cs="宋体"/>
                <w:color w:val="000000"/>
                <w:sz w:val="18"/>
                <w:szCs w:val="18"/>
              </w:rPr>
              <w:t xml:space="preserve">  国有资本经营预算财政拨款</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cs="宋体"/>
                <w:b/>
                <w:color w:val="000000"/>
                <w:sz w:val="18"/>
                <w:szCs w:val="18"/>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99" w:hRule="atLeast"/>
          <w:jc w:val="center"/>
        </w:trPr>
        <w:tc>
          <w:tcPr>
            <w:tcW w:w="255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8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4,266.10</w:t>
            </w:r>
            <w:r>
              <w:rPr>
                <w:color w:val="000000"/>
                <w:sz w:val="18"/>
                <w:u w:color="auto"/>
              </w:rPr>
              <w:t xml:space="preserve"> </w:t>
            </w:r>
          </w:p>
        </w:tc>
        <w:tc>
          <w:tcPr>
            <w:tcW w:w="265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cs="宋体"/>
                <w:b/>
                <w:color w:val="000000"/>
                <w:sz w:val="18"/>
                <w:szCs w:val="18"/>
              </w:rPr>
            </w:pPr>
            <w:r>
              <w:rPr>
                <w:rFonts w:cs="宋体"/>
                <w:b/>
                <w:color w:val="000000"/>
                <w:sz w:val="18"/>
                <w:szCs w:val="18"/>
              </w:rPr>
              <w:t>总计</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4,266.10</w:t>
            </w:r>
            <w:r>
              <w:rPr>
                <w:color w:val="000000"/>
                <w:sz w:val="18"/>
                <w:u w:color="auto"/>
              </w:rPr>
              <w:t xml:space="preserve"> </w:t>
            </w:r>
          </w:p>
        </w:tc>
        <w:tc>
          <w:tcPr>
            <w:tcW w:w="91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4,227.26</w:t>
            </w:r>
            <w:r>
              <w:rPr>
                <w:color w:val="000000"/>
                <w:sz w:val="18"/>
                <w:u w:color="auto"/>
              </w:rPr>
              <w:t xml:space="preserve"> </w:t>
            </w:r>
          </w:p>
        </w:tc>
        <w:tc>
          <w:tcPr>
            <w:tcW w:w="7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38.84</w:t>
            </w:r>
            <w:r>
              <w:rPr>
                <w:color w:val="000000"/>
                <w:sz w:val="18"/>
                <w:u w:color="auto"/>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67" w:type="dxa"/>
        <w:tblInd w:w="0" w:type="dxa"/>
        <w:shd w:val="clear" w:color="auto" w:fill="FFFFFF" w:themeFill="background1"/>
        <w:tblLayout w:type="fixed"/>
        <w:tblCellMar>
          <w:top w:w="0" w:type="dxa"/>
          <w:left w:w="0" w:type="dxa"/>
          <w:bottom w:w="0" w:type="dxa"/>
          <w:right w:w="0" w:type="dxa"/>
        </w:tblCellMar>
      </w:tblPr>
      <w:tblGrid>
        <w:gridCol w:w="977"/>
        <w:gridCol w:w="3690"/>
        <w:gridCol w:w="1400"/>
        <w:gridCol w:w="37"/>
        <w:gridCol w:w="837"/>
        <w:gridCol w:w="526"/>
        <w:gridCol w:w="1400"/>
      </w:tblGrid>
      <w:tr>
        <w:tblPrEx>
          <w:tblLayout w:type="fixed"/>
          <w:tblCellMar>
            <w:top w:w="0" w:type="dxa"/>
            <w:left w:w="0" w:type="dxa"/>
            <w:bottom w:w="0" w:type="dxa"/>
            <w:right w:w="0" w:type="dxa"/>
          </w:tblCellMar>
        </w:tblPrEx>
        <w:trPr>
          <w:trHeight w:val="510" w:hRule="atLeast"/>
        </w:trPr>
        <w:tc>
          <w:tcPr>
            <w:tcW w:w="8867"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FFFFFF" w:themeFill="background1"/>
          <w:tblLayout w:type="fixed"/>
          <w:tblCellMar>
            <w:top w:w="0" w:type="dxa"/>
            <w:left w:w="0" w:type="dxa"/>
            <w:bottom w:w="0" w:type="dxa"/>
            <w:right w:w="0" w:type="dxa"/>
          </w:tblCellMar>
        </w:tblPrEx>
        <w:trPr>
          <w:trHeight w:val="255" w:hRule="atLeast"/>
        </w:trPr>
        <w:tc>
          <w:tcPr>
            <w:tcW w:w="6104"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重庆市荣昌区人民政府峰高街道办事处本级</w:t>
            </w:r>
          </w:p>
        </w:tc>
        <w:tc>
          <w:tcPr>
            <w:tcW w:w="83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2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FFFFFF" w:themeFill="background1"/>
          <w:tblLayout w:type="fixed"/>
          <w:tblCellMar>
            <w:top w:w="0" w:type="dxa"/>
            <w:left w:w="0" w:type="dxa"/>
            <w:bottom w:w="0" w:type="dxa"/>
            <w:right w:w="0" w:type="dxa"/>
          </w:tblCellMar>
        </w:tblPrEx>
        <w:trPr>
          <w:trHeight w:val="285" w:hRule="atLeast"/>
        </w:trPr>
        <w:tc>
          <w:tcPr>
            <w:tcW w:w="6104"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3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2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4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4200" w:type="dxa"/>
            <w:gridSpan w:val="5"/>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FFFFFF" w:themeFill="background1"/>
          <w:tblLayout w:type="fixed"/>
          <w:tblCellMar>
            <w:top w:w="0" w:type="dxa"/>
            <w:left w:w="0" w:type="dxa"/>
            <w:bottom w:w="0" w:type="dxa"/>
            <w:right w:w="0" w:type="dxa"/>
          </w:tblCellMar>
        </w:tblPrEx>
        <w:trPr>
          <w:trHeight w:val="326" w:hRule="atLeast"/>
        </w:trPr>
        <w:tc>
          <w:tcPr>
            <w:tcW w:w="97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9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0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00" w:type="dxa"/>
            <w:gridSpan w:val="3"/>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40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97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9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00" w:type="dxa"/>
            <w:gridSpan w:val="3"/>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12" w:hRule="atLeast"/>
        </w:trPr>
        <w:tc>
          <w:tcPr>
            <w:tcW w:w="97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369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00" w:type="dxa"/>
            <w:gridSpan w:val="3"/>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40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116" w:hRule="atLeast"/>
        </w:trPr>
        <w:tc>
          <w:tcPr>
            <w:tcW w:w="4667"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4,227.26</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1,298.18</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2,929.09</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1,315.07</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917.42</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397.65</w:t>
            </w:r>
            <w:r>
              <w:rPr>
                <w:b/>
                <w:color w:val="000000"/>
                <w:sz w:val="20"/>
                <w:u w:color="auto"/>
              </w:rPr>
              <w:t xml:space="preserve"> </w:t>
            </w:r>
          </w:p>
        </w:tc>
      </w:tr>
      <w:tr>
        <w:tblPrEx>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29.82</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29.82</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90"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人大会议</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人大监督</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代表工作</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8.69</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8.69</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其他人大事务支出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14.33</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1,240.06</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917.42</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322.64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917.42</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917.42</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282.64</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282.64</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信访事务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28.06</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28.06</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28.06</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28.06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组织事务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17.13</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17.13</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0.86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2013299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其他组织事务支出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16.27</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20306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国防动员</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2030699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其他国防动员支出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0.61</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6.78</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5.28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1.50</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0.28</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0.28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文化旅游体育与传媒支出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20701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文化和旅游</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2.61</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2070199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其他文化和旅游支出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387.02</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290.33</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96.70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290.33</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290.33</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81.71</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81.71</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87.64</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87.64</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120.97</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120.97</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7.60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退役安置</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2.25</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2080999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其他退役安置支出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2.25</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36.37</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36.37</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20.37</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20.37</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7.08</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7.08</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36.09</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36.09</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36.09</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36.09</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58.51</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57.10</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57.10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57.10</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32.36</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32.36</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13.34</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13.34</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11.40</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医疗保障管理事务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1.41</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2101506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医疗保障经办事务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21.92</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21.92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污染防治</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6.02</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水体</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2.37</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2110307</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土壤</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3.65</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15.90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15.90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877.72</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877.72</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城乡社区公共设施</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777.20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777.20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2120303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小城镇基础设施建设</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777.20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777.20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城乡社区环境卫生</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100.52</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100.52</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2120501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城乡社区环境卫生</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100.52</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100.52</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1,199.03</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1,199.03</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82.04</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2130108</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病虫害控制</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21.37</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21.37</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2130119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防灾救灾</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2130122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农业生产发展</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20.38</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20.38</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2130135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农业资源保护修复与利用</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36.29</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36.29</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318.84</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318.84</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292.88</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292.88</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25.96</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12.91</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防汛</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抗旱</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0.71</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农村水利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2130319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江河湖库水系综合整治</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社会发展</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746.24</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746.24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450.00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296.24</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296.24</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306.44</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306.44</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127.60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127.60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108.40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108.40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19.20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178.84</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178.84</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178.84</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178.84</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18.00</w:t>
            </w: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31.83</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31.83</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01"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31.83</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31.83</w:t>
            </w:r>
            <w:r>
              <w:rPr>
                <w:b/>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31.83</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31.83</w:t>
            </w: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tblPrEx>
          <w:tblLayout w:type="fixed"/>
          <w:tblCellMar>
            <w:top w:w="0" w:type="dxa"/>
            <w:left w:w="0" w:type="dxa"/>
            <w:bottom w:w="0" w:type="dxa"/>
            <w:right w:w="0" w:type="dxa"/>
          </w:tblCellMar>
        </w:tblPrEx>
        <w:trPr>
          <w:trHeight w:val="308" w:hRule="atLeast"/>
        </w:trPr>
        <w:tc>
          <w:tcPr>
            <w:tcW w:w="97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2240799</w:t>
            </w:r>
          </w:p>
        </w:tc>
        <w:tc>
          <w:tcPr>
            <w:tcW w:w="369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其他自然灾害救灾及恢复重建支出</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400" w:type="dxa"/>
            <w:gridSpan w:val="3"/>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40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ind w:firstLine="630" w:firstLineChars="300"/>
        <w:rPr>
          <w:rFonts w:cs="宋体"/>
          <w:sz w:val="21"/>
          <w:szCs w:val="21"/>
        </w:rPr>
      </w:pPr>
    </w:p>
    <w:p>
      <w:pPr>
        <w:rPr>
          <w:rFonts w:cs="宋体"/>
          <w:sz w:val="21"/>
          <w:szCs w:val="21"/>
        </w:rPr>
      </w:pPr>
    </w:p>
    <w:tbl>
      <w:tblPr>
        <w:tblStyle w:val="7"/>
        <w:tblW w:w="10500" w:type="dxa"/>
        <w:jc w:val="center"/>
        <w:tblInd w:w="0" w:type="dxa"/>
        <w:shd w:val="clear" w:color="auto" w:fill="FFFFFF" w:themeFill="background1"/>
        <w:tblLayout w:type="fixed"/>
        <w:tblCellMar>
          <w:top w:w="0" w:type="dxa"/>
          <w:left w:w="0" w:type="dxa"/>
          <w:bottom w:w="0" w:type="dxa"/>
          <w:right w:w="0" w:type="dxa"/>
        </w:tblCellMar>
      </w:tblPr>
      <w:tblGrid>
        <w:gridCol w:w="799"/>
        <w:gridCol w:w="1965"/>
        <w:gridCol w:w="750"/>
        <w:gridCol w:w="765"/>
        <w:gridCol w:w="1995"/>
        <w:gridCol w:w="684"/>
        <w:gridCol w:w="1"/>
        <w:gridCol w:w="843"/>
        <w:gridCol w:w="2057"/>
        <w:gridCol w:w="641"/>
      </w:tblGrid>
      <w:tr>
        <w:tblPrEx>
          <w:shd w:val="clear" w:color="auto" w:fill="FFFFFF" w:themeFill="background1"/>
          <w:tblLayout w:type="fixed"/>
          <w:tblCellMar>
            <w:top w:w="0" w:type="dxa"/>
            <w:left w:w="0" w:type="dxa"/>
            <w:bottom w:w="0" w:type="dxa"/>
            <w:right w:w="0" w:type="dxa"/>
          </w:tblCellMar>
        </w:tblPrEx>
        <w:trPr>
          <w:trHeight w:val="629" w:hRule="atLeast"/>
          <w:jc w:val="center"/>
        </w:trPr>
        <w:tc>
          <w:tcPr>
            <w:tcW w:w="1050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shd w:val="clear" w:color="auto" w:fill="FFFFFF" w:themeFill="background1"/>
          <w:tblLayout w:type="fixed"/>
          <w:tblCellMar>
            <w:top w:w="0" w:type="dxa"/>
            <w:left w:w="0" w:type="dxa"/>
            <w:bottom w:w="0" w:type="dxa"/>
            <w:right w:w="0" w:type="dxa"/>
          </w:tblCellMar>
        </w:tblPrEx>
        <w:trPr>
          <w:trHeight w:val="424" w:hRule="atLeast"/>
          <w:jc w:val="center"/>
        </w:trPr>
        <w:tc>
          <w:tcPr>
            <w:tcW w:w="6274"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重庆市荣昌区人民政府峰高街道办事处本级</w:t>
            </w: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424" w:hRule="atLeast"/>
          <w:jc w:val="center"/>
        </w:trPr>
        <w:tc>
          <w:tcPr>
            <w:tcW w:w="6274"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68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844"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698"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351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6986"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510" w:hRule="atLeast"/>
          <w:jc w:val="center"/>
        </w:trPr>
        <w:tc>
          <w:tcPr>
            <w:tcW w:w="799"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6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750"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765"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9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85"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4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4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shd w:val="clear" w:color="auto" w:fill="FFFFFF" w:themeFill="background1"/>
          <w:tblLayout w:type="fixed"/>
          <w:tblCellMar>
            <w:top w:w="0" w:type="dxa"/>
            <w:left w:w="0" w:type="dxa"/>
            <w:bottom w:w="0" w:type="dxa"/>
            <w:right w:w="0" w:type="dxa"/>
          </w:tblCellMar>
        </w:tblPrEx>
        <w:trPr>
          <w:trHeight w:val="312" w:hRule="atLeast"/>
          <w:jc w:val="center"/>
        </w:trPr>
        <w:tc>
          <w:tcPr>
            <w:tcW w:w="799"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6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50"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765"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9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85"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84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0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64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2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872.93</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210.54</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187.39</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134.13</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w:t>
            </w: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266.90</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2.67</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3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81.71</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28.39</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87.64</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20.49</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32.36</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0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13.34</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6.89</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31.83</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5.76</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0.85</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2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24.98</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212.34</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3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0.79</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8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3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90.26</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104.52</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7.91</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16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17.57</w:t>
            </w: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1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14.00</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5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6.84</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23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18.15</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42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36.30</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36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11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58.28</w:t>
            </w: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42"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90"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187"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Layout w:type="fixed"/>
          <w:tblCellMar>
            <w:top w:w="0" w:type="dxa"/>
            <w:left w:w="0" w:type="dxa"/>
            <w:bottom w:w="0" w:type="dxa"/>
            <w:right w:w="0" w:type="dxa"/>
          </w:tblCellMar>
        </w:tblPrEx>
        <w:trPr>
          <w:trHeight w:val="245" w:hRule="atLeast"/>
          <w:jc w:val="center"/>
        </w:trPr>
        <w:tc>
          <w:tcPr>
            <w:tcW w:w="79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76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9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68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4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0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64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327" w:hRule="atLeast"/>
          <w:jc w:val="center"/>
        </w:trPr>
        <w:tc>
          <w:tcPr>
            <w:tcW w:w="2764"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750"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bottom"/>
              <w:rPr>
                <w:rFonts w:hint="default" w:cs="宋体"/>
                <w:color w:val="000000"/>
                <w:sz w:val="18"/>
                <w:szCs w:val="18"/>
              </w:rPr>
            </w:pPr>
            <w:r>
              <w:rPr>
                <w:rFonts w:cs="宋体"/>
                <w:color w:val="000000"/>
                <w:sz w:val="18"/>
                <w:szCs w:val="18"/>
              </w:rPr>
              <w:t>1,085.28</w:t>
            </w:r>
            <w:r>
              <w:rPr>
                <w:color w:val="000000"/>
                <w:sz w:val="18"/>
                <w:u w:color="auto"/>
              </w:rPr>
              <w:t xml:space="preserve"> </w:t>
            </w:r>
          </w:p>
        </w:tc>
        <w:tc>
          <w:tcPr>
            <w:tcW w:w="6345"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4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212.90</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127"/>
        <w:gridCol w:w="1830"/>
        <w:gridCol w:w="945"/>
        <w:gridCol w:w="960"/>
        <w:gridCol w:w="1020"/>
        <w:gridCol w:w="1125"/>
        <w:gridCol w:w="870"/>
        <w:gridCol w:w="999"/>
      </w:tblGrid>
      <w:tr>
        <w:tblPrEx>
          <w:shd w:val="clear" w:color="auto" w:fill="FFFFFF" w:themeFill="background1"/>
          <w:tblLayout w:type="fixed"/>
          <w:tblCellMar>
            <w:top w:w="0" w:type="dxa"/>
            <w:left w:w="0" w:type="dxa"/>
            <w:bottom w:w="0" w:type="dxa"/>
            <w:right w:w="0" w:type="dxa"/>
          </w:tblCellMar>
        </w:tblPrEx>
        <w:trPr>
          <w:trHeight w:val="644" w:hRule="atLeast"/>
        </w:trPr>
        <w:tc>
          <w:tcPr>
            <w:tcW w:w="8876"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FFFFFF" w:themeFill="background1"/>
          <w:tblLayout w:type="fixed"/>
          <w:tblCellMar>
            <w:top w:w="0" w:type="dxa"/>
            <w:left w:w="0" w:type="dxa"/>
            <w:bottom w:w="0" w:type="dxa"/>
            <w:right w:w="0" w:type="dxa"/>
          </w:tblCellMar>
        </w:tblPrEx>
        <w:trPr>
          <w:trHeight w:val="329" w:hRule="atLeast"/>
        </w:trPr>
        <w:tc>
          <w:tcPr>
            <w:tcW w:w="4862" w:type="dxa"/>
            <w:gridSpan w:val="4"/>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重庆市荣昌区人民政府峰高街道办事处本级</w:t>
            </w:r>
          </w:p>
        </w:tc>
        <w:tc>
          <w:tcPr>
            <w:tcW w:w="102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9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862" w:type="dxa"/>
            <w:gridSpan w:val="4"/>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2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2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99"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295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45"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015" w:type="dxa"/>
            <w:gridSpan w:val="3"/>
            <w:tcBorders>
              <w:top w:val="single" w:color="000000" w:sz="4" w:space="0"/>
              <w:left w:val="nil"/>
              <w:bottom w:val="single" w:color="000000"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999"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127"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83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945"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20"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25" w:type="dxa"/>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870" w:type="dxa"/>
            <w:tcBorders>
              <w:top w:val="nil"/>
              <w:left w:val="nil"/>
              <w:bottom w:val="single" w:color="000000" w:sz="4" w:space="0"/>
              <w:right w:val="single" w:color="auto"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999" w:type="dxa"/>
            <w:vMerge w:val="continue"/>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Layout w:type="fixed"/>
          <w:tblCellMar>
            <w:top w:w="0" w:type="dxa"/>
            <w:left w:w="0" w:type="dxa"/>
            <w:bottom w:w="0" w:type="dxa"/>
            <w:right w:w="0" w:type="dxa"/>
          </w:tblCellMar>
        </w:tblPrEx>
        <w:trPr>
          <w:trHeight w:val="339" w:hRule="atLeast"/>
        </w:trPr>
        <w:tc>
          <w:tcPr>
            <w:tcW w:w="2957"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9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38.84</w:t>
            </w:r>
            <w:r>
              <w:rPr>
                <w:b/>
                <w:color w:val="000000"/>
                <w:sz w:val="20"/>
                <w:u w:color="auto"/>
              </w:rPr>
              <w:t xml:space="preserve"> </w:t>
            </w:r>
          </w:p>
        </w:tc>
        <w:tc>
          <w:tcPr>
            <w:tcW w:w="10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38.84</w:t>
            </w:r>
            <w:r>
              <w:rPr>
                <w:b/>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870"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38.84</w:t>
            </w:r>
            <w:r>
              <w:rPr>
                <w:b/>
                <w:color w:val="000000"/>
                <w:sz w:val="20"/>
                <w:u w:color="auto"/>
              </w:rPr>
              <w:t xml:space="preserve"> </w:t>
            </w:r>
          </w:p>
        </w:tc>
        <w:tc>
          <w:tcPr>
            <w:tcW w:w="999"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9" w:hRule="atLeast"/>
        </w:trPr>
        <w:tc>
          <w:tcPr>
            <w:tcW w:w="11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9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10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999" w:type="dxa"/>
            <w:tcBorders>
              <w:top w:val="single" w:color="auto"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1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9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10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27.96</w:t>
            </w:r>
            <w:r>
              <w:rPr>
                <w:b/>
                <w:color w:val="000000"/>
                <w:sz w:val="20"/>
                <w:u w:color="auto"/>
              </w:rPr>
              <w:t xml:space="preserve"> </w:t>
            </w:r>
          </w:p>
        </w:tc>
        <w:tc>
          <w:tcPr>
            <w:tcW w:w="9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9" w:hRule="atLeast"/>
        </w:trPr>
        <w:tc>
          <w:tcPr>
            <w:tcW w:w="11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9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27.96</w:t>
            </w:r>
            <w:r>
              <w:rPr>
                <w:color w:val="000000"/>
                <w:sz w:val="20"/>
                <w:u w:color="auto"/>
              </w:rPr>
              <w:t xml:space="preserve"> </w:t>
            </w:r>
          </w:p>
        </w:tc>
        <w:tc>
          <w:tcPr>
            <w:tcW w:w="10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27.96</w:t>
            </w:r>
            <w:r>
              <w:rPr>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27.96</w:t>
            </w:r>
            <w:r>
              <w:rPr>
                <w:color w:val="000000"/>
                <w:sz w:val="20"/>
                <w:u w:color="auto"/>
              </w:rPr>
              <w:t xml:space="preserve"> </w:t>
            </w:r>
          </w:p>
        </w:tc>
        <w:tc>
          <w:tcPr>
            <w:tcW w:w="9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9" w:hRule="atLeast"/>
        </w:trPr>
        <w:tc>
          <w:tcPr>
            <w:tcW w:w="11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9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10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9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1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9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10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10.88</w:t>
            </w:r>
            <w:r>
              <w:rPr>
                <w:b/>
                <w:color w:val="000000"/>
                <w:sz w:val="20"/>
                <w:u w:color="auto"/>
              </w:rPr>
              <w:t xml:space="preserve"> </w:t>
            </w:r>
          </w:p>
        </w:tc>
        <w:tc>
          <w:tcPr>
            <w:tcW w:w="9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1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9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0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0.78</w:t>
            </w:r>
            <w:r>
              <w:rPr>
                <w:color w:val="000000"/>
                <w:sz w:val="20"/>
                <w:u w:color="auto"/>
              </w:rPr>
              <w:t xml:space="preserve"> </w:t>
            </w:r>
          </w:p>
        </w:tc>
        <w:tc>
          <w:tcPr>
            <w:tcW w:w="9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9" w:hRule="atLeast"/>
        </w:trPr>
        <w:tc>
          <w:tcPr>
            <w:tcW w:w="112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2296003</w:t>
            </w:r>
          </w:p>
        </w:tc>
        <w:tc>
          <w:tcPr>
            <w:tcW w:w="18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94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96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10.10</w:t>
            </w:r>
            <w:r>
              <w:rPr>
                <w:color w:val="000000"/>
                <w:sz w:val="20"/>
                <w:u w:color="auto"/>
              </w:rPr>
              <w:t xml:space="preserve"> </w:t>
            </w:r>
          </w:p>
        </w:tc>
        <w:tc>
          <w:tcPr>
            <w:tcW w:w="102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10.10</w:t>
            </w:r>
            <w:r>
              <w:rPr>
                <w:color w:val="000000"/>
                <w:sz w:val="20"/>
                <w:u w:color="auto"/>
              </w:rPr>
              <w:t xml:space="preserve"> </w:t>
            </w:r>
          </w:p>
        </w:tc>
        <w:tc>
          <w:tcPr>
            <w:tcW w:w="112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8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10.10</w:t>
            </w:r>
            <w:r>
              <w:rPr>
                <w:color w:val="000000"/>
                <w:sz w:val="20"/>
                <w:u w:color="auto"/>
              </w:rPr>
              <w:t xml:space="preserve"> </w:t>
            </w:r>
          </w:p>
        </w:tc>
        <w:tc>
          <w:tcPr>
            <w:tcW w:w="99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1086"/>
        <w:gridCol w:w="1766"/>
        <w:gridCol w:w="2007"/>
        <w:gridCol w:w="2005"/>
        <w:gridCol w:w="45"/>
        <w:gridCol w:w="1967"/>
      </w:tblGrid>
      <w:tr>
        <w:tblPrEx>
          <w:tblLayout w:type="fixed"/>
          <w:tblCellMar>
            <w:top w:w="0" w:type="dxa"/>
            <w:left w:w="0" w:type="dxa"/>
            <w:bottom w:w="0" w:type="dxa"/>
            <w:right w:w="0" w:type="dxa"/>
          </w:tblCellMar>
        </w:tblPrEx>
        <w:trPr>
          <w:trHeight w:val="650" w:hRule="atLeast"/>
        </w:trPr>
        <w:tc>
          <w:tcPr>
            <w:tcW w:w="8876" w:type="dxa"/>
            <w:gridSpan w:val="6"/>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6909" w:type="dxa"/>
            <w:gridSpan w:val="5"/>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重庆市荣昌区人民政府峰高街道办事处本级</w:t>
            </w: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shd w:val="clear" w:color="auto" w:fill="FFFFFF" w:themeFill="background1"/>
          <w:tblLayout w:type="fixed"/>
          <w:tblCellMar>
            <w:top w:w="0" w:type="dxa"/>
            <w:left w:w="0" w:type="dxa"/>
            <w:bottom w:w="0" w:type="dxa"/>
            <w:right w:w="0" w:type="dxa"/>
          </w:tblCellMar>
        </w:tblPrEx>
        <w:trPr>
          <w:trHeight w:val="332" w:hRule="atLeast"/>
        </w:trPr>
        <w:tc>
          <w:tcPr>
            <w:tcW w:w="6909" w:type="dxa"/>
            <w:gridSpan w:val="5"/>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9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2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086"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766"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00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01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086"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766"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01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28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0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0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012"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p>
      <w:pPr>
        <w:rPr>
          <w:rFonts w:hint="default" w:cs="宋体"/>
          <w:sz w:val="21"/>
          <w:szCs w:val="21"/>
        </w:rPr>
      </w:pPr>
    </w:p>
    <w:tbl>
      <w:tblPr>
        <w:tblStyle w:val="7"/>
        <w:tblW w:w="8876" w:type="dxa"/>
        <w:tblInd w:w="0" w:type="dxa"/>
        <w:shd w:val="clear" w:color="auto" w:fill="FFFFFF" w:themeFill="background1"/>
        <w:tblLayout w:type="fixed"/>
        <w:tblCellMar>
          <w:top w:w="0" w:type="dxa"/>
          <w:left w:w="0" w:type="dxa"/>
          <w:bottom w:w="0" w:type="dxa"/>
          <w:right w:w="0" w:type="dxa"/>
        </w:tblCellMar>
      </w:tblPr>
      <w:tblGrid>
        <w:gridCol w:w="3542"/>
        <w:gridCol w:w="690"/>
        <w:gridCol w:w="735"/>
        <w:gridCol w:w="3225"/>
        <w:gridCol w:w="684"/>
      </w:tblGrid>
      <w:tr>
        <w:tblPrEx>
          <w:tblLayout w:type="fixed"/>
          <w:tblCellMar>
            <w:top w:w="0" w:type="dxa"/>
            <w:left w:w="0" w:type="dxa"/>
            <w:bottom w:w="0" w:type="dxa"/>
            <w:right w:w="0" w:type="dxa"/>
          </w:tblCellMar>
        </w:tblPrEx>
        <w:trPr>
          <w:trHeight w:val="175" w:hRule="atLeast"/>
        </w:trPr>
        <w:tc>
          <w:tcPr>
            <w:tcW w:w="8876"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3542"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690"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73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909"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FFFFFF" w:themeFill="background1"/>
          <w:tblLayout w:type="fixed"/>
          <w:tblCellMar>
            <w:top w:w="0" w:type="dxa"/>
            <w:left w:w="0" w:type="dxa"/>
            <w:bottom w:w="0" w:type="dxa"/>
            <w:right w:w="0" w:type="dxa"/>
          </w:tblCellMar>
        </w:tblPrEx>
        <w:trPr>
          <w:trHeight w:val="175" w:hRule="atLeast"/>
        </w:trPr>
        <w:tc>
          <w:tcPr>
            <w:tcW w:w="4967" w:type="dxa"/>
            <w:gridSpan w:val="3"/>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both"/>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重庆市荣昌区人民政府峰高街道办事处本级</w:t>
            </w:r>
          </w:p>
        </w:tc>
        <w:tc>
          <w:tcPr>
            <w:tcW w:w="3909" w:type="dxa"/>
            <w:gridSpan w:val="2"/>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FFFFFF" w:themeFill="background1"/>
          <w:tblLayout w:type="fixed"/>
          <w:tblCellMar>
            <w:top w:w="0" w:type="dxa"/>
            <w:left w:w="0" w:type="dxa"/>
            <w:bottom w:w="0" w:type="dxa"/>
            <w:right w:w="0" w:type="dxa"/>
          </w:tblCellMar>
        </w:tblPrEx>
        <w:trPr>
          <w:trHeight w:val="18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212.90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18.94</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212.90</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18.15</w:t>
            </w: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18.15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18.15</w:t>
            </w: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18.15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0.79</w:t>
            </w:r>
            <w:r>
              <w:rPr>
                <w:color w:val="000000"/>
                <w:sz w:val="20"/>
                <w:u w:color="auto"/>
              </w:rPr>
              <w:t xml:space="preserve"> </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0.79</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0.79</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410.37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110</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410.37</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410.37</w:t>
            </w:r>
            <w:r>
              <w:rPr>
                <w:color w:val="000000"/>
                <w:sz w:val="20"/>
                <w:u w:color="auto"/>
              </w:rPr>
              <w:t xml:space="preserve"> </w:t>
            </w:r>
          </w:p>
        </w:tc>
      </w:tr>
      <w:tr>
        <w:tblPrEx>
          <w:tblLayout w:type="fixed"/>
          <w:tblCellMar>
            <w:top w:w="0" w:type="dxa"/>
            <w:left w:w="0" w:type="dxa"/>
            <w:bottom w:w="0" w:type="dxa"/>
            <w:right w:w="0" w:type="dxa"/>
          </w:tblCellMar>
        </w:tblPrEx>
        <w:trPr>
          <w:trHeight w:val="346"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410.37</w:t>
            </w:r>
            <w:r>
              <w:rPr>
                <w:color w:val="000000"/>
                <w:sz w:val="20"/>
                <w:u w:color="auto"/>
              </w:rPr>
              <w:t xml:space="preserve"> </w:t>
            </w:r>
          </w:p>
        </w:tc>
      </w:tr>
      <w:tr>
        <w:tblPrEx>
          <w:shd w:val="clear" w:color="auto" w:fill="FFFFFF" w:themeFill="background1"/>
          <w:tblLayout w:type="fixed"/>
          <w:tblCellMar>
            <w:top w:w="0" w:type="dxa"/>
            <w:left w:w="0" w:type="dxa"/>
            <w:bottom w:w="0" w:type="dxa"/>
            <w:right w:w="0" w:type="dxa"/>
          </w:tblCellMar>
        </w:tblPrEx>
        <w:trPr>
          <w:trHeight w:val="269"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7.76</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4" w:hRule="atLeast"/>
        </w:trPr>
        <w:tc>
          <w:tcPr>
            <w:tcW w:w="3542"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690"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73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1.78</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68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bl>
    <w:p>
      <w:pPr>
        <w:rPr>
          <w:rFonts w:cs="宋体"/>
          <w:sz w:val="21"/>
          <w:szCs w:val="21"/>
        </w:rPr>
      </w:pPr>
      <w:r>
        <w:rPr>
          <w:rFonts w:cs="宋体"/>
          <w:sz w:val="20"/>
          <w:szCs w:val="20"/>
        </w:rPr>
        <w:t>备注：1.本表反映单位本年度财政拨款“三公”经费支出预决算情况。其中，预算数为“三公”经费</w:t>
      </w:r>
      <w:bookmarkStart w:id="0" w:name="_GoBack"/>
      <w:bookmarkEnd w:id="0"/>
      <w:r>
        <w:rPr>
          <w:rFonts w:cs="宋体"/>
          <w:sz w:val="20"/>
          <w:szCs w:val="20"/>
        </w:rPr>
        <w:t>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p>
    <w:sectPr>
      <w:headerReference r:id="rId3" w:type="default"/>
      <w:footerReference r:id="rId4" w:type="default"/>
      <w:pgSz w:w="11907" w:h="16839"/>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405AEF"/>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05A4A"/>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5C95333"/>
    <w:rsid w:val="26396DF4"/>
    <w:rsid w:val="27167136"/>
    <w:rsid w:val="271B442C"/>
    <w:rsid w:val="27B23302"/>
    <w:rsid w:val="29310A5F"/>
    <w:rsid w:val="29AC0E13"/>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4C5D17"/>
    <w:rsid w:val="495C4A24"/>
    <w:rsid w:val="497135DF"/>
    <w:rsid w:val="4A263DF2"/>
    <w:rsid w:val="4A6F6675"/>
    <w:rsid w:val="4B135857"/>
    <w:rsid w:val="4B7951CB"/>
    <w:rsid w:val="4B7C315C"/>
    <w:rsid w:val="4CCB4F0B"/>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273028"/>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290A13"/>
    <w:rsid w:val="6A6C7940"/>
    <w:rsid w:val="6AAD2300"/>
    <w:rsid w:val="6B474EF5"/>
    <w:rsid w:val="6C0A5AC5"/>
    <w:rsid w:val="6C560CAE"/>
    <w:rsid w:val="6C576495"/>
    <w:rsid w:val="6D903FF5"/>
    <w:rsid w:val="6DA955B8"/>
    <w:rsid w:val="6DE346AB"/>
    <w:rsid w:val="6DE5391A"/>
    <w:rsid w:val="6EFD1324"/>
    <w:rsid w:val="6F5A53AC"/>
    <w:rsid w:val="6F7B7032"/>
    <w:rsid w:val="6FAC003D"/>
    <w:rsid w:val="6FE55E12"/>
    <w:rsid w:val="6FFB2E76"/>
    <w:rsid w:val="707B3499"/>
    <w:rsid w:val="708F6F7F"/>
    <w:rsid w:val="70D94BD3"/>
    <w:rsid w:val="71C34D91"/>
    <w:rsid w:val="71D765BD"/>
    <w:rsid w:val="723337A3"/>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25</TotalTime>
  <ScaleCrop>false</ScaleCrop>
  <LinksUpToDate>false</LinksUpToDate>
  <CharactersWithSpaces>26776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2024-09-10T03:43:56Z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BB46EABDBB2749749395447164B066B3_12</vt:lpwstr>
  </property>
</Properties>
</file>