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rPr>
        <w:t>重庆市荣昌区人民政府峰高街道办事处</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textAlignment w:val="auto"/>
        <w:rPr>
          <w:rFonts w:hint="eastAsia" w:ascii="方正小标宋_GBK" w:hAnsi="方正小标宋_GBK" w:eastAsia="方正小标宋_GBK" w:cs="方正小标宋_GBK"/>
          <w:b w:val="0"/>
          <w:bCs w:val="0"/>
          <w:color w:val="auto"/>
          <w:sz w:val="44"/>
          <w:szCs w:val="44"/>
          <w:shd w:val="clear" w:color="auto" w:fill="FFFFFF"/>
          <w:lang w:eastAsia="zh-CN"/>
        </w:rPr>
      </w:pPr>
      <w:r>
        <w:rPr>
          <w:rFonts w:hint="eastAsia" w:ascii="方正小标宋_GBK" w:hAnsi="方正小标宋_GBK" w:eastAsia="方正小标宋_GBK" w:cs="方正小标宋_GBK"/>
          <w:b w:val="0"/>
          <w:bCs w:val="0"/>
          <w:color w:val="auto"/>
          <w:sz w:val="44"/>
          <w:szCs w:val="44"/>
          <w:shd w:val="clear" w:color="auto" w:fill="FFFFFF"/>
        </w:rPr>
        <w:t>2023年度</w:t>
      </w:r>
      <w:r>
        <w:rPr>
          <w:rFonts w:hint="eastAsia" w:ascii="方正小标宋_GBK" w:hAnsi="方正小标宋_GBK" w:eastAsia="方正小标宋_GBK" w:cs="方正小标宋_GBK"/>
          <w:b w:val="0"/>
          <w:bCs w:val="0"/>
          <w:color w:val="auto"/>
          <w:sz w:val="44"/>
          <w:szCs w:val="44"/>
          <w:shd w:val="clear" w:color="auto" w:fill="FFFFFF"/>
          <w:lang w:val="en-US" w:eastAsia="zh-CN"/>
        </w:rPr>
        <w:t>部门</w:t>
      </w:r>
      <w:r>
        <w:rPr>
          <w:rFonts w:hint="eastAsia" w:ascii="方正小标宋_GBK" w:hAnsi="方正小标宋_GBK" w:eastAsia="方正小标宋_GBK" w:cs="方正小标宋_GBK"/>
          <w:b w:val="0"/>
          <w:bCs w:val="0"/>
          <w:color w:val="auto"/>
          <w:sz w:val="44"/>
          <w:szCs w:val="44"/>
          <w:shd w:val="clear" w:color="auto" w:fill="FFFFFF"/>
        </w:rPr>
        <w:t>决算公开</w:t>
      </w:r>
      <w:r>
        <w:rPr>
          <w:rFonts w:hint="eastAsia" w:ascii="方正小标宋_GBK" w:hAnsi="方正小标宋_GBK" w:eastAsia="方正小标宋_GBK" w:cs="方正小标宋_GBK"/>
          <w:b w:val="0"/>
          <w:bCs w:val="0"/>
          <w:color w:val="auto"/>
          <w:sz w:val="44"/>
          <w:szCs w:val="44"/>
          <w:shd w:val="clear" w:color="auto" w:fill="FFFFFF"/>
          <w:lang w:val="en-US" w:eastAsia="zh-CN"/>
        </w:rPr>
        <w:t>报告</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黑体_GBK" w:hAnsi="方正黑体_GBK" w:eastAsia="方正黑体_GBK" w:cs="方正黑体_GBK"/>
          <w:b w:val="0"/>
          <w:bCs w:val="0"/>
          <w:color w:val="auto"/>
          <w:sz w:val="32"/>
          <w:szCs w:val="32"/>
        </w:rPr>
      </w:pPr>
      <w:r>
        <w:rPr>
          <w:rStyle w:val="10"/>
          <w:rFonts w:hint="eastAsia" w:ascii="方正黑体_GBK" w:hAnsi="方正黑体_GBK" w:eastAsia="方正黑体_GBK" w:cs="方正黑体_GBK"/>
          <w:b w:val="0"/>
          <w:bCs w:val="0"/>
          <w:color w:val="auto"/>
          <w:sz w:val="32"/>
          <w:szCs w:val="32"/>
          <w:shd w:val="clear" w:color="auto" w:fill="FFFFFF"/>
        </w:rPr>
        <w:t>一、部门基本情况</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（一）职能职责</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N/>
        <w:bidi w:val="0"/>
        <w:adjustRightInd/>
        <w:snapToGrid w:val="0"/>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1.制定和组织实施经济、科技和社会发展计划，组织指导各行生产，协调本街道与外地区经济交流与合作，抓好招商引资。 </w:t>
      </w:r>
    </w:p>
    <w:p>
      <w:pPr>
        <w:keepNext w:val="0"/>
        <w:keepLines w:val="0"/>
        <w:pageBreakBefore w:val="0"/>
        <w:widowControl/>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2.制定组织街道规划，部署重点工程建设，地方道路、公共设施、水利设施，负责土地、林木等。</w:t>
      </w:r>
    </w:p>
    <w:p>
      <w:pPr>
        <w:keepNext w:val="0"/>
        <w:keepLines w:val="0"/>
        <w:pageBreakBefore w:val="0"/>
        <w:widowControl/>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3.负责本区域内民政、计划生育、文化教育、卫生体育等社会公益事业的综合性工作。</w:t>
      </w:r>
    </w:p>
    <w:p>
      <w:pPr>
        <w:keepNext w:val="0"/>
        <w:keepLines w:val="0"/>
        <w:pageBreakBefore w:val="0"/>
        <w:widowControl/>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4.负责本级财政税收和财政收入，完成国家计划，增强财政实力。</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color w:val="auto"/>
          <w:kern w:val="0"/>
          <w:sz w:val="32"/>
          <w:szCs w:val="32"/>
        </w:rPr>
        <w:t>5.完成上级政府交办的其他事项。</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（二）机构设置</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本</w:t>
      </w:r>
      <w:r>
        <w:rPr>
          <w:rFonts w:hint="eastAsia" w:ascii="方正仿宋_GBK" w:hAnsi="方正仿宋_GBK" w:eastAsia="方正仿宋_GBK" w:cs="方正仿宋_GBK"/>
          <w:color w:val="auto"/>
          <w:kern w:val="0"/>
          <w:sz w:val="32"/>
          <w:szCs w:val="32"/>
          <w:lang w:val="en-US" w:eastAsia="zh-CN"/>
        </w:rPr>
        <w:t>部门</w:t>
      </w:r>
      <w:r>
        <w:rPr>
          <w:rFonts w:hint="eastAsia" w:ascii="方正仿宋_GBK" w:hAnsi="方正仿宋_GBK" w:eastAsia="方正仿宋_GBK" w:cs="方正仿宋_GBK"/>
          <w:color w:val="auto"/>
          <w:kern w:val="0"/>
          <w:sz w:val="32"/>
          <w:szCs w:val="32"/>
        </w:rPr>
        <w:t>内设机构10个：党政办公室、人大工委办公室、党群工作办公室、经济发展办公室、民政和社区事务办公室、平安建设办公室、规划建设管理环保办公室、财政办公室、应急管理办公室、综合行政执法办公室。本</w:t>
      </w:r>
      <w:r>
        <w:rPr>
          <w:rFonts w:hint="eastAsia" w:ascii="方正仿宋_GBK" w:hAnsi="方正仿宋_GBK" w:eastAsia="方正仿宋_GBK" w:cs="方正仿宋_GBK"/>
          <w:color w:val="auto"/>
          <w:kern w:val="0"/>
          <w:sz w:val="32"/>
          <w:szCs w:val="32"/>
          <w:lang w:val="en-US" w:eastAsia="zh-CN"/>
        </w:rPr>
        <w:t>部门</w:t>
      </w:r>
      <w:r>
        <w:rPr>
          <w:rFonts w:hint="eastAsia" w:ascii="方正仿宋_GBK" w:hAnsi="方正仿宋_GBK" w:eastAsia="方正仿宋_GBK" w:cs="方正仿宋_GBK"/>
          <w:color w:val="auto"/>
          <w:kern w:val="0"/>
          <w:sz w:val="32"/>
          <w:szCs w:val="32"/>
        </w:rPr>
        <w:t>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年末实有在职人员</w:t>
      </w:r>
      <w:r>
        <w:rPr>
          <w:rFonts w:hint="eastAsia" w:ascii="方正仿宋_GBK" w:hAnsi="方正仿宋_GBK" w:eastAsia="方正仿宋_GBK" w:cs="方正仿宋_GBK"/>
          <w:color w:val="auto"/>
          <w:kern w:val="0"/>
          <w:sz w:val="32"/>
          <w:szCs w:val="32"/>
          <w:lang w:val="en-US" w:eastAsia="zh-CN"/>
        </w:rPr>
        <w:t>112人，其中行政37</w:t>
      </w:r>
      <w:r>
        <w:rPr>
          <w:rFonts w:hint="eastAsia" w:ascii="方正仿宋_GBK" w:hAnsi="方正仿宋_GBK" w:eastAsia="方正仿宋_GBK" w:cs="方正仿宋_GBK"/>
          <w:color w:val="auto"/>
          <w:kern w:val="0"/>
          <w:sz w:val="32"/>
          <w:szCs w:val="32"/>
        </w:rPr>
        <w:t>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含</w:t>
      </w:r>
      <w:r>
        <w:rPr>
          <w:rFonts w:hint="eastAsia" w:ascii="方正仿宋_GBK" w:hAnsi="方正仿宋_GBK" w:eastAsia="方正仿宋_GBK" w:cs="方正仿宋_GBK"/>
          <w:color w:val="auto"/>
          <w:kern w:val="0"/>
          <w:sz w:val="32"/>
          <w:szCs w:val="32"/>
        </w:rPr>
        <w:t>参公人员5人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比上年度</w:t>
      </w:r>
      <w:r>
        <w:rPr>
          <w:rFonts w:hint="eastAsia" w:ascii="方正仿宋_GBK" w:hAnsi="方正仿宋_GBK" w:eastAsia="方正仿宋_GBK" w:cs="方正仿宋_GBK"/>
          <w:color w:val="auto"/>
          <w:kern w:val="0"/>
          <w:sz w:val="32"/>
          <w:szCs w:val="32"/>
          <w:lang w:val="en-US" w:eastAsia="zh-CN"/>
        </w:rPr>
        <w:t>减少2</w:t>
      </w:r>
      <w:r>
        <w:rPr>
          <w:rFonts w:hint="eastAsia" w:ascii="方正仿宋_GBK" w:hAnsi="方正仿宋_GBK" w:eastAsia="方正仿宋_GBK" w:cs="方正仿宋_GBK"/>
          <w:color w:val="auto"/>
          <w:kern w:val="0"/>
          <w:sz w:val="32"/>
          <w:szCs w:val="32"/>
        </w:rPr>
        <w:t>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非参公事业人员75人，比上年度增加2人。</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（三）单位构成。</w:t>
      </w:r>
    </w:p>
    <w:p>
      <w:pPr>
        <w:keepNext w:val="0"/>
        <w:keepLines w:val="0"/>
        <w:pageBreakBefore w:val="0"/>
        <w:widowControl/>
        <w:suppressLineNumbers w:val="0"/>
        <w:kinsoku/>
        <w:wordWrap/>
        <w:overflowPunct/>
        <w:topLinePunct w:val="0"/>
        <w:autoSpaceDN/>
        <w:bidi w:val="0"/>
        <w:adjustRightInd/>
        <w:snapToGrid w:val="0"/>
        <w:ind w:left="0" w:firstLine="640" w:firstLineChars="200"/>
        <w:jc w:val="both"/>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rPr>
        <w:t>从预算单位构成看，纳入本部门202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度决算编制的二级预算单位主要包括社区事务服务中心、社区文化服务中心、劳动就业和社会保障服务所、退役军人服务站、综合行政执法大队、农业服务中心、建设环保服务中心。社区事务服务中心：负责承接并组织公益服务，指导社区服务；社区文化服务中心：负责组织开展群众文化活动，指导村文化室开展活动；劳动就业和社会保障服务所：负责农村养老保险经办工作、城镇居民医疗保险、劳动保障宣传咨询等工作；退役军人服务站：负责做好军属、烈属、伤病残军人等服务；综合行政执法大队：负责辖区内各项行政执法工作；农业服务中心：负责畜牧、水利、林业、农机、农技等工作；建设环保服务中心：负责辖区内总体和建设规划及各项工程专业规划的编制等工作。</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二、部门决算情况说明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rPr>
        <w:t>2023年度收入总计6059.86万元，支出总计</w:t>
      </w:r>
      <w:r>
        <w:rPr>
          <w:rFonts w:hint="eastAsia" w:ascii="方正仿宋_GBK" w:hAnsi="方正仿宋_GBK" w:eastAsia="方正仿宋_GBK" w:cs="方正仿宋_GBK"/>
          <w:b w:val="0"/>
          <w:bCs w:val="0"/>
          <w:color w:val="auto"/>
          <w:sz w:val="32"/>
          <w:szCs w:val="32"/>
        </w:rPr>
        <w:t>6059.86</w:t>
      </w:r>
      <w:r>
        <w:rPr>
          <w:rFonts w:hint="eastAsia" w:ascii="方正仿宋_GBK" w:hAnsi="方正仿宋_GBK" w:eastAsia="方正仿宋_GBK" w:cs="方正仿宋_GBK"/>
          <w:b w:val="0"/>
          <w:bCs w:val="0"/>
          <w:color w:val="auto"/>
          <w:sz w:val="32"/>
          <w:szCs w:val="32"/>
          <w:shd w:val="clear" w:color="auto" w:fill="FFFFFF"/>
        </w:rPr>
        <w:t>万元。收支较上年决算数减少1267.35万元，下降17.30%，主要原因是</w:t>
      </w:r>
      <w:r>
        <w:rPr>
          <w:rFonts w:hint="eastAsia" w:ascii="方正仿宋_GBK" w:hAnsi="方正仿宋_GBK" w:eastAsia="方正仿宋_GBK" w:cs="方正仿宋_GBK"/>
          <w:b w:val="0"/>
          <w:bCs w:val="0"/>
          <w:color w:val="auto"/>
          <w:sz w:val="32"/>
          <w:szCs w:val="32"/>
          <w:shd w:val="clear" w:color="auto" w:fill="FFFFFF"/>
          <w:lang w:val="en-US" w:eastAsia="zh-CN"/>
        </w:rPr>
        <w:t>年初结转和结余减少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rPr>
        <w:t>2023年度收入合计6012.01万元，较上年决算数增加115.96万元，增长1.97%，主要原因是</w:t>
      </w:r>
      <w:r>
        <w:rPr>
          <w:rFonts w:hint="eastAsia" w:ascii="方正仿宋_GBK" w:hAnsi="方正仿宋_GBK" w:eastAsia="方正仿宋_GBK" w:cs="方正仿宋_GBK"/>
          <w:b w:val="0"/>
          <w:bCs w:val="0"/>
          <w:color w:val="auto"/>
          <w:sz w:val="32"/>
          <w:szCs w:val="32"/>
          <w:shd w:val="clear" w:color="auto" w:fill="FFFFFF"/>
          <w:lang w:val="en-US" w:eastAsia="zh-CN"/>
        </w:rPr>
        <w:t>一般公共预算财政拨款收入增加</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6012.01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47.86</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rPr>
        <w:t>2023年度支出合计</w:t>
      </w:r>
      <w:r>
        <w:rPr>
          <w:rFonts w:hint="eastAsia" w:ascii="方正仿宋_GBK" w:hAnsi="方正仿宋_GBK" w:eastAsia="方正仿宋_GBK" w:cs="方正仿宋_GBK"/>
          <w:b w:val="0"/>
          <w:bCs w:val="0"/>
          <w:color w:val="auto"/>
          <w:sz w:val="32"/>
          <w:szCs w:val="32"/>
        </w:rPr>
        <w:t>6059.86</w:t>
      </w:r>
      <w:r>
        <w:rPr>
          <w:rFonts w:hint="eastAsia" w:ascii="方正仿宋_GBK" w:hAnsi="方正仿宋_GBK" w:eastAsia="方正仿宋_GBK" w:cs="方正仿宋_GBK"/>
          <w:b w:val="0"/>
          <w:bCs w:val="0"/>
          <w:color w:val="auto"/>
          <w:sz w:val="32"/>
          <w:szCs w:val="32"/>
          <w:shd w:val="clear" w:color="auto" w:fill="FFFFFF"/>
        </w:rPr>
        <w:t>万元，较上年决算数减少1267.35万元，下降17.30%，主要原因是</w:t>
      </w:r>
      <w:r>
        <w:rPr>
          <w:rFonts w:hint="eastAsia" w:ascii="方正仿宋_GBK" w:hAnsi="方正仿宋_GBK" w:eastAsia="方正仿宋_GBK" w:cs="方正仿宋_GBK"/>
          <w:b w:val="0"/>
          <w:bCs w:val="0"/>
          <w:color w:val="auto"/>
          <w:sz w:val="32"/>
          <w:szCs w:val="32"/>
          <w:shd w:val="clear" w:color="auto" w:fill="FFFFFF"/>
          <w:lang w:val="en-US" w:eastAsia="zh-CN"/>
        </w:rPr>
        <w:t>年初结转和结余减少</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3091.94</w:t>
      </w:r>
      <w:r>
        <w:rPr>
          <w:rFonts w:hint="eastAsia" w:ascii="方正仿宋_GBK" w:hAnsi="方正仿宋_GBK" w:eastAsia="方正仿宋_GBK" w:cs="方正仿宋_GBK"/>
          <w:b w:val="0"/>
          <w:bCs w:val="0"/>
          <w:color w:val="auto"/>
          <w:sz w:val="32"/>
          <w:szCs w:val="32"/>
          <w:shd w:val="clear" w:color="auto" w:fill="FFFFFF"/>
        </w:rPr>
        <w:t>万元，占51.02%；项目支出</w:t>
      </w:r>
      <w:r>
        <w:rPr>
          <w:rFonts w:hint="eastAsia" w:ascii="方正仿宋_GBK" w:hAnsi="方正仿宋_GBK" w:eastAsia="方正仿宋_GBK" w:cs="方正仿宋_GBK"/>
          <w:b w:val="0"/>
          <w:bCs w:val="0"/>
          <w:color w:val="auto"/>
          <w:sz w:val="32"/>
          <w:szCs w:val="32"/>
        </w:rPr>
        <w:t>2967.93</w:t>
      </w:r>
      <w:r>
        <w:rPr>
          <w:rFonts w:hint="eastAsia" w:ascii="方正仿宋_GBK" w:hAnsi="方正仿宋_GBK" w:eastAsia="方正仿宋_GBK" w:cs="方正仿宋_GBK"/>
          <w:b w:val="0"/>
          <w:bCs w:val="0"/>
          <w:color w:val="auto"/>
          <w:sz w:val="32"/>
          <w:szCs w:val="32"/>
          <w:shd w:val="clear" w:color="auto" w:fill="FFFFFF"/>
        </w:rPr>
        <w:t>万元，占48.98%；经营支出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rPr>
        <w:t>2023年度年末结转和结余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rPr>
        <w:t>较上年决算数无增减，</w:t>
      </w:r>
      <w:r>
        <w:rPr>
          <w:rFonts w:hint="eastAsia" w:ascii="方正仿宋_GBK" w:hAnsi="方正仿宋_GBK" w:eastAsia="方正仿宋_GBK" w:cs="方正仿宋_GBK"/>
          <w:b w:val="0"/>
          <w:bCs w:val="0"/>
          <w:color w:val="auto"/>
          <w:sz w:val="32"/>
          <w:szCs w:val="32"/>
          <w:shd w:val="clear" w:color="auto" w:fill="FFFFFF"/>
          <w:lang w:val="en-US" w:eastAsia="zh-CN"/>
        </w:rPr>
        <w:t>与上年持平</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2023年度财政拨款收、支总计6059.86万元。与2022年相比，财政拨款收、支总计各减少1194.06万元，下降16.46%。主要原因是</w:t>
      </w:r>
      <w:r>
        <w:rPr>
          <w:rFonts w:hint="eastAsia" w:ascii="方正仿宋_GBK" w:hAnsi="方正仿宋_GBK" w:eastAsia="方正仿宋_GBK" w:cs="方正仿宋_GBK"/>
          <w:b w:val="0"/>
          <w:bCs w:val="0"/>
          <w:color w:val="auto"/>
          <w:sz w:val="32"/>
          <w:szCs w:val="32"/>
          <w:shd w:val="clear" w:color="auto" w:fill="FFFFFF"/>
          <w:lang w:val="en-US" w:eastAsia="zh-CN"/>
        </w:rPr>
        <w:t>年初结转和结余减少</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2023年度一般公共预算财政拨款收入</w:t>
      </w:r>
      <w:r>
        <w:rPr>
          <w:rFonts w:hint="eastAsia" w:ascii="方正仿宋_GBK" w:hAnsi="方正仿宋_GBK" w:eastAsia="方正仿宋_GBK" w:cs="方正仿宋_GBK"/>
          <w:b w:val="0"/>
          <w:bCs w:val="0"/>
          <w:color w:val="auto"/>
          <w:sz w:val="32"/>
          <w:szCs w:val="32"/>
        </w:rPr>
        <w:t>5973.17</w:t>
      </w:r>
      <w:r>
        <w:rPr>
          <w:rFonts w:hint="eastAsia" w:ascii="方正仿宋_GBK" w:hAnsi="方正仿宋_GBK" w:eastAsia="方正仿宋_GBK" w:cs="方正仿宋_GBK"/>
          <w:b w:val="0"/>
          <w:bCs w:val="0"/>
          <w:color w:val="auto"/>
          <w:sz w:val="32"/>
          <w:szCs w:val="32"/>
          <w:shd w:val="clear" w:color="auto" w:fill="FFFFFF"/>
        </w:rPr>
        <w:t>万元，较上年决算数增加215.95万元，增长3.75%。主要原因是</w:t>
      </w:r>
      <w:r>
        <w:rPr>
          <w:rFonts w:hint="eastAsia" w:ascii="方正仿宋_GBK" w:hAnsi="方正仿宋_GBK" w:eastAsia="方正仿宋_GBK" w:cs="方正仿宋_GBK"/>
          <w:b w:val="0"/>
          <w:bCs w:val="0"/>
          <w:color w:val="auto"/>
          <w:sz w:val="32"/>
          <w:szCs w:val="32"/>
          <w:shd w:val="clear" w:color="auto" w:fill="FFFFFF"/>
          <w:lang w:val="en-US" w:eastAsia="zh-CN"/>
        </w:rPr>
        <w:t>城乡社区支出增加</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较年初预算数增加1822.89万元，增长43.92%。主要原因是</w:t>
      </w:r>
      <w:r>
        <w:rPr>
          <w:rFonts w:hint="eastAsia" w:ascii="方正仿宋_GBK" w:hAnsi="方正仿宋_GBK" w:eastAsia="方正仿宋_GBK" w:cs="方正仿宋_GBK"/>
          <w:b w:val="0"/>
          <w:bCs w:val="0"/>
          <w:color w:val="auto"/>
          <w:sz w:val="32"/>
          <w:szCs w:val="32"/>
          <w:shd w:val="clear" w:color="auto" w:fill="FFFFFF"/>
          <w:lang w:val="en-US" w:eastAsia="zh-CN"/>
        </w:rPr>
        <w:t>荣峰河大石桥绿化工程、场镇品质提升、耕地恢复补足、水产养殖污染整治提升、特色精品村、美丽宜居村等项目和抚恤金增加</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47.86</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2023年度一般公共预算财政拨款支出</w:t>
      </w:r>
      <w:r>
        <w:rPr>
          <w:rFonts w:hint="eastAsia" w:ascii="方正仿宋_GBK" w:hAnsi="方正仿宋_GBK" w:eastAsia="方正仿宋_GBK" w:cs="方正仿宋_GBK"/>
          <w:b w:val="0"/>
          <w:bCs w:val="0"/>
          <w:color w:val="auto"/>
          <w:sz w:val="32"/>
          <w:szCs w:val="32"/>
        </w:rPr>
        <w:t>6021.02</w:t>
      </w:r>
      <w:r>
        <w:rPr>
          <w:rFonts w:hint="eastAsia" w:ascii="方正仿宋_GBK" w:hAnsi="方正仿宋_GBK" w:eastAsia="方正仿宋_GBK" w:cs="方正仿宋_GBK"/>
          <w:b w:val="0"/>
          <w:bCs w:val="0"/>
          <w:color w:val="auto"/>
          <w:sz w:val="32"/>
          <w:szCs w:val="32"/>
          <w:shd w:val="clear" w:color="auto" w:fill="FFFFFF"/>
        </w:rPr>
        <w:t>万元，较上年决算数减少1167.36万元，下降16.24%。主要原因是</w:t>
      </w:r>
      <w:r>
        <w:rPr>
          <w:rFonts w:hint="eastAsia" w:ascii="方正仿宋_GBK" w:hAnsi="方正仿宋_GBK" w:eastAsia="方正仿宋_GBK" w:cs="方正仿宋_GBK"/>
          <w:b w:val="0"/>
          <w:bCs w:val="0"/>
          <w:color w:val="auto"/>
          <w:sz w:val="32"/>
          <w:szCs w:val="32"/>
          <w:shd w:val="clear" w:color="auto" w:fill="FFFFFF"/>
          <w:lang w:val="en-US" w:eastAsia="zh-CN"/>
        </w:rPr>
        <w:t>农林水和住房保障支出减少</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较年初预算数增加1870.74万元，增长45.08%。主要原因是</w:t>
      </w:r>
      <w:r>
        <w:rPr>
          <w:rFonts w:hint="eastAsia" w:ascii="方正仿宋_GBK" w:hAnsi="方正仿宋_GBK" w:eastAsia="方正仿宋_GBK" w:cs="方正仿宋_GBK"/>
          <w:b w:val="0"/>
          <w:bCs w:val="0"/>
          <w:color w:val="auto"/>
          <w:sz w:val="32"/>
          <w:szCs w:val="32"/>
          <w:shd w:val="clear" w:color="auto" w:fill="FFFFFF"/>
          <w:lang w:val="en-US" w:eastAsia="zh-CN"/>
        </w:rPr>
        <w:t>荣峰河大石桥绿化工程、场镇品质提升、耕地恢复补足、水产养殖污染整治提升、特色精品村、美丽宜居村等项目和抚恤金增加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rPr>
        <w:t>2023年度年末一般公共预算财政拨款结转和结余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rPr>
        <w:t>较上年决算数无增减，</w:t>
      </w:r>
      <w:r>
        <w:rPr>
          <w:rFonts w:hint="eastAsia" w:ascii="方正仿宋_GBK" w:hAnsi="方正仿宋_GBK" w:eastAsia="方正仿宋_GBK" w:cs="方正仿宋_GBK"/>
          <w:b w:val="0"/>
          <w:bCs w:val="0"/>
          <w:color w:val="auto"/>
          <w:sz w:val="32"/>
          <w:szCs w:val="32"/>
          <w:shd w:val="clear" w:color="auto" w:fill="FFFFFF"/>
          <w:lang w:val="en-US" w:eastAsia="zh-CN"/>
        </w:rPr>
        <w:t>与上年持平</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4.比较情况。</w:t>
      </w:r>
      <w:r>
        <w:rPr>
          <w:rFonts w:hint="eastAsia" w:ascii="方正仿宋_GBK" w:hAnsi="方正仿宋_GBK" w:eastAsia="方正仿宋_GBK" w:cs="方正仿宋_GBK"/>
          <w:b w:val="0"/>
          <w:bCs w:val="0"/>
          <w:color w:val="auto"/>
          <w:sz w:val="32"/>
          <w:szCs w:val="32"/>
          <w:shd w:val="clear" w:color="auto" w:fill="FFFFFF"/>
        </w:rPr>
        <w:t>本部门2023年度一般公共预算财政拨款支出主要用于以下几个方面：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（1）一般公共服务支出</w:t>
      </w:r>
      <w:r>
        <w:rPr>
          <w:rFonts w:hint="eastAsia" w:ascii="方正仿宋_GBK" w:hAnsi="方正仿宋_GBK" w:eastAsia="方正仿宋_GBK" w:cs="方正仿宋_GBK"/>
          <w:b w:val="0"/>
          <w:bCs w:val="0"/>
          <w:color w:val="auto"/>
          <w:sz w:val="32"/>
          <w:szCs w:val="32"/>
        </w:rPr>
        <w:t>1508.55</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25.05</w:t>
      </w:r>
      <w:r>
        <w:rPr>
          <w:rFonts w:hint="eastAsia" w:ascii="方正仿宋_GBK" w:hAnsi="方正仿宋_GBK" w:eastAsia="方正仿宋_GBK" w:cs="方正仿宋_GBK"/>
          <w:b w:val="0"/>
          <w:bCs w:val="0"/>
          <w:color w:val="auto"/>
          <w:sz w:val="32"/>
          <w:szCs w:val="32"/>
          <w:shd w:val="clear" w:color="auto" w:fill="FFFFFF"/>
        </w:rPr>
        <w:t>%，较年初预算数增加53.23万元，增长3.66%，主要原因是</w:t>
      </w:r>
      <w:r>
        <w:rPr>
          <w:rFonts w:hint="eastAsia" w:ascii="方正仿宋_GBK" w:hAnsi="方正仿宋_GBK" w:eastAsia="方正仿宋_GBK" w:cs="方正仿宋_GBK"/>
          <w:b w:val="0"/>
          <w:bCs w:val="0"/>
          <w:color w:val="auto"/>
          <w:sz w:val="32"/>
          <w:szCs w:val="32"/>
          <w:shd w:val="clear" w:color="auto" w:fill="FFFFFF"/>
          <w:lang w:val="en-US" w:eastAsia="zh-CN"/>
        </w:rPr>
        <w:t>抚恤金支出增加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hint="eastAsia" w:ascii="方正仿宋_GBK" w:hAnsi="方正仿宋_GBK" w:eastAsia="方正仿宋_GBK" w:cs="方正仿宋_GBK"/>
          <w:b w:val="0"/>
          <w:bCs w:val="0"/>
          <w:color w:val="auto"/>
          <w:sz w:val="32"/>
          <w:szCs w:val="32"/>
          <w:shd w:val="clear" w:color="auto" w:fill="FFFFFF"/>
        </w:rPr>
        <w:t>）国防支出</w:t>
      </w:r>
      <w:r>
        <w:rPr>
          <w:rFonts w:hint="eastAsia" w:ascii="方正仿宋_GBK" w:hAnsi="方正仿宋_GBK" w:eastAsia="方正仿宋_GBK" w:cs="方正仿宋_GBK"/>
          <w:b w:val="0"/>
          <w:bCs w:val="0"/>
          <w:color w:val="auto"/>
          <w:sz w:val="32"/>
          <w:szCs w:val="32"/>
        </w:rPr>
        <w:t>0.72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0.01</w:t>
      </w:r>
      <w:r>
        <w:rPr>
          <w:rFonts w:hint="eastAsia" w:ascii="方正仿宋_GBK" w:hAnsi="方正仿宋_GBK" w:eastAsia="方正仿宋_GBK" w:cs="方正仿宋_GBK"/>
          <w:b w:val="0"/>
          <w:bCs w:val="0"/>
          <w:color w:val="auto"/>
          <w:sz w:val="32"/>
          <w:szCs w:val="32"/>
          <w:shd w:val="clear" w:color="auto" w:fill="FFFFFF"/>
        </w:rPr>
        <w:t>%，较年初预算数减少5.28万元，下降88.00%，主要原因是</w:t>
      </w:r>
      <w:r>
        <w:rPr>
          <w:rFonts w:hint="eastAsia" w:ascii="方正仿宋_GBK" w:hAnsi="方正仿宋_GBK" w:eastAsia="方正仿宋_GBK" w:cs="方正仿宋_GBK"/>
          <w:b w:val="0"/>
          <w:bCs w:val="0"/>
          <w:color w:val="auto"/>
          <w:sz w:val="32"/>
          <w:szCs w:val="32"/>
          <w:shd w:val="clear" w:color="auto" w:fill="FFFFFF"/>
          <w:lang w:val="en-US" w:eastAsia="zh-CN"/>
        </w:rPr>
        <w:t>国防武装经费支出减少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）公共安全支出</w:t>
      </w:r>
      <w:r>
        <w:rPr>
          <w:rFonts w:hint="eastAsia" w:ascii="方正仿宋_GBK" w:hAnsi="方正仿宋_GBK" w:eastAsia="方正仿宋_GBK" w:cs="方正仿宋_GBK"/>
          <w:b w:val="0"/>
          <w:bCs w:val="0"/>
          <w:color w:val="auto"/>
          <w:sz w:val="32"/>
          <w:szCs w:val="32"/>
        </w:rPr>
        <w:t>0.61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0.01</w:t>
      </w:r>
      <w:r>
        <w:rPr>
          <w:rFonts w:hint="eastAsia" w:ascii="方正仿宋_GBK" w:hAnsi="方正仿宋_GBK" w:eastAsia="方正仿宋_GBK" w:cs="方正仿宋_GBK"/>
          <w:b w:val="0"/>
          <w:bCs w:val="0"/>
          <w:color w:val="auto"/>
          <w:sz w:val="32"/>
          <w:szCs w:val="32"/>
          <w:shd w:val="clear" w:color="auto" w:fill="FFFFFF"/>
        </w:rPr>
        <w:t>%，较年初预算数减少4.39万元，下降87.80%，主要原因是</w:t>
      </w:r>
      <w:r>
        <w:rPr>
          <w:rFonts w:hint="eastAsia" w:ascii="方正仿宋_GBK" w:hAnsi="方正仿宋_GBK" w:eastAsia="方正仿宋_GBK" w:cs="方正仿宋_GBK"/>
          <w:b w:val="0"/>
          <w:bCs w:val="0"/>
          <w:color w:val="auto"/>
          <w:sz w:val="32"/>
          <w:szCs w:val="32"/>
          <w:shd w:val="clear" w:color="auto" w:fill="FFFFFF"/>
          <w:lang w:val="en-US" w:eastAsia="zh-CN"/>
        </w:rPr>
        <w:t>安全生产及应急管理经费支出减少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hint="eastAsia" w:ascii="方正仿宋_GBK" w:hAnsi="方正仿宋_GBK" w:eastAsia="方正仿宋_GBK" w:cs="方正仿宋_GBK"/>
          <w:b w:val="0"/>
          <w:bCs w:val="0"/>
          <w:color w:val="auto"/>
          <w:sz w:val="32"/>
          <w:szCs w:val="32"/>
          <w:shd w:val="clear" w:color="auto" w:fill="FFFFFF"/>
        </w:rPr>
        <w:t>）教育支出</w:t>
      </w:r>
      <w:r>
        <w:rPr>
          <w:rFonts w:hint="eastAsia" w:ascii="方正仿宋_GBK" w:hAnsi="方正仿宋_GBK" w:eastAsia="方正仿宋_GBK" w:cs="方正仿宋_GBK"/>
          <w:b w:val="0"/>
          <w:bCs w:val="0"/>
          <w:color w:val="auto"/>
          <w:sz w:val="32"/>
          <w:szCs w:val="32"/>
        </w:rPr>
        <w:t>15.70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0.26</w:t>
      </w:r>
      <w:r>
        <w:rPr>
          <w:rFonts w:hint="eastAsia" w:ascii="方正仿宋_GBK" w:hAnsi="方正仿宋_GBK" w:eastAsia="方正仿宋_GBK" w:cs="方正仿宋_GBK"/>
          <w:b w:val="0"/>
          <w:bCs w:val="0"/>
          <w:color w:val="auto"/>
          <w:sz w:val="32"/>
          <w:szCs w:val="32"/>
          <w:shd w:val="clear" w:color="auto" w:fill="FFFFFF"/>
        </w:rPr>
        <w:t>%，较年初预算数减少3.22万元，下降17.02%，主要原因是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职工教育经费支出减少</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 xml:space="preserve">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5</w:t>
      </w:r>
      <w:r>
        <w:rPr>
          <w:rFonts w:hint="eastAsia" w:ascii="方正仿宋_GBK" w:hAnsi="方正仿宋_GBK" w:eastAsia="方正仿宋_GBK" w:cs="方正仿宋_GBK"/>
          <w:b w:val="0"/>
          <w:bCs w:val="0"/>
          <w:color w:val="auto"/>
          <w:sz w:val="32"/>
          <w:szCs w:val="32"/>
          <w:shd w:val="clear" w:color="auto" w:fill="FFFFFF"/>
        </w:rPr>
        <w:t>）文化旅游体育与传媒支出</w:t>
      </w:r>
      <w:r>
        <w:rPr>
          <w:rFonts w:hint="eastAsia" w:ascii="方正仿宋_GBK" w:hAnsi="方正仿宋_GBK" w:eastAsia="方正仿宋_GBK" w:cs="方正仿宋_GBK"/>
          <w:b w:val="0"/>
          <w:bCs w:val="0"/>
          <w:color w:val="auto"/>
          <w:sz w:val="32"/>
          <w:szCs w:val="32"/>
        </w:rPr>
        <w:t>71.74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1.19</w:t>
      </w:r>
      <w:r>
        <w:rPr>
          <w:rFonts w:hint="eastAsia" w:ascii="方正仿宋_GBK" w:hAnsi="方正仿宋_GBK" w:eastAsia="方正仿宋_GBK" w:cs="方正仿宋_GBK"/>
          <w:b w:val="0"/>
          <w:bCs w:val="0"/>
          <w:color w:val="auto"/>
          <w:sz w:val="32"/>
          <w:szCs w:val="32"/>
          <w:shd w:val="clear" w:color="auto" w:fill="FFFFFF"/>
        </w:rPr>
        <w:t>%，较年初预算数减少5.20万元，下降6.76%，主要原因是</w:t>
      </w:r>
      <w:r>
        <w:rPr>
          <w:rFonts w:hint="eastAsia" w:ascii="方正仿宋_GBK" w:hAnsi="方正仿宋_GBK" w:eastAsia="方正仿宋_GBK" w:cs="方正仿宋_GBK"/>
          <w:b w:val="0"/>
          <w:bCs w:val="0"/>
          <w:color w:val="auto"/>
          <w:sz w:val="32"/>
          <w:szCs w:val="32"/>
          <w:shd w:val="clear" w:color="auto" w:fill="FFFFFF"/>
          <w:lang w:val="en-US" w:eastAsia="zh-CN"/>
        </w:rPr>
        <w:t>免开补助和中央公共文化资金支出减少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6</w:t>
      </w:r>
      <w:r>
        <w:rPr>
          <w:rFonts w:hint="eastAsia" w:ascii="方正仿宋_GBK" w:hAnsi="方正仿宋_GBK" w:eastAsia="方正仿宋_GBK" w:cs="方正仿宋_GBK"/>
          <w:b w:val="0"/>
          <w:bCs w:val="0"/>
          <w:color w:val="auto"/>
          <w:sz w:val="32"/>
          <w:szCs w:val="32"/>
          <w:shd w:val="clear" w:color="auto" w:fill="FFFFFF"/>
        </w:rPr>
        <w:t>）社会保障与就业支出</w:t>
      </w:r>
      <w:r>
        <w:rPr>
          <w:rFonts w:hint="eastAsia" w:ascii="方正仿宋_GBK" w:hAnsi="方正仿宋_GBK" w:eastAsia="方正仿宋_GBK" w:cs="方正仿宋_GBK"/>
          <w:b w:val="0"/>
          <w:bCs w:val="0"/>
          <w:color w:val="auto"/>
          <w:sz w:val="32"/>
          <w:szCs w:val="32"/>
        </w:rPr>
        <w:t>789.39</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13.11</w:t>
      </w:r>
      <w:r>
        <w:rPr>
          <w:rFonts w:hint="eastAsia" w:ascii="方正仿宋_GBK" w:hAnsi="方正仿宋_GBK" w:eastAsia="方正仿宋_GBK" w:cs="方正仿宋_GBK"/>
          <w:b w:val="0"/>
          <w:bCs w:val="0"/>
          <w:color w:val="auto"/>
          <w:sz w:val="32"/>
          <w:szCs w:val="32"/>
          <w:shd w:val="clear" w:color="auto" w:fill="FFFFFF"/>
        </w:rPr>
        <w:t>%，较年初预算数减少39.55万元，下降4.77%，主要原因是</w:t>
      </w:r>
      <w:r>
        <w:rPr>
          <w:rFonts w:hint="eastAsia" w:ascii="方正仿宋_GBK" w:hAnsi="方正仿宋_GBK" w:eastAsia="方正仿宋_GBK" w:cs="方正仿宋_GBK"/>
          <w:b w:val="0"/>
          <w:bCs w:val="0"/>
          <w:color w:val="auto"/>
          <w:sz w:val="32"/>
          <w:szCs w:val="32"/>
          <w:shd w:val="clear" w:color="auto" w:fill="FFFFFF"/>
          <w:lang w:val="en-US" w:eastAsia="zh-CN"/>
        </w:rPr>
        <w:t>特困人员死亡丧葬补助和村级便民服务中心建设支出减少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7</w:t>
      </w:r>
      <w:r>
        <w:rPr>
          <w:rFonts w:hint="eastAsia" w:ascii="方正仿宋_GBK" w:hAnsi="方正仿宋_GBK" w:eastAsia="方正仿宋_GBK" w:cs="方正仿宋_GBK"/>
          <w:b w:val="0"/>
          <w:bCs w:val="0"/>
          <w:color w:val="auto"/>
          <w:sz w:val="32"/>
          <w:szCs w:val="32"/>
          <w:shd w:val="clear" w:color="auto" w:fill="FFFFFF"/>
        </w:rPr>
        <w:t>）卫生健康支出</w:t>
      </w:r>
      <w:r>
        <w:rPr>
          <w:rFonts w:hint="eastAsia" w:ascii="方正仿宋_GBK" w:hAnsi="方正仿宋_GBK" w:eastAsia="方正仿宋_GBK" w:cs="方正仿宋_GBK"/>
          <w:b w:val="0"/>
          <w:bCs w:val="0"/>
          <w:color w:val="auto"/>
          <w:sz w:val="32"/>
          <w:szCs w:val="32"/>
        </w:rPr>
        <w:t>125.70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2.09</w:t>
      </w:r>
      <w:r>
        <w:rPr>
          <w:rFonts w:hint="eastAsia" w:ascii="方正仿宋_GBK" w:hAnsi="方正仿宋_GBK" w:eastAsia="方正仿宋_GBK" w:cs="方正仿宋_GBK"/>
          <w:b w:val="0"/>
          <w:bCs w:val="0"/>
          <w:color w:val="auto"/>
          <w:sz w:val="32"/>
          <w:szCs w:val="32"/>
          <w:shd w:val="clear" w:color="auto" w:fill="FFFFFF"/>
        </w:rPr>
        <w:t>%，较年初预算数增加1.81万元，增长1.46%，主要原因是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职工医疗保险缴费增加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8</w:t>
      </w:r>
      <w:r>
        <w:rPr>
          <w:rFonts w:hint="eastAsia" w:ascii="方正仿宋_GBK" w:hAnsi="方正仿宋_GBK" w:eastAsia="方正仿宋_GBK" w:cs="方正仿宋_GBK"/>
          <w:b w:val="0"/>
          <w:bCs w:val="0"/>
          <w:color w:val="auto"/>
          <w:sz w:val="32"/>
          <w:szCs w:val="32"/>
          <w:shd w:val="clear" w:color="auto" w:fill="FFFFFF"/>
        </w:rPr>
        <w:t>）节能环保支出</w:t>
      </w:r>
      <w:r>
        <w:rPr>
          <w:rFonts w:hint="eastAsia" w:ascii="方正仿宋_GBK" w:hAnsi="方正仿宋_GBK" w:eastAsia="方正仿宋_GBK" w:cs="方正仿宋_GBK"/>
          <w:b w:val="0"/>
          <w:bCs w:val="0"/>
          <w:color w:val="auto"/>
          <w:sz w:val="32"/>
          <w:szCs w:val="32"/>
        </w:rPr>
        <w:t>21.92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0.36</w:t>
      </w:r>
      <w:r>
        <w:rPr>
          <w:rFonts w:hint="eastAsia" w:ascii="方正仿宋_GBK" w:hAnsi="方正仿宋_GBK" w:eastAsia="方正仿宋_GBK" w:cs="方正仿宋_GBK"/>
          <w:b w:val="0"/>
          <w:bCs w:val="0"/>
          <w:color w:val="auto"/>
          <w:sz w:val="32"/>
          <w:szCs w:val="32"/>
          <w:shd w:val="clear" w:color="auto" w:fill="FFFFFF"/>
        </w:rPr>
        <w:t>%，较年初预算数增加16.58万元，增长310.49%，主要原因是</w:t>
      </w:r>
      <w:r>
        <w:rPr>
          <w:rFonts w:hint="eastAsia" w:ascii="方正仿宋_GBK" w:hAnsi="方正仿宋_GBK" w:eastAsia="方正仿宋_GBK" w:cs="方正仿宋_GBK"/>
          <w:b w:val="0"/>
          <w:bCs w:val="0"/>
          <w:color w:val="auto"/>
          <w:sz w:val="32"/>
          <w:szCs w:val="32"/>
          <w:shd w:val="clear" w:color="auto" w:fill="FFFFFF"/>
          <w:lang w:val="en-US" w:eastAsia="zh-CN"/>
        </w:rPr>
        <w:t>重点河流流域生态补偿金和黑臭水体治理项目支出增加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9</w:t>
      </w:r>
      <w:r>
        <w:rPr>
          <w:rFonts w:hint="eastAsia" w:ascii="方正仿宋_GBK" w:hAnsi="方正仿宋_GBK" w:eastAsia="方正仿宋_GBK" w:cs="方正仿宋_GBK"/>
          <w:b w:val="0"/>
          <w:bCs w:val="0"/>
          <w:color w:val="auto"/>
          <w:sz w:val="32"/>
          <w:szCs w:val="32"/>
          <w:shd w:val="clear" w:color="auto" w:fill="FFFFFF"/>
        </w:rPr>
        <w:t>）城乡社区支出</w:t>
      </w:r>
      <w:r>
        <w:rPr>
          <w:rFonts w:hint="eastAsia" w:ascii="方正仿宋_GBK" w:hAnsi="方正仿宋_GBK" w:eastAsia="方正仿宋_GBK" w:cs="方正仿宋_GBK"/>
          <w:b w:val="0"/>
          <w:bCs w:val="0"/>
          <w:color w:val="auto"/>
          <w:sz w:val="32"/>
          <w:szCs w:val="32"/>
        </w:rPr>
        <w:t>1208.37</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20.07</w:t>
      </w:r>
      <w:r>
        <w:rPr>
          <w:rFonts w:hint="eastAsia" w:ascii="方正仿宋_GBK" w:hAnsi="方正仿宋_GBK" w:eastAsia="方正仿宋_GBK" w:cs="方正仿宋_GBK"/>
          <w:b w:val="0"/>
          <w:bCs w:val="0"/>
          <w:color w:val="auto"/>
          <w:sz w:val="32"/>
          <w:szCs w:val="32"/>
          <w:shd w:val="clear" w:color="auto" w:fill="FFFFFF"/>
        </w:rPr>
        <w:t>%，较年初预算数增加738.08万元，增长156.94%，主要原因是</w:t>
      </w:r>
      <w:r>
        <w:rPr>
          <w:rFonts w:hint="eastAsia" w:ascii="方正仿宋_GBK" w:hAnsi="方正仿宋_GBK" w:eastAsia="方正仿宋_GBK" w:cs="方正仿宋_GBK"/>
          <w:b w:val="0"/>
          <w:bCs w:val="0"/>
          <w:color w:val="auto"/>
          <w:sz w:val="32"/>
          <w:szCs w:val="32"/>
          <w:shd w:val="clear" w:color="auto" w:fill="FFFFFF"/>
          <w:lang w:val="en-US" w:eastAsia="zh-CN"/>
        </w:rPr>
        <w:t>场镇品质提升工程和基础设施建设项目支出增加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10</w:t>
      </w:r>
      <w:r>
        <w:rPr>
          <w:rFonts w:hint="eastAsia" w:ascii="方正仿宋_GBK" w:hAnsi="方正仿宋_GBK" w:eastAsia="方正仿宋_GBK" w:cs="方正仿宋_GBK"/>
          <w:b w:val="0"/>
          <w:bCs w:val="0"/>
          <w:color w:val="auto"/>
          <w:sz w:val="32"/>
          <w:szCs w:val="32"/>
          <w:shd w:val="clear" w:color="auto" w:fill="FFFFFF"/>
        </w:rPr>
        <w:t>）农林水支出</w:t>
      </w:r>
      <w:r>
        <w:rPr>
          <w:rFonts w:hint="eastAsia" w:ascii="方正仿宋_GBK" w:hAnsi="方正仿宋_GBK" w:eastAsia="方正仿宋_GBK" w:cs="方正仿宋_GBK"/>
          <w:b w:val="0"/>
          <w:bCs w:val="0"/>
          <w:color w:val="auto"/>
          <w:sz w:val="32"/>
          <w:szCs w:val="32"/>
        </w:rPr>
        <w:t>1850.57</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30.74</w:t>
      </w:r>
      <w:r>
        <w:rPr>
          <w:rFonts w:hint="eastAsia" w:ascii="方正仿宋_GBK" w:hAnsi="方正仿宋_GBK" w:eastAsia="方正仿宋_GBK" w:cs="方正仿宋_GBK"/>
          <w:b w:val="0"/>
          <w:bCs w:val="0"/>
          <w:color w:val="auto"/>
          <w:sz w:val="32"/>
          <w:szCs w:val="32"/>
          <w:shd w:val="clear" w:color="auto" w:fill="FFFFFF"/>
        </w:rPr>
        <w:t>%，较年初预算数增加981.32万元，增长112.89%，主要原因是</w:t>
      </w:r>
      <w:r>
        <w:rPr>
          <w:rFonts w:hint="eastAsia" w:ascii="方正仿宋_GBK" w:hAnsi="方正仿宋_GBK" w:eastAsia="方正仿宋_GBK" w:cs="方正仿宋_GBK"/>
          <w:b w:val="0"/>
          <w:bCs w:val="0"/>
          <w:color w:val="auto"/>
          <w:sz w:val="32"/>
          <w:szCs w:val="32"/>
          <w:shd w:val="clear" w:color="auto" w:fill="FFFFFF"/>
          <w:lang w:val="en-US" w:eastAsia="zh-CN"/>
        </w:rPr>
        <w:t>荣峰河大石桥绿化工程、水产养殖污染整治提升、特色精品村、美丽宜居村等项目支出增加。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（1</w:t>
      </w:r>
      <w:r>
        <w:rPr>
          <w:rFonts w:hint="eastAsia" w:ascii="方正仿宋_GBK" w:hAnsi="方正仿宋_GBK" w:eastAsia="方正仿宋_GBK" w:cs="方正仿宋_GBK"/>
          <w:b w:val="0"/>
          <w:bCs w:val="0"/>
          <w:color w:val="auto"/>
          <w:sz w:val="32"/>
          <w:szCs w:val="32"/>
          <w:shd w:val="clear" w:color="auto" w:fill="FFFFFF"/>
          <w:lang w:val="en-US" w:eastAsia="zh-CN"/>
        </w:rPr>
        <w:t>1</w:t>
      </w:r>
      <w:r>
        <w:rPr>
          <w:rFonts w:hint="eastAsia" w:ascii="方正仿宋_GBK" w:hAnsi="方正仿宋_GBK" w:eastAsia="方正仿宋_GBK" w:cs="方正仿宋_GBK"/>
          <w:b w:val="0"/>
          <w:bCs w:val="0"/>
          <w:color w:val="auto"/>
          <w:sz w:val="32"/>
          <w:szCs w:val="32"/>
          <w:shd w:val="clear" w:color="auto" w:fill="FFFFFF"/>
        </w:rPr>
        <w:t>）交通运输支出</w:t>
      </w:r>
      <w:r>
        <w:rPr>
          <w:rFonts w:hint="eastAsia" w:ascii="方正仿宋_GBK" w:hAnsi="方正仿宋_GBK" w:eastAsia="方正仿宋_GBK" w:cs="方正仿宋_GBK"/>
          <w:b w:val="0"/>
          <w:bCs w:val="0"/>
          <w:color w:val="auto"/>
          <w:sz w:val="32"/>
          <w:szCs w:val="32"/>
        </w:rPr>
        <w:t>306.44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5.09</w:t>
      </w:r>
      <w:r>
        <w:rPr>
          <w:rFonts w:hint="eastAsia" w:ascii="方正仿宋_GBK" w:hAnsi="方正仿宋_GBK" w:eastAsia="方正仿宋_GBK" w:cs="方正仿宋_GBK"/>
          <w:b w:val="0"/>
          <w:bCs w:val="0"/>
          <w:color w:val="auto"/>
          <w:sz w:val="32"/>
          <w:szCs w:val="32"/>
          <w:shd w:val="clear" w:color="auto" w:fill="FFFFFF"/>
        </w:rPr>
        <w:t>%，较年初预算数增加158.84万元，增长107.62%，主要原因是</w:t>
      </w:r>
      <w:r>
        <w:rPr>
          <w:rFonts w:hint="eastAsia" w:ascii="方正仿宋_GBK" w:hAnsi="方正仿宋_GBK" w:eastAsia="方正仿宋_GBK" w:cs="方正仿宋_GBK"/>
          <w:b w:val="0"/>
          <w:bCs w:val="0"/>
          <w:color w:val="auto"/>
          <w:sz w:val="32"/>
          <w:szCs w:val="32"/>
          <w:shd w:val="clear" w:color="auto" w:fill="FFFFFF"/>
          <w:lang w:val="en-US" w:eastAsia="zh-CN"/>
        </w:rPr>
        <w:t>农村公路建设补助资金支出增加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（1</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自然资源海洋气象等支出18.00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0.30</w:t>
      </w:r>
      <w:r>
        <w:rPr>
          <w:rFonts w:hint="eastAsia" w:ascii="方正仿宋_GBK" w:hAnsi="方正仿宋_GBK" w:eastAsia="方正仿宋_GBK" w:cs="方正仿宋_GBK"/>
          <w:b w:val="0"/>
          <w:bCs w:val="0"/>
          <w:color w:val="auto"/>
          <w:sz w:val="32"/>
          <w:szCs w:val="32"/>
          <w:shd w:val="clear" w:color="auto" w:fill="FFFFFF"/>
        </w:rPr>
        <w:t>%，较年初预算数增加18.00万元，增长100.00%，主要原因是</w:t>
      </w:r>
      <w:r>
        <w:rPr>
          <w:rFonts w:hint="eastAsia" w:ascii="方正仿宋_GBK" w:hAnsi="方正仿宋_GBK" w:eastAsia="方正仿宋_GBK" w:cs="方正仿宋_GBK"/>
          <w:b w:val="0"/>
          <w:bCs w:val="0"/>
          <w:color w:val="auto"/>
          <w:sz w:val="32"/>
          <w:szCs w:val="32"/>
          <w:shd w:val="clear" w:color="auto" w:fill="FFFFFF"/>
          <w:lang w:val="en-US" w:eastAsia="zh-CN"/>
        </w:rPr>
        <w:t>年中新增耕地恢复补足项目预算</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（1</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住房保障支出102.33</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1.70</w:t>
      </w:r>
      <w:r>
        <w:rPr>
          <w:rFonts w:hint="eastAsia" w:ascii="方正仿宋_GBK" w:hAnsi="方正仿宋_GBK" w:eastAsia="方正仿宋_GBK" w:cs="方正仿宋_GBK"/>
          <w:b w:val="0"/>
          <w:bCs w:val="0"/>
          <w:color w:val="auto"/>
          <w:sz w:val="32"/>
          <w:szCs w:val="32"/>
          <w:shd w:val="clear" w:color="auto" w:fill="FFFFFF"/>
        </w:rPr>
        <w:t>%，较年初预算数减少40.47万元，下降28.34%，主要原因是</w:t>
      </w:r>
      <w:r>
        <w:rPr>
          <w:rFonts w:hint="eastAsia" w:ascii="方正仿宋_GBK" w:hAnsi="方正仿宋_GBK" w:eastAsia="方正仿宋_GBK" w:cs="方正仿宋_GBK"/>
          <w:b w:val="0"/>
          <w:bCs w:val="0"/>
          <w:color w:val="auto"/>
          <w:sz w:val="32"/>
          <w:szCs w:val="32"/>
          <w:shd w:val="clear" w:color="auto" w:fill="FFFFFF"/>
          <w:lang w:val="en-US" w:eastAsia="zh-CN"/>
        </w:rPr>
        <w:t>住房公积金缴费减少</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14</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灾害防治及应急管理支出1.00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0.02</w:t>
      </w:r>
      <w:r>
        <w:rPr>
          <w:rFonts w:hint="eastAsia" w:ascii="方正仿宋_GBK" w:hAnsi="方正仿宋_GBK" w:eastAsia="方正仿宋_GBK" w:cs="方正仿宋_GBK"/>
          <w:b w:val="0"/>
          <w:bCs w:val="0"/>
          <w:color w:val="auto"/>
          <w:sz w:val="32"/>
          <w:szCs w:val="32"/>
          <w:shd w:val="clear" w:color="auto" w:fill="FFFFFF"/>
        </w:rPr>
        <w:t>%，较年初预算数增加1.00万元，增长100.00%，主要原因是</w:t>
      </w:r>
      <w:r>
        <w:rPr>
          <w:rFonts w:hint="eastAsia" w:ascii="方正仿宋_GBK" w:hAnsi="方正仿宋_GBK" w:eastAsia="方正仿宋_GBK" w:cs="方正仿宋_GBK"/>
          <w:b w:val="0"/>
          <w:bCs w:val="0"/>
          <w:color w:val="auto"/>
          <w:sz w:val="32"/>
          <w:szCs w:val="32"/>
          <w:shd w:val="clear" w:color="auto" w:fill="FFFFFF"/>
          <w:lang w:val="en-US" w:eastAsia="zh-CN"/>
        </w:rPr>
        <w:t>年中新增应急救灾专项资金预算</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 2023年度一般公共财政拨款基本支出</w:t>
      </w:r>
      <w:r>
        <w:rPr>
          <w:rFonts w:hint="eastAsia" w:ascii="方正仿宋_GBK" w:hAnsi="方正仿宋_GBK" w:eastAsia="方正仿宋_GBK" w:cs="方正仿宋_GBK"/>
          <w:b w:val="0"/>
          <w:bCs w:val="0"/>
          <w:color w:val="auto"/>
          <w:sz w:val="32"/>
          <w:szCs w:val="32"/>
        </w:rPr>
        <w:t>3091.94</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2619.20</w:t>
      </w:r>
      <w:r>
        <w:rPr>
          <w:rFonts w:hint="eastAsia" w:ascii="方正仿宋_GBK" w:hAnsi="方正仿宋_GBK" w:eastAsia="方正仿宋_GBK" w:cs="方正仿宋_GBK"/>
          <w:b w:val="0"/>
          <w:bCs w:val="0"/>
          <w:color w:val="auto"/>
          <w:sz w:val="32"/>
          <w:szCs w:val="32"/>
          <w:shd w:val="clear" w:color="auto" w:fill="FFFFFF"/>
        </w:rPr>
        <w:t>万元，较上年决算数增加308.86万元，增长13.37%，主要原因是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职工工资福利、社会保障、对个人和家庭的补助增加</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b w:val="0"/>
          <w:bCs w:val="0"/>
          <w:color w:val="auto"/>
          <w:sz w:val="32"/>
          <w:szCs w:val="32"/>
          <w:shd w:val="clear" w:color="auto" w:fill="FFFFFF"/>
          <w:lang w:val="en-US" w:eastAsia="zh-CN"/>
        </w:rPr>
        <w:t>基本工资、津贴补贴、奖金、社会保障缴费、对个人和家庭的补助</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472.74</w:t>
      </w:r>
      <w:r>
        <w:rPr>
          <w:rFonts w:hint="eastAsia" w:ascii="方正仿宋_GBK" w:hAnsi="方正仿宋_GBK" w:eastAsia="方正仿宋_GBK" w:cs="方正仿宋_GBK"/>
          <w:b w:val="0"/>
          <w:bCs w:val="0"/>
          <w:color w:val="auto"/>
          <w:sz w:val="32"/>
          <w:szCs w:val="32"/>
          <w:shd w:val="clear" w:color="auto" w:fill="FFFFFF"/>
        </w:rPr>
        <w:t>万元，较上年决算数减少56.25万元，下降10.63%，主要原因是</w:t>
      </w:r>
      <w:r>
        <w:rPr>
          <w:rFonts w:hint="eastAsia" w:ascii="方正仿宋_GBK" w:hAnsi="方正仿宋_GBK" w:eastAsia="方正仿宋_GBK" w:cs="方正仿宋_GBK"/>
          <w:b w:val="0"/>
          <w:bCs w:val="0"/>
          <w:color w:val="auto"/>
          <w:sz w:val="32"/>
          <w:szCs w:val="32"/>
          <w:shd w:val="clear" w:color="auto" w:fill="FFFFFF"/>
          <w:lang w:val="en-US" w:eastAsia="zh-CN"/>
        </w:rPr>
        <w:t>差旅费、公务接待费、其他交通费用、其他商品和服务支出减少</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b w:val="0"/>
          <w:bCs w:val="0"/>
          <w:color w:val="auto"/>
          <w:sz w:val="32"/>
          <w:szCs w:val="32"/>
          <w:shd w:val="clear" w:color="auto" w:fill="FFFFFF"/>
          <w:lang w:val="en-US" w:eastAsia="zh-CN"/>
        </w:rPr>
        <w:t>办公费、水电费、邮电费、差旅费、会议费、培训费、公务接待费、劳务费、工会经费、福利费、公务用车运行维护费、其他交通费用、其他商品和服务支出、办公设备购置</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2023年度政府性基金预算财政拨款年初结转结余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万元，年末结转结余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万元。本年收入</w:t>
      </w:r>
      <w:r>
        <w:rPr>
          <w:rFonts w:hint="eastAsia" w:ascii="方正仿宋_GBK" w:hAnsi="方正仿宋_GBK" w:eastAsia="方正仿宋_GBK" w:cs="方正仿宋_GBK"/>
          <w:b w:val="0"/>
          <w:bCs w:val="0"/>
          <w:color w:val="auto"/>
          <w:sz w:val="32"/>
          <w:szCs w:val="32"/>
        </w:rPr>
        <w:t>38.84</w:t>
      </w:r>
      <w:r>
        <w:rPr>
          <w:rFonts w:hint="eastAsia" w:ascii="方正仿宋_GBK" w:hAnsi="方正仿宋_GBK" w:eastAsia="方正仿宋_GBK" w:cs="方正仿宋_GBK"/>
          <w:b w:val="0"/>
          <w:bCs w:val="0"/>
          <w:color w:val="auto"/>
          <w:sz w:val="32"/>
          <w:szCs w:val="32"/>
          <w:shd w:val="clear" w:color="auto" w:fill="FFFFFF"/>
        </w:rPr>
        <w:t>万元，较上年决算数减少26.70万元，下降40.74%，主要原因是</w:t>
      </w:r>
      <w:r>
        <w:rPr>
          <w:rFonts w:hint="eastAsia" w:ascii="方正仿宋_GBK" w:hAnsi="方正仿宋_GBK" w:eastAsia="方正仿宋_GBK" w:cs="方正仿宋_GBK"/>
          <w:b w:val="0"/>
          <w:bCs w:val="0"/>
          <w:color w:val="auto"/>
          <w:sz w:val="32"/>
          <w:szCs w:val="32"/>
          <w:shd w:val="clear" w:color="auto" w:fill="FFFFFF"/>
          <w:lang w:val="en-US" w:eastAsia="zh-CN"/>
        </w:rPr>
        <w:t>城市建设支出较少</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本年支出</w:t>
      </w:r>
      <w:r>
        <w:rPr>
          <w:rFonts w:hint="eastAsia" w:ascii="方正仿宋_GBK" w:hAnsi="方正仿宋_GBK" w:eastAsia="方正仿宋_GBK" w:cs="方正仿宋_GBK"/>
          <w:b w:val="0"/>
          <w:bCs w:val="0"/>
          <w:color w:val="auto"/>
          <w:sz w:val="32"/>
          <w:szCs w:val="32"/>
        </w:rPr>
        <w:t>38.84</w:t>
      </w:r>
      <w:r>
        <w:rPr>
          <w:rFonts w:hint="eastAsia" w:ascii="方正仿宋_GBK" w:hAnsi="方正仿宋_GBK" w:eastAsia="方正仿宋_GBK" w:cs="方正仿宋_GBK"/>
          <w:b w:val="0"/>
          <w:bCs w:val="0"/>
          <w:color w:val="auto"/>
          <w:sz w:val="32"/>
          <w:szCs w:val="32"/>
          <w:shd w:val="clear" w:color="auto" w:fill="FFFFFF"/>
        </w:rPr>
        <w:t>万元，较上年决算数减少26.70万元，下降40.74%，主要原因是</w:t>
      </w:r>
      <w:r>
        <w:rPr>
          <w:rFonts w:hint="eastAsia" w:ascii="方正仿宋_GBK" w:hAnsi="方正仿宋_GBK" w:eastAsia="方正仿宋_GBK" w:cs="方正仿宋_GBK"/>
          <w:b w:val="0"/>
          <w:bCs w:val="0"/>
          <w:color w:val="auto"/>
          <w:sz w:val="32"/>
          <w:szCs w:val="32"/>
          <w:shd w:val="clear" w:color="auto" w:fill="FFFFFF"/>
          <w:lang w:val="en-US" w:eastAsia="zh-CN"/>
        </w:rPr>
        <w:t>城市建设支出较少</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本部门2023年度无国有资本经营预算财政拨款支出。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2023年度“三公”经费支出共计</w:t>
      </w:r>
      <w:r>
        <w:rPr>
          <w:rFonts w:hint="eastAsia" w:ascii="方正仿宋_GBK" w:hAnsi="方正仿宋_GBK" w:eastAsia="方正仿宋_GBK" w:cs="方正仿宋_GBK"/>
          <w:b w:val="0"/>
          <w:bCs w:val="0"/>
          <w:color w:val="auto"/>
          <w:sz w:val="32"/>
          <w:szCs w:val="32"/>
        </w:rPr>
        <w:t>26.15</w:t>
      </w:r>
      <w:r>
        <w:rPr>
          <w:rFonts w:hint="eastAsia" w:ascii="方正仿宋_GBK" w:hAnsi="方正仿宋_GBK" w:eastAsia="方正仿宋_GBK" w:cs="方正仿宋_GBK"/>
          <w:b w:val="0"/>
          <w:bCs w:val="0"/>
          <w:color w:val="auto"/>
          <w:sz w:val="32"/>
          <w:szCs w:val="32"/>
          <w:shd w:val="clear" w:color="auto" w:fill="FFFFFF"/>
        </w:rPr>
        <w:t>万元，较年初预算数减少17.85万元，下降40.57%，主要原因是</w:t>
      </w:r>
      <w:r>
        <w:rPr>
          <w:rFonts w:hint="eastAsia" w:ascii="方正仿宋_GBK" w:hAnsi="方正仿宋_GBK" w:eastAsia="方正仿宋_GBK" w:cs="方正仿宋_GBK"/>
          <w:color w:val="auto"/>
          <w:sz w:val="32"/>
          <w:szCs w:val="32"/>
          <w:lang w:val="en-US" w:eastAsia="zh-CN"/>
        </w:rPr>
        <w:t>按照要求严控“三公”经费，减少支出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较上年支出数减少24.66万元，下降48.53%，主要原因是</w:t>
      </w:r>
      <w:r>
        <w:rPr>
          <w:rFonts w:hint="eastAsia" w:ascii="方正仿宋_GBK" w:hAnsi="方正仿宋_GBK" w:eastAsia="方正仿宋_GBK" w:cs="方正仿宋_GBK"/>
          <w:color w:val="auto"/>
          <w:sz w:val="32"/>
          <w:szCs w:val="32"/>
          <w:lang w:val="en-US" w:eastAsia="zh-CN"/>
        </w:rPr>
        <w:t>按照要求严控“三公”经费，减少支出</w:t>
      </w:r>
      <w:r>
        <w:rPr>
          <w:rFonts w:hint="eastAsia" w:ascii="方正仿宋_GBK" w:hAnsi="方正仿宋_GBK" w:eastAsia="方正仿宋_GBK" w:cs="方正仿宋_GBK"/>
          <w:color w:val="auto"/>
          <w:sz w:val="32"/>
          <w:szCs w:val="32"/>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（二）“三公”经费分项支出情况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2023年度本部门因公出国（境）费用</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color w:val="auto"/>
          <w:sz w:val="32"/>
          <w:szCs w:val="32"/>
          <w:lang w:val="en-US" w:eastAsia="zh-CN"/>
        </w:rPr>
        <w:t>未发生</w:t>
      </w:r>
      <w:r>
        <w:rPr>
          <w:rFonts w:hint="eastAsia" w:ascii="方正仿宋_GBK" w:hAnsi="方正仿宋_GBK" w:eastAsia="方正仿宋_GBK" w:cs="方正仿宋_GBK"/>
          <w:color w:val="auto"/>
          <w:sz w:val="32"/>
          <w:szCs w:val="32"/>
        </w:rPr>
        <w:t>因公出国（境）</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rPr>
        <w:t>。费用支出较年初预算数无增减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公务车购置费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color w:val="auto"/>
          <w:sz w:val="32"/>
          <w:szCs w:val="32"/>
          <w:lang w:val="en-US" w:eastAsia="zh-CN"/>
        </w:rPr>
        <w:t>未发生公务车购置支出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费用支出较年初预算数无增减。</w:t>
      </w:r>
      <w:r>
        <w:rPr>
          <w:rFonts w:hint="eastAsia" w:ascii="方正仿宋_GBK" w:hAnsi="方正仿宋_GBK" w:eastAsia="方正仿宋_GBK" w:cs="方正仿宋_GBK"/>
          <w:b w:val="0"/>
          <w:bCs w:val="0"/>
          <w:color w:val="auto"/>
          <w:sz w:val="32"/>
          <w:szCs w:val="32"/>
          <w:shd w:val="clear" w:color="auto" w:fill="FFFFFF"/>
        </w:rPr>
        <w:t>较上年支出数减少11.80万元，下降100.00%，主要原因是</w:t>
      </w:r>
      <w:r>
        <w:rPr>
          <w:rFonts w:hint="eastAsia" w:ascii="方正仿宋_GBK" w:hAnsi="方正仿宋_GBK" w:eastAsia="方正仿宋_GBK" w:cs="方正仿宋_GBK"/>
          <w:color w:val="auto"/>
          <w:sz w:val="32"/>
          <w:szCs w:val="32"/>
          <w:lang w:val="en-US" w:eastAsia="zh-CN"/>
        </w:rPr>
        <w:t>未新购置公务车</w:t>
      </w:r>
      <w:r>
        <w:rPr>
          <w:rFonts w:hint="eastAsia" w:ascii="方正仿宋_GBK" w:hAnsi="方正仿宋_GBK" w:eastAsia="方正仿宋_GBK" w:cs="方正仿宋_GBK"/>
          <w:color w:val="auto"/>
          <w:sz w:val="32"/>
          <w:szCs w:val="32"/>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公务车运行维护费</w:t>
      </w:r>
      <w:r>
        <w:rPr>
          <w:rFonts w:hint="eastAsia" w:ascii="方正仿宋_GBK" w:hAnsi="方正仿宋_GBK" w:eastAsia="方正仿宋_GBK" w:cs="方正仿宋_GBK"/>
          <w:b w:val="0"/>
          <w:bCs w:val="0"/>
          <w:color w:val="auto"/>
          <w:sz w:val="32"/>
          <w:szCs w:val="32"/>
        </w:rPr>
        <w:t>25.36</w:t>
      </w:r>
      <w:r>
        <w:rPr>
          <w:rFonts w:hint="eastAsia" w:ascii="方正仿宋_GBK" w:hAnsi="方正仿宋_GBK" w:eastAsia="方正仿宋_GBK" w:cs="方正仿宋_GBK"/>
          <w:b w:val="0"/>
          <w:bCs w:val="0"/>
          <w:color w:val="auto"/>
          <w:sz w:val="32"/>
          <w:szCs w:val="32"/>
          <w:shd w:val="clear" w:color="auto" w:fill="FFFFFF"/>
        </w:rPr>
        <w:t>万元，主要用于</w:t>
      </w:r>
      <w:r>
        <w:rPr>
          <w:rFonts w:hint="eastAsia" w:ascii="方正仿宋_GBK" w:hAnsi="方正仿宋_GBK" w:eastAsia="方正仿宋_GBK" w:cs="方正仿宋_GBK"/>
          <w:b w:val="0"/>
          <w:bCs w:val="0"/>
          <w:color w:val="auto"/>
          <w:sz w:val="32"/>
          <w:szCs w:val="32"/>
          <w:shd w:val="clear" w:color="auto" w:fill="FFFFFF"/>
          <w:lang w:val="en-US" w:eastAsia="zh-CN"/>
        </w:rPr>
        <w:t>公务车</w:t>
      </w:r>
      <w:r>
        <w:rPr>
          <w:rFonts w:hint="eastAsia" w:ascii="方正仿宋_GBK" w:hAnsi="方正仿宋_GBK" w:eastAsia="方正仿宋_GBK" w:cs="方正仿宋_GBK"/>
          <w:color w:val="auto"/>
          <w:kern w:val="0"/>
          <w:sz w:val="32"/>
          <w:szCs w:val="32"/>
        </w:rPr>
        <w:t>燃料费、维修维护费、保险费等</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费用支出较年初预算数减少14.64万元，下降36.60%，主要原因是</w:t>
      </w:r>
      <w:r>
        <w:rPr>
          <w:rFonts w:hint="eastAsia" w:ascii="方正仿宋_GBK" w:hAnsi="方正仿宋_GBK" w:eastAsia="方正仿宋_GBK" w:cs="方正仿宋_GBK"/>
          <w:color w:val="auto"/>
          <w:sz w:val="32"/>
          <w:szCs w:val="32"/>
          <w:lang w:val="en-US" w:eastAsia="zh-CN"/>
        </w:rPr>
        <w:t>按照要求严控公务车运行经费，减少支出</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较上年支出数减少9.27万元，下降26.77%，主要原因是</w:t>
      </w:r>
      <w:r>
        <w:rPr>
          <w:rFonts w:hint="eastAsia" w:ascii="方正仿宋_GBK" w:hAnsi="方正仿宋_GBK" w:eastAsia="方正仿宋_GBK" w:cs="方正仿宋_GBK"/>
          <w:color w:val="auto"/>
          <w:sz w:val="32"/>
          <w:szCs w:val="32"/>
          <w:lang w:val="en-US" w:eastAsia="zh-CN"/>
        </w:rPr>
        <w:t>按照要求严控公务车运行经费，减少支出</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公务接待费</w:t>
      </w:r>
      <w:r>
        <w:rPr>
          <w:rFonts w:hint="eastAsia" w:ascii="方正仿宋_GBK" w:hAnsi="方正仿宋_GBK" w:eastAsia="方正仿宋_GBK" w:cs="方正仿宋_GBK"/>
          <w:b w:val="0"/>
          <w:bCs w:val="0"/>
          <w:color w:val="auto"/>
          <w:sz w:val="32"/>
          <w:szCs w:val="32"/>
        </w:rPr>
        <w:t>0.79</w:t>
      </w:r>
      <w:r>
        <w:rPr>
          <w:rFonts w:hint="eastAsia" w:ascii="方正仿宋_GBK" w:hAnsi="方正仿宋_GBK" w:eastAsia="方正仿宋_GBK" w:cs="方正仿宋_GBK"/>
          <w:b w:val="0"/>
          <w:bCs w:val="0"/>
          <w:color w:val="auto"/>
          <w:sz w:val="32"/>
          <w:szCs w:val="32"/>
          <w:shd w:val="clear" w:color="auto" w:fill="FFFFFF"/>
        </w:rPr>
        <w:t>万元，主要用于接待</w:t>
      </w:r>
      <w:r>
        <w:rPr>
          <w:rFonts w:hint="eastAsia" w:ascii="方正仿宋_GBK" w:hAnsi="方正仿宋_GBK" w:eastAsia="方正仿宋_GBK" w:cs="方正仿宋_GBK"/>
          <w:color w:val="auto"/>
          <w:kern w:val="0"/>
          <w:sz w:val="32"/>
          <w:szCs w:val="32"/>
        </w:rPr>
        <w:t>相关部门检查指导工作</w:t>
      </w:r>
      <w:r>
        <w:rPr>
          <w:rFonts w:hint="eastAsia" w:ascii="方正仿宋_GBK" w:hAnsi="方正仿宋_GBK" w:eastAsia="方正仿宋_GBK" w:cs="方正仿宋_GBK"/>
          <w:color w:val="auto"/>
          <w:kern w:val="0"/>
          <w:sz w:val="32"/>
          <w:szCs w:val="32"/>
          <w:lang w:val="en-US" w:eastAsia="zh-CN"/>
        </w:rPr>
        <w:t>和</w:t>
      </w:r>
      <w:r>
        <w:rPr>
          <w:rFonts w:hint="eastAsia" w:ascii="方正仿宋_GBK" w:hAnsi="方正仿宋_GBK" w:eastAsia="方正仿宋_GBK" w:cs="方正仿宋_GBK"/>
          <w:color w:val="auto"/>
          <w:kern w:val="0"/>
          <w:sz w:val="32"/>
          <w:szCs w:val="32"/>
        </w:rPr>
        <w:t>发展招商引资等经济业务所发生的接待支出。</w:t>
      </w:r>
      <w:r>
        <w:rPr>
          <w:rFonts w:hint="eastAsia" w:ascii="方正仿宋_GBK" w:hAnsi="方正仿宋_GBK" w:eastAsia="方正仿宋_GBK" w:cs="方正仿宋_GBK"/>
          <w:b w:val="0"/>
          <w:bCs w:val="0"/>
          <w:color w:val="auto"/>
          <w:sz w:val="32"/>
          <w:szCs w:val="32"/>
          <w:shd w:val="clear" w:color="auto" w:fill="FFFFFF"/>
        </w:rPr>
        <w:t>费用支出较年初预算数减少3.21万元，下降80.25%，主要原因是</w:t>
      </w:r>
      <w:r>
        <w:rPr>
          <w:rFonts w:hint="eastAsia" w:ascii="方正仿宋_GBK" w:hAnsi="方正仿宋_GBK" w:eastAsia="方正仿宋_GBK" w:cs="方正仿宋_GBK"/>
          <w:color w:val="auto"/>
          <w:sz w:val="32"/>
          <w:szCs w:val="32"/>
          <w:lang w:val="en-US" w:eastAsia="zh-CN"/>
        </w:rPr>
        <w:t>按照要求严控公务接待费，减少支出</w:t>
      </w:r>
      <w:r>
        <w:rPr>
          <w:rFonts w:hint="eastAsia" w:ascii="方正仿宋_GBK" w:hAnsi="方正仿宋_GBK" w:eastAsia="方正仿宋_GBK" w:cs="方正仿宋_GBK"/>
          <w:b w:val="0"/>
          <w:bCs w:val="0"/>
          <w:color w:val="auto"/>
          <w:sz w:val="32"/>
          <w:szCs w:val="32"/>
          <w:shd w:val="clear" w:color="auto" w:fill="FFFFFF"/>
        </w:rPr>
        <w:t>。较上年支出数减少3.59万元，下降81.96%，主要原因是</w:t>
      </w:r>
      <w:r>
        <w:rPr>
          <w:rFonts w:hint="eastAsia" w:ascii="方正仿宋_GBK" w:hAnsi="方正仿宋_GBK" w:eastAsia="方正仿宋_GBK" w:cs="方正仿宋_GBK"/>
          <w:color w:val="auto"/>
          <w:sz w:val="32"/>
          <w:szCs w:val="32"/>
          <w:lang w:val="en-US" w:eastAsia="zh-CN"/>
        </w:rPr>
        <w:t>按照要求严控公务接待费，减少支出</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（三）“三公”经费实物量情况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2023年度本部门因公出国（境）共计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个团组，</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人；公务用车购置</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辆，公务车保有量为</w:t>
      </w:r>
      <w:r>
        <w:rPr>
          <w:rFonts w:hint="eastAsia" w:ascii="方正仿宋_GBK" w:hAnsi="方正仿宋_GBK" w:eastAsia="方正仿宋_GBK" w:cs="方正仿宋_GBK"/>
          <w:b w:val="0"/>
          <w:bCs w:val="0"/>
          <w:color w:val="auto"/>
          <w:sz w:val="32"/>
          <w:szCs w:val="32"/>
        </w:rPr>
        <w:t>7</w:t>
      </w:r>
      <w:r>
        <w:rPr>
          <w:rFonts w:hint="eastAsia" w:ascii="方正仿宋_GBK" w:hAnsi="方正仿宋_GBK" w:eastAsia="方正仿宋_GBK" w:cs="方正仿宋_GBK"/>
          <w:b w:val="0"/>
          <w:bCs w:val="0"/>
          <w:color w:val="auto"/>
          <w:sz w:val="32"/>
          <w:szCs w:val="32"/>
          <w:shd w:val="clear" w:color="auto" w:fill="FFFFFF"/>
        </w:rPr>
        <w:t>辆；国内公务接待</w:t>
      </w:r>
      <w:r>
        <w:rPr>
          <w:rFonts w:hint="eastAsia" w:ascii="方正仿宋_GBK" w:hAnsi="方正仿宋_GBK" w:eastAsia="方正仿宋_GBK" w:cs="方正仿宋_GBK"/>
          <w:b w:val="0"/>
          <w:bCs w:val="0"/>
          <w:color w:val="auto"/>
          <w:sz w:val="32"/>
          <w:szCs w:val="32"/>
        </w:rPr>
        <w:t>15</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110</w:t>
      </w:r>
      <w:r>
        <w:rPr>
          <w:rFonts w:hint="eastAsia" w:ascii="方正仿宋_GBK" w:hAnsi="方正仿宋_GBK" w:eastAsia="方正仿宋_GBK" w:cs="方正仿宋_GBK"/>
          <w:b w:val="0"/>
          <w:bCs w:val="0"/>
          <w:color w:val="auto"/>
          <w:sz w:val="32"/>
          <w:szCs w:val="32"/>
          <w:shd w:val="clear" w:color="auto" w:fill="FFFFFF"/>
        </w:rPr>
        <w:t>人，其中：国内外事接待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人；国（境）外公务接待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人。2023年本部门人均接待费</w:t>
      </w:r>
      <w:r>
        <w:rPr>
          <w:rFonts w:hint="eastAsia" w:ascii="方正仿宋_GBK" w:hAnsi="方正仿宋_GBK" w:eastAsia="方正仿宋_GBK" w:cs="方正仿宋_GBK"/>
          <w:b w:val="0"/>
          <w:bCs w:val="0"/>
          <w:color w:val="auto"/>
          <w:sz w:val="32"/>
          <w:szCs w:val="32"/>
        </w:rPr>
        <w:t>71.70</w:t>
      </w:r>
      <w:r>
        <w:rPr>
          <w:rFonts w:hint="eastAsia" w:ascii="方正仿宋_GBK" w:hAnsi="方正仿宋_GBK" w:eastAsia="方正仿宋_GBK" w:cs="方正仿宋_GBK"/>
          <w:b w:val="0"/>
          <w:bCs w:val="0"/>
          <w:color w:val="auto"/>
          <w:sz w:val="32"/>
          <w:szCs w:val="32"/>
          <w:shd w:val="clear" w:color="auto" w:fill="FFFFFF"/>
        </w:rPr>
        <w:t>元，车均购置费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万元，车均维护费</w:t>
      </w:r>
      <w:r>
        <w:rPr>
          <w:rFonts w:hint="eastAsia" w:ascii="方正仿宋_GBK" w:hAnsi="方正仿宋_GBK" w:eastAsia="方正仿宋_GBK" w:cs="方正仿宋_GBK"/>
          <w:b w:val="0"/>
          <w:bCs w:val="0"/>
          <w:color w:val="auto"/>
          <w:sz w:val="32"/>
          <w:szCs w:val="32"/>
        </w:rPr>
        <w:t>3.62</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本年度会议费支出</w:t>
      </w:r>
      <w:r>
        <w:rPr>
          <w:rFonts w:hint="eastAsia" w:ascii="方正仿宋_GBK" w:hAnsi="方正仿宋_GBK" w:eastAsia="方正仿宋_GBK" w:cs="方正仿宋_GBK"/>
          <w:b w:val="0"/>
          <w:bCs w:val="0"/>
          <w:color w:val="auto"/>
          <w:sz w:val="32"/>
          <w:szCs w:val="32"/>
        </w:rPr>
        <w:t>7.76</w:t>
      </w:r>
      <w:r>
        <w:rPr>
          <w:rFonts w:hint="eastAsia" w:ascii="方正仿宋_GBK" w:hAnsi="方正仿宋_GBK" w:eastAsia="方正仿宋_GBK" w:cs="方正仿宋_GBK"/>
          <w:b w:val="0"/>
          <w:bCs w:val="0"/>
          <w:color w:val="auto"/>
          <w:sz w:val="32"/>
          <w:szCs w:val="32"/>
          <w:shd w:val="clear" w:color="auto" w:fill="FFFFFF"/>
        </w:rPr>
        <w:t>万元，较上年决算数减少2.06万元，下降20.98%，主要原因是</w:t>
      </w:r>
      <w:r>
        <w:rPr>
          <w:rFonts w:hint="eastAsia" w:ascii="方正仿宋_GBK" w:hAnsi="方正仿宋_GBK" w:eastAsia="方正仿宋_GBK" w:cs="方正仿宋_GBK"/>
          <w:color w:val="auto"/>
          <w:sz w:val="32"/>
          <w:szCs w:val="32"/>
          <w:lang w:val="en-US" w:eastAsia="zh-CN"/>
        </w:rPr>
        <w:t>按照要求严控会议费，减少支出</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rPr>
        <w:t>本年度培训费支出</w:t>
      </w:r>
      <w:r>
        <w:rPr>
          <w:rFonts w:hint="eastAsia" w:ascii="方正仿宋_GBK" w:hAnsi="方正仿宋_GBK" w:eastAsia="方正仿宋_GBK" w:cs="方正仿宋_GBK"/>
          <w:b w:val="0"/>
          <w:bCs w:val="0"/>
          <w:color w:val="auto"/>
          <w:sz w:val="32"/>
          <w:szCs w:val="32"/>
        </w:rPr>
        <w:t>10.70</w:t>
      </w:r>
      <w:r>
        <w:rPr>
          <w:rFonts w:hint="eastAsia" w:ascii="方正仿宋_GBK" w:hAnsi="方正仿宋_GBK" w:eastAsia="方正仿宋_GBK" w:cs="方正仿宋_GBK"/>
          <w:b w:val="0"/>
          <w:bCs w:val="0"/>
          <w:color w:val="auto"/>
          <w:sz w:val="32"/>
          <w:szCs w:val="32"/>
          <w:shd w:val="clear" w:color="auto" w:fill="FFFFFF"/>
        </w:rPr>
        <w:t>万元，较上年决算数减少6.39万元，下降37.39%，主要原因</w:t>
      </w:r>
      <w:r>
        <w:rPr>
          <w:rFonts w:hint="eastAsia" w:ascii="方正仿宋_GBK" w:hAnsi="方正仿宋_GBK" w:eastAsia="方正仿宋_GBK" w:cs="方正仿宋_GBK"/>
          <w:color w:val="auto"/>
          <w:sz w:val="32"/>
          <w:szCs w:val="32"/>
          <w:lang w:val="en-US" w:eastAsia="zh-CN"/>
        </w:rPr>
        <w:t>按照要求严控培训费，减少支出</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（二）机关运行经费情况说明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2023年度本部门机关运行经费支出</w:t>
      </w:r>
      <w:r>
        <w:rPr>
          <w:rFonts w:hint="eastAsia" w:ascii="方正仿宋_GBK" w:hAnsi="方正仿宋_GBK" w:eastAsia="方正仿宋_GBK" w:cs="方正仿宋_GBK"/>
          <w:b w:val="0"/>
          <w:bCs w:val="0"/>
          <w:color w:val="auto"/>
          <w:sz w:val="32"/>
          <w:szCs w:val="32"/>
        </w:rPr>
        <w:t>212.90</w:t>
      </w:r>
      <w:r>
        <w:rPr>
          <w:rFonts w:hint="eastAsia" w:ascii="方正仿宋_GBK" w:hAnsi="方正仿宋_GBK" w:eastAsia="方正仿宋_GBK" w:cs="方正仿宋_GBK"/>
          <w:b w:val="0"/>
          <w:bCs w:val="0"/>
          <w:color w:val="auto"/>
          <w:sz w:val="32"/>
          <w:szCs w:val="32"/>
          <w:shd w:val="clear" w:color="auto" w:fill="FFFFFF"/>
        </w:rPr>
        <w:t>万元，机关运行经费主要用于开支</w:t>
      </w:r>
      <w:r>
        <w:rPr>
          <w:rFonts w:hint="eastAsia" w:ascii="方正仿宋_GBK" w:hAnsi="方正仿宋_GBK" w:eastAsia="方正仿宋_GBK" w:cs="方正仿宋_GBK"/>
          <w:b w:val="0"/>
          <w:bCs w:val="0"/>
          <w:color w:val="auto"/>
          <w:sz w:val="32"/>
          <w:szCs w:val="32"/>
          <w:shd w:val="clear" w:color="auto" w:fill="FFFFFF"/>
          <w:lang w:val="en-US" w:eastAsia="zh-CN"/>
        </w:rPr>
        <w:t>办公费、水电费、邮电费、会议费、培训费、公务接待费、劳务费、工会经费、福利费、公务用车运行维护费、其他交通费用、其他商品和服务支出、办公设备购置</w:t>
      </w:r>
      <w:r>
        <w:rPr>
          <w:rFonts w:hint="eastAsia" w:ascii="方正仿宋_GBK" w:hAnsi="方正仿宋_GBK" w:eastAsia="方正仿宋_GBK" w:cs="方正仿宋_GBK"/>
          <w:b w:val="0"/>
          <w:bCs w:val="0"/>
          <w:color w:val="auto"/>
          <w:sz w:val="32"/>
          <w:szCs w:val="32"/>
          <w:shd w:val="clear" w:color="auto" w:fill="FFFFFF"/>
        </w:rPr>
        <w:t>。机关运行经费较上年支出数减少29.98万元，下降12.34%，主要原因是</w:t>
      </w:r>
      <w:r>
        <w:rPr>
          <w:rFonts w:hint="eastAsia" w:ascii="方正仿宋_GBK" w:hAnsi="方正仿宋_GBK" w:eastAsia="方正仿宋_GBK" w:cs="方正仿宋_GBK"/>
          <w:color w:val="auto"/>
          <w:sz w:val="32"/>
          <w:szCs w:val="32"/>
          <w:lang w:val="en-US" w:eastAsia="zh-CN"/>
        </w:rPr>
        <w:t>按照要求严控机关运行经费，减少支出</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（三）国有资产占用情况说明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截至2023年12月31日，本部门共有车辆</w:t>
      </w:r>
      <w:r>
        <w:rPr>
          <w:rFonts w:hint="eastAsia" w:ascii="方正仿宋_GBK" w:hAnsi="方正仿宋_GBK" w:eastAsia="方正仿宋_GBK" w:cs="方正仿宋_GBK"/>
          <w:b w:val="0"/>
          <w:bCs w:val="0"/>
          <w:color w:val="auto"/>
          <w:sz w:val="32"/>
          <w:szCs w:val="32"/>
        </w:rPr>
        <w:t>7</w:t>
      </w:r>
      <w:r>
        <w:rPr>
          <w:rFonts w:hint="eastAsia" w:ascii="方正仿宋_GBK" w:hAnsi="方正仿宋_GBK" w:eastAsia="方正仿宋_GBK" w:cs="方正仿宋_GBK"/>
          <w:b w:val="0"/>
          <w:bCs w:val="0"/>
          <w:color w:val="auto"/>
          <w:sz w:val="32"/>
          <w:szCs w:val="32"/>
          <w:shd w:val="clear" w:color="auto" w:fill="FFFFFF"/>
        </w:rPr>
        <w:t>辆，其中，副部（省）级及以上领导用车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辆、主要负责人用车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辆、机要通信用车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辆、应急保障用车</w:t>
      </w: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shd w:val="clear" w:color="auto" w:fill="FFFFFF"/>
        </w:rPr>
        <w:t>辆、执法执勤用车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辆，特种专业技术用车</w:t>
      </w:r>
      <w:r>
        <w:rPr>
          <w:rFonts w:hint="eastAsia" w:ascii="方正仿宋_GBK" w:hAnsi="方正仿宋_GBK" w:eastAsia="方正仿宋_GBK" w:cs="方正仿宋_GBK"/>
          <w:b w:val="0"/>
          <w:bCs w:val="0"/>
          <w:color w:val="auto"/>
          <w:sz w:val="32"/>
          <w:szCs w:val="32"/>
        </w:rPr>
        <w:t>5</w:t>
      </w:r>
      <w:r>
        <w:rPr>
          <w:rFonts w:hint="eastAsia" w:ascii="方正仿宋_GBK" w:hAnsi="方正仿宋_GBK" w:eastAsia="方正仿宋_GBK" w:cs="方正仿宋_GBK"/>
          <w:b w:val="0"/>
          <w:bCs w:val="0"/>
          <w:color w:val="auto"/>
          <w:sz w:val="32"/>
          <w:szCs w:val="32"/>
          <w:shd w:val="clear" w:color="auto" w:fill="FFFFFF"/>
        </w:rPr>
        <w:t>辆，离退休干部用车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辆。单价100万元（含）以上专用设备</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（四）政府采购支出情况说明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2023年度本部门政府采购支出总额</w:t>
      </w:r>
      <w:r>
        <w:rPr>
          <w:rFonts w:hint="eastAsia" w:ascii="方正仿宋_GBK" w:hAnsi="方正仿宋_GBK" w:eastAsia="方正仿宋_GBK" w:cs="方正仿宋_GBK"/>
          <w:b w:val="0"/>
          <w:bCs w:val="0"/>
          <w:color w:val="auto"/>
          <w:sz w:val="32"/>
          <w:szCs w:val="32"/>
        </w:rPr>
        <w:t>410.37</w:t>
      </w:r>
      <w:r>
        <w:rPr>
          <w:rFonts w:hint="eastAsia" w:ascii="方正仿宋_GBK" w:hAnsi="方正仿宋_GBK" w:eastAsia="方正仿宋_GBK" w:cs="方正仿宋_GBK"/>
          <w:b w:val="0"/>
          <w:bCs w:val="0"/>
          <w:color w:val="auto"/>
          <w:sz w:val="32"/>
          <w:szCs w:val="32"/>
          <w:shd w:val="clear" w:color="auto" w:fill="FFFFFF"/>
        </w:rPr>
        <w:t>万元，其中：政府采购货物支出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万元、政府采购工程支出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万元、政府采购服务支出</w:t>
      </w:r>
      <w:r>
        <w:rPr>
          <w:rFonts w:hint="eastAsia" w:ascii="方正仿宋_GBK" w:hAnsi="方正仿宋_GBK" w:eastAsia="方正仿宋_GBK" w:cs="方正仿宋_GBK"/>
          <w:b w:val="0"/>
          <w:bCs w:val="0"/>
          <w:color w:val="auto"/>
          <w:sz w:val="32"/>
          <w:szCs w:val="32"/>
        </w:rPr>
        <w:t>410.37</w:t>
      </w:r>
      <w:r>
        <w:rPr>
          <w:rFonts w:hint="eastAsia" w:ascii="方正仿宋_GBK" w:hAnsi="方正仿宋_GBK" w:eastAsia="方正仿宋_GBK" w:cs="方正仿宋_GBK"/>
          <w:b w:val="0"/>
          <w:bCs w:val="0"/>
          <w:color w:val="auto"/>
          <w:sz w:val="32"/>
          <w:szCs w:val="32"/>
          <w:shd w:val="clear" w:color="auto" w:fill="FFFFFF"/>
        </w:rPr>
        <w:t>万元。授予中小企业合同金额</w:t>
      </w:r>
      <w:r>
        <w:rPr>
          <w:rFonts w:hint="eastAsia" w:ascii="方正仿宋_GBK" w:hAnsi="方正仿宋_GBK" w:eastAsia="方正仿宋_GBK" w:cs="方正仿宋_GBK"/>
          <w:b w:val="0"/>
          <w:bCs w:val="0"/>
          <w:color w:val="auto"/>
          <w:sz w:val="32"/>
          <w:szCs w:val="32"/>
        </w:rPr>
        <w:t>410.37万</w:t>
      </w:r>
      <w:r>
        <w:rPr>
          <w:rFonts w:hint="eastAsia" w:ascii="方正仿宋_GBK" w:hAnsi="方正仿宋_GBK" w:eastAsia="方正仿宋_GBK" w:cs="方正仿宋_GBK"/>
          <w:b w:val="0"/>
          <w:bCs w:val="0"/>
          <w:color w:val="auto"/>
          <w:sz w:val="32"/>
          <w:szCs w:val="32"/>
          <w:shd w:val="clear" w:color="auto" w:fill="FFFFFF"/>
        </w:rPr>
        <w:t>元，占政府采购支出总额的</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%，其中：授予小微企业合同金额</w:t>
      </w:r>
      <w:r>
        <w:rPr>
          <w:rFonts w:hint="eastAsia" w:ascii="方正仿宋_GBK" w:hAnsi="方正仿宋_GBK" w:eastAsia="方正仿宋_GBK" w:cs="方正仿宋_GBK"/>
          <w:b w:val="0"/>
          <w:bCs w:val="0"/>
          <w:color w:val="auto"/>
          <w:sz w:val="32"/>
          <w:szCs w:val="32"/>
        </w:rPr>
        <w:t>410.37</w:t>
      </w:r>
      <w:r>
        <w:rPr>
          <w:rFonts w:hint="eastAsia" w:ascii="方正仿宋_GBK" w:hAnsi="方正仿宋_GBK" w:eastAsia="方正仿宋_GBK" w:cs="方正仿宋_GBK"/>
          <w:b w:val="0"/>
          <w:bCs w:val="0"/>
          <w:color w:val="auto"/>
          <w:sz w:val="32"/>
          <w:szCs w:val="32"/>
          <w:shd w:val="clear" w:color="auto" w:fill="FFFFFF"/>
        </w:rPr>
        <w:t>万元，占政府采购支出总额的</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%。主要用于采购</w:t>
      </w:r>
      <w:r>
        <w:rPr>
          <w:rFonts w:hint="eastAsia" w:ascii="方正仿宋_GBK" w:hAnsi="方正仿宋_GBK" w:eastAsia="方正仿宋_GBK" w:cs="方正仿宋_GBK"/>
          <w:b w:val="0"/>
          <w:bCs w:val="0"/>
          <w:color w:val="auto"/>
          <w:sz w:val="32"/>
          <w:szCs w:val="32"/>
          <w:shd w:val="clear" w:color="auto" w:fill="FFFFFF"/>
          <w:lang w:val="en-US" w:eastAsia="zh-CN"/>
        </w:rPr>
        <w:t>场镇清扫保洁一体化外包服务</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五、</w:t>
      </w:r>
      <w:r>
        <w:rPr>
          <w:rStyle w:val="10"/>
          <w:rFonts w:hint="eastAsia" w:ascii="方正黑体_GBK" w:hAnsi="方正黑体_GBK" w:eastAsia="方正黑体_GBK" w:cs="方正黑体_GBK"/>
          <w:b w:val="0"/>
          <w:bCs w:val="0"/>
          <w:color w:val="auto"/>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（一）部门自评情况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3"/>
        <w:jc w:val="both"/>
        <w:textAlignment w:val="auto"/>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b w:val="0"/>
          <w:bCs w:val="0"/>
          <w:color w:val="auto"/>
          <w:sz w:val="32"/>
          <w:szCs w:val="32"/>
          <w:shd w:val="clear" w:color="auto" w:fill="FFFFFF"/>
        </w:rPr>
        <w:t>根据预算绩效管理要求，我部门对部门整体和</w:t>
      </w:r>
      <w:r>
        <w:rPr>
          <w:rFonts w:hint="eastAsia" w:ascii="方正仿宋_GBK" w:hAnsi="方正仿宋_GBK" w:eastAsia="方正仿宋_GBK" w:cs="方正仿宋_GBK"/>
          <w:b w:val="0"/>
          <w:bCs w:val="0"/>
          <w:color w:val="auto"/>
          <w:sz w:val="32"/>
          <w:szCs w:val="32"/>
          <w:shd w:val="clear" w:color="auto" w:fill="FFFFFF"/>
          <w:lang w:val="en-US" w:eastAsia="zh-CN"/>
        </w:rPr>
        <w:t>71</w:t>
      </w:r>
      <w:r>
        <w:rPr>
          <w:rFonts w:hint="eastAsia" w:ascii="方正仿宋_GBK" w:hAnsi="方正仿宋_GBK" w:eastAsia="方正仿宋_GBK" w:cs="方正仿宋_GBK"/>
          <w:b w:val="0"/>
          <w:bCs w:val="0"/>
          <w:color w:val="auto"/>
          <w:sz w:val="32"/>
          <w:szCs w:val="32"/>
          <w:shd w:val="clear" w:color="auto" w:fill="FFFFFF"/>
        </w:rPr>
        <w:t>个二级项目开展了绩效自评</w:t>
      </w:r>
      <w:r>
        <w:rPr>
          <w:rFonts w:hint="eastAsia" w:ascii="方正仿宋_GBK" w:hAnsi="方正仿宋_GBK" w:eastAsia="方正仿宋_GBK" w:cs="方正仿宋_GBK"/>
          <w:color w:val="auto"/>
          <w:sz w:val="32"/>
          <w:szCs w:val="32"/>
          <w:shd w:val="clear" w:color="auto" w:fill="FFFFFF"/>
          <w:lang w:eastAsia="zh-CN" w:bidi="ar"/>
        </w:rPr>
        <w:t>。</w:t>
      </w:r>
    </w:p>
    <w:tbl>
      <w:tblPr>
        <w:tblStyle w:val="7"/>
        <w:tblpPr w:leftFromText="180" w:rightFromText="180" w:vertAnchor="text" w:horzAnchor="page" w:tblpXSpec="center" w:tblpY="486"/>
        <w:tblOverlap w:val="never"/>
        <w:tblW w:w="88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38"/>
        <w:gridCol w:w="991"/>
        <w:gridCol w:w="829"/>
        <w:gridCol w:w="1067"/>
        <w:gridCol w:w="483"/>
        <w:gridCol w:w="1164"/>
        <w:gridCol w:w="1061"/>
        <w:gridCol w:w="512"/>
        <w:gridCol w:w="433"/>
        <w:gridCol w:w="615"/>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4" w:hRule="atLeast"/>
          <w:jc w:val="center"/>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val="0"/>
                <w:bCs/>
                <w:i w:val="0"/>
                <w:color w:val="000000"/>
                <w:sz w:val="40"/>
                <w:szCs w:val="40"/>
                <w:u w:val="none"/>
              </w:rPr>
            </w:pPr>
            <w:r>
              <w:rPr>
                <w:rFonts w:hint="eastAsia" w:ascii="方正黑体_GBK" w:hAnsi="方正黑体_GBK" w:eastAsia="方正黑体_GBK" w:cs="方正黑体_GBK"/>
                <w:b w:val="0"/>
                <w:bCs/>
                <w:i w:val="0"/>
                <w:color w:val="000000"/>
                <w:kern w:val="0"/>
                <w:sz w:val="32"/>
                <w:szCs w:val="32"/>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项目名称：</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重庆市荣昌区人民政府峰高街道办事处整体自评</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项目编码：</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50015300023P000070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自评总分：</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1"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项目主管部门：</w:t>
            </w:r>
          </w:p>
        </w:tc>
        <w:tc>
          <w:tcPr>
            <w:tcW w:w="182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906-重庆市荣昌区人民政府峰高街道办事处</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财政归口处室：</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002-预算科</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部门联系人：</w:t>
            </w:r>
          </w:p>
        </w:tc>
        <w:tc>
          <w:tcPr>
            <w:tcW w:w="9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苟天任</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联系电话：</w:t>
            </w: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13193136727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jc w:val="center"/>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808080"/>
                <w:sz w:val="28"/>
                <w:szCs w:val="28"/>
                <w:u w:val="none"/>
              </w:rPr>
            </w:pPr>
            <w:r>
              <w:rPr>
                <w:rFonts w:hint="eastAsia" w:ascii="微软雅黑" w:hAnsi="微软雅黑" w:eastAsia="微软雅黑" w:cs="微软雅黑"/>
                <w:b w:val="0"/>
                <w:bCs/>
                <w:i w:val="0"/>
                <w:color w:val="808080"/>
                <w:kern w:val="0"/>
                <w:sz w:val="28"/>
                <w:szCs w:val="2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val="0"/>
                <w:bCs/>
                <w:i w:val="0"/>
                <w:color w:val="000000"/>
                <w:sz w:val="22"/>
                <w:szCs w:val="22"/>
                <w:u w:val="none"/>
              </w:rPr>
            </w:pP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年初预算数</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全年（调整）预算数</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全年执行数</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执行率权重</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b w:val="0"/>
                <w:bCs/>
              </w:rPr>
            </w:pPr>
            <w:r>
              <w:rPr>
                <w:rFonts w:hint="eastAsia"/>
                <w:b w:val="0"/>
                <w:bCs/>
                <w:lang w:val="en-US" w:eastAsia="zh-CN"/>
              </w:rPr>
              <w:t>年度总金额</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44,924,160.22</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60,598,623.61 </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60,598,623.61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000000"/>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其中：财政拨款</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44,924,160.22 </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60,598,623.61 </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60,598,623.61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10.00</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20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一般公共预算</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44,600,898.54 </w:t>
            </w:r>
          </w:p>
        </w:tc>
        <w:tc>
          <w:tcPr>
            <w:tcW w:w="164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60,210,228.54 </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 xml:space="preserve">60,210,228.54 </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val="0"/>
                <w:bCs/>
                <w:i w:val="0"/>
                <w:color w:val="000000"/>
                <w:sz w:val="22"/>
                <w:szCs w:val="22"/>
                <w:u w:val="none"/>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jc w:val="center"/>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808080"/>
                <w:sz w:val="28"/>
                <w:szCs w:val="28"/>
                <w:u w:val="none"/>
              </w:rPr>
            </w:pPr>
            <w:r>
              <w:rPr>
                <w:rFonts w:hint="eastAsia" w:ascii="微软雅黑" w:hAnsi="微软雅黑" w:eastAsia="微软雅黑" w:cs="微软雅黑"/>
                <w:b w:val="0"/>
                <w:bCs/>
                <w:i w:val="0"/>
                <w:color w:val="808080"/>
                <w:kern w:val="0"/>
                <w:sz w:val="28"/>
                <w:szCs w:val="28"/>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4" w:hRule="atLeast"/>
          <w:jc w:val="center"/>
        </w:trPr>
        <w:tc>
          <w:tcPr>
            <w:tcW w:w="392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年初绩效目标</w:t>
            </w:r>
          </w:p>
        </w:tc>
        <w:tc>
          <w:tcPr>
            <w:tcW w:w="322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全年（调整）绩效目标</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2" w:hRule="atLeast"/>
          <w:jc w:val="center"/>
        </w:trPr>
        <w:tc>
          <w:tcPr>
            <w:tcW w:w="39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认真贯彻落实中央、市、区系列精神，确保完成年度工作任务目标。以创文工作为契机，持续提升我街道城市环境综合治理水平。完善文化、教育、道路、经济建设等基础设施，把峰高建设成为新的主城区。1.加强自身建设，提升行政效率标准，完善政务服务能力；2.弘扬文明新风，加大改善民生力度，推动社会和谐发展；3.突出项目引领，狠抓重要指标，确保经济又好又快增长；4.巩固创文创卫成果，提高城市管理水平，打造干净整洁的城市环境；5.保护生态环境，落实人居环境整治，打造宜居城市。</w:t>
            </w:r>
          </w:p>
        </w:tc>
        <w:tc>
          <w:tcPr>
            <w:tcW w:w="32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认真贯彻落实中央、市、区系列精神，确保完成年度工作任务目标。以创文工作为契机，持续提升我街道城市环境综合治理水平。完善文化、教育、道路、经济建设等基础设施，把峰高建设成为新的主城区。1.加强自身建设，提升行政效率标准，完善政务服务能力；2.弘扬文明新风，加大改善民生力度，推动社会和谐发展；3.突出项目引领，狠抓重要指标，确保经济又好又快增长；4.巩固创文创卫成果，提高城市管理水平，打造干净整洁的城市环境；5.保护生态环境，落实人居环境整治，打造宜居城市。</w:t>
            </w:r>
          </w:p>
        </w:tc>
        <w:tc>
          <w:tcPr>
            <w:tcW w:w="17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完成年度工作任务目标。以创文工作为契机，持续提升我街道城市环境综合治理水平。完善文化、教育、道路、经济建设等基础设施，把峰高建设成为新的主城区。1.加强了自身建设，提升行政效率标准，完善政务服务能力；2.弘扬文明新风，改善民生力度，推动社会和谐发展；3.突出项目引领，经济又好又快增长；4.巩固创文创卫成果，提高城市管理水平，打造干净整洁的城市环境；5.保护生态环境，落实人居环境整治，打造宜居城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4" w:hRule="atLeast"/>
          <w:jc w:val="center"/>
        </w:trPr>
        <w:tc>
          <w:tcPr>
            <w:tcW w:w="8884"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val="0"/>
                <w:bCs/>
                <w:i w:val="0"/>
                <w:color w:val="808080"/>
                <w:sz w:val="28"/>
                <w:szCs w:val="28"/>
                <w:u w:val="none"/>
              </w:rPr>
            </w:pPr>
            <w:r>
              <w:rPr>
                <w:rFonts w:hint="eastAsia" w:ascii="微软雅黑" w:hAnsi="微软雅黑" w:eastAsia="微软雅黑" w:cs="微软雅黑"/>
                <w:b w:val="0"/>
                <w:bCs/>
                <w:i w:val="0"/>
                <w:color w:val="808080"/>
                <w:kern w:val="0"/>
                <w:sz w:val="28"/>
                <w:szCs w:val="28"/>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3"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指标名称</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计量单位</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指标性质</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指标值</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全年完成值</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偏离度（%）</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得分系数（%）</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指标权重</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指标得分</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是否核心指标</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GDP完成率</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是</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农村公路建成规模</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公里</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12</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否</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街道城镇建设质量合格率</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否</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安全隐患处置及时率</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是</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空气质量优良率</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定性</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良</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否</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社会救助政策知晓率</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否</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水环境治理达标率</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95</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95</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否</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创建全国文明城区群众持续参与率</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98</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98</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是</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基本公共服务满意度</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是</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9" w:hRule="atLeast"/>
          <w:jc w:val="center"/>
        </w:trPr>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预算执行率</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4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11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w:t>
            </w:r>
          </w:p>
        </w:tc>
        <w:tc>
          <w:tcPr>
            <w:tcW w:w="10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4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是</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val="0"/>
                <w:bCs/>
                <w:i w:val="0"/>
                <w:color w:val="000000"/>
                <w:sz w:val="22"/>
                <w:szCs w:val="22"/>
                <w:u w:val="none"/>
              </w:rPr>
            </w:pPr>
          </w:p>
        </w:tc>
      </w:tr>
    </w:tbl>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lang w:eastAsia="zh-CN"/>
        </w:rPr>
      </w:pPr>
      <w:r>
        <w:rPr>
          <w:rFonts w:hint="eastAsia" w:ascii="方正楷体_GBK" w:hAnsi="方正楷体_GBK" w:eastAsia="方正楷体_GBK" w:cs="方正楷体_GBK"/>
          <w:b w:val="0"/>
          <w:bCs w:val="0"/>
          <w:sz w:val="32"/>
          <w:szCs w:val="32"/>
          <w:shd w:val="clear" w:color="auto" w:fill="FFFFFF"/>
        </w:rPr>
        <w:t>（二）部门绩效评价情况</w:t>
      </w:r>
      <w:r>
        <w:rPr>
          <w:rFonts w:hint="eastAsia" w:ascii="方正楷体_GBK" w:hAnsi="方正楷体_GBK" w:eastAsia="方正楷体_GBK" w:cs="方正楷体_GBK"/>
          <w:b w:val="0"/>
          <w:bCs w:val="0"/>
          <w:sz w:val="32"/>
          <w:szCs w:val="32"/>
          <w:shd w:val="clear" w:color="auto" w:fill="FFFFFF"/>
          <w:lang w:eastAsia="zh-CN"/>
        </w:rPr>
        <w:t>。</w:t>
      </w:r>
    </w:p>
    <w:p>
      <w:pPr>
        <w:keepNext w:val="0"/>
        <w:keepLines w:val="0"/>
        <w:pageBreakBefore w:val="0"/>
        <w:widowControl/>
        <w:kinsoku/>
        <w:wordWrap/>
        <w:overflowPunct/>
        <w:topLinePunct w:val="0"/>
        <w:autoSpaceDN/>
        <w:bidi w:val="0"/>
        <w:adjustRightInd/>
        <w:snapToGrid w:val="0"/>
        <w:ind w:left="0" w:leftChars="0" w:firstLine="640" w:firstLineChars="200"/>
        <w:jc w:val="both"/>
        <w:textAlignment w:val="auto"/>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我部门</w:t>
      </w:r>
      <w:r>
        <w:rPr>
          <w:rFonts w:hint="eastAsia" w:ascii="方正仿宋_GBK" w:hAnsi="方正仿宋_GBK" w:eastAsia="方正仿宋_GBK" w:cs="方正仿宋_GBK"/>
          <w:b w:val="0"/>
          <w:bCs w:val="0"/>
          <w:color w:val="auto"/>
          <w:sz w:val="32"/>
          <w:szCs w:val="32"/>
          <w:shd w:val="clear" w:color="auto" w:fill="FFFFFF"/>
        </w:rPr>
        <w:t>对</w:t>
      </w:r>
      <w:r>
        <w:rPr>
          <w:rFonts w:hint="eastAsia" w:ascii="方正仿宋_GBK" w:hAnsi="方正仿宋_GBK" w:eastAsia="方正仿宋_GBK" w:cs="方正仿宋_GBK"/>
          <w:b w:val="0"/>
          <w:bCs w:val="0"/>
          <w:sz w:val="32"/>
          <w:szCs w:val="32"/>
          <w:shd w:val="clear" w:color="auto" w:fill="FFFFFF"/>
        </w:rPr>
        <w:t>部门整体和</w:t>
      </w:r>
      <w:r>
        <w:rPr>
          <w:rFonts w:hint="eastAsia" w:ascii="方正仿宋_GBK" w:hAnsi="方正仿宋_GBK" w:eastAsia="方正仿宋_GBK" w:cs="方正仿宋_GBK"/>
          <w:b w:val="0"/>
          <w:bCs w:val="0"/>
          <w:color w:val="auto"/>
          <w:sz w:val="32"/>
          <w:szCs w:val="32"/>
          <w:shd w:val="clear" w:color="auto" w:fill="FFFFFF"/>
          <w:lang w:val="en-US" w:eastAsia="zh-CN"/>
        </w:rPr>
        <w:t>71个二级项目</w:t>
      </w:r>
      <w:r>
        <w:rPr>
          <w:rFonts w:hint="eastAsia" w:ascii="方正仿宋_GBK" w:hAnsi="方正仿宋_GBK" w:eastAsia="方正仿宋_GBK" w:cs="方正仿宋_GBK"/>
          <w:b w:val="0"/>
          <w:bCs w:val="0"/>
          <w:color w:val="auto"/>
          <w:sz w:val="32"/>
          <w:szCs w:val="32"/>
          <w:shd w:val="clear" w:color="auto" w:fill="FFFFFF"/>
        </w:rPr>
        <w:t>开展了绩效评价，涉及财政拨款项目资金</w:t>
      </w:r>
      <w:r>
        <w:rPr>
          <w:rFonts w:hint="eastAsia" w:ascii="方正仿宋_GBK" w:hAnsi="方正仿宋_GBK" w:eastAsia="方正仿宋_GBK" w:cs="方正仿宋_GBK"/>
          <w:b w:val="0"/>
          <w:bCs w:val="0"/>
          <w:color w:val="auto"/>
          <w:sz w:val="32"/>
          <w:szCs w:val="32"/>
          <w:shd w:val="clear" w:color="auto" w:fill="FFFFFF"/>
          <w:lang w:val="en-US" w:eastAsia="zh-CN"/>
        </w:rPr>
        <w:t>2967.93</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color w:val="auto"/>
          <w:kern w:val="0"/>
          <w:sz w:val="32"/>
          <w:szCs w:val="32"/>
        </w:rPr>
        <w:t>全年预算资金项目从评价情况来看，绩效自评等级为“优”的</w:t>
      </w:r>
      <w:r>
        <w:rPr>
          <w:rFonts w:hint="eastAsia" w:ascii="方正仿宋_GBK" w:hAnsi="方正仿宋_GBK" w:eastAsia="方正仿宋_GBK" w:cs="方正仿宋_GBK"/>
          <w:color w:val="auto"/>
          <w:kern w:val="0"/>
          <w:sz w:val="32"/>
          <w:szCs w:val="32"/>
          <w:lang w:val="en-US" w:eastAsia="zh-CN"/>
        </w:rPr>
        <w:t>71</w:t>
      </w:r>
      <w:r>
        <w:rPr>
          <w:rFonts w:hint="eastAsia" w:ascii="方正仿宋_GBK" w:hAnsi="方正仿宋_GBK" w:eastAsia="方正仿宋_GBK" w:cs="方正仿宋_GBK"/>
          <w:color w:val="auto"/>
          <w:kern w:val="0"/>
          <w:sz w:val="32"/>
          <w:szCs w:val="32"/>
        </w:rPr>
        <w:t>个、“良”的0个、“中”的0个、“差”的0个。202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年本</w:t>
      </w:r>
      <w:r>
        <w:rPr>
          <w:rFonts w:hint="eastAsia" w:ascii="方正仿宋_GBK" w:hAnsi="方正仿宋_GBK" w:eastAsia="方正仿宋_GBK" w:cs="方正仿宋_GBK"/>
          <w:color w:val="auto"/>
          <w:kern w:val="0"/>
          <w:sz w:val="32"/>
          <w:szCs w:val="32"/>
          <w:lang w:val="en-US" w:eastAsia="zh-CN"/>
        </w:rPr>
        <w:t>部门</w:t>
      </w:r>
      <w:r>
        <w:rPr>
          <w:rFonts w:hint="eastAsia" w:ascii="方正仿宋_GBK" w:hAnsi="方正仿宋_GBK" w:eastAsia="方正仿宋_GBK" w:cs="方正仿宋_GBK"/>
          <w:color w:val="auto"/>
          <w:kern w:val="0"/>
          <w:sz w:val="32"/>
          <w:szCs w:val="32"/>
        </w:rPr>
        <w:t>的项目预算执行严格按照财务管理制度和资金使用审批程序执行，各项资金使用规范、支付及时，较好地实现了绩效目标。</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详见附件2</w:t>
      </w:r>
      <w:r>
        <w:rPr>
          <w:rFonts w:hint="eastAsia" w:ascii="方正仿宋_GBK" w:hAnsi="方正仿宋_GBK" w:eastAsia="方正仿宋_GBK" w:cs="方正仿宋_GBK"/>
          <w:color w:val="auto"/>
          <w:kern w:val="0"/>
          <w:sz w:val="32"/>
          <w:szCs w:val="32"/>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lang w:eastAsia="zh-CN"/>
        </w:rPr>
        <w:t>财政局未委托第三方对我部门开展绩效评价。</w:t>
      </w:r>
      <w:r>
        <w:rPr>
          <w:rFonts w:hint="eastAsia" w:ascii="方正仿宋_GBK" w:hAnsi="方正仿宋_GBK" w:eastAsia="方正仿宋_GBK" w:cs="方正仿宋_GBK"/>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left="0" w:lef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专业名词解释</w:t>
      </w:r>
    </w:p>
    <w:p>
      <w:pPr>
        <w:keepNext w:val="0"/>
        <w:keepLines w:val="0"/>
        <w:pageBreakBefore w:val="0"/>
        <w:widowControl/>
        <w:numPr>
          <w:ilvl w:val="0"/>
          <w:numId w:val="0"/>
        </w:numPr>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财政拨款收入：</w:t>
      </w:r>
      <w:r>
        <w:rPr>
          <w:rFonts w:hint="eastAsia" w:ascii="方正仿宋_GBK" w:hAnsi="方正仿宋_GBK" w:eastAsia="方正仿宋_GBK" w:cs="方正仿宋_GBK"/>
          <w:color w:val="auto"/>
          <w:sz w:val="32"/>
          <w:szCs w:val="32"/>
        </w:rPr>
        <w:t>指本年度从本级财政部门取得的财政拨款，包括一般公共预算财政拨款和政府性基金预算财政拨款</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事业收入：</w:t>
      </w:r>
      <w:r>
        <w:rPr>
          <w:rFonts w:hint="eastAsia" w:ascii="方正仿宋_GBK" w:hAnsi="方正仿宋_GBK" w:eastAsia="方正仿宋_GBK" w:cs="方正仿宋_GBK"/>
          <w:color w:val="auto"/>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（三）经营收入：</w:t>
      </w:r>
      <w:r>
        <w:rPr>
          <w:rFonts w:hint="eastAsia" w:ascii="方正仿宋_GBK" w:hAnsi="方正仿宋_GBK" w:eastAsia="方正仿宋_GBK" w:cs="方正仿宋_GBK"/>
          <w:color w:val="auto"/>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（四）其他收入：</w:t>
      </w:r>
      <w:r>
        <w:rPr>
          <w:rFonts w:hint="eastAsia" w:ascii="方正仿宋_GBK" w:hAnsi="方正仿宋_GBK" w:eastAsia="方正仿宋_GBK" w:cs="方正仿宋_GBK"/>
          <w:color w:val="auto"/>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（五）使用非财政拨款结余：</w:t>
      </w:r>
      <w:r>
        <w:rPr>
          <w:rFonts w:hint="eastAsia" w:ascii="方正仿宋_GBK" w:hAnsi="方正仿宋_GBK" w:eastAsia="方正仿宋_GBK" w:cs="方正仿宋_GBK"/>
          <w:color w:val="auto"/>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（六）年初结转和结余：</w:t>
      </w:r>
      <w:r>
        <w:rPr>
          <w:rFonts w:hint="eastAsia" w:ascii="方正仿宋_GBK" w:hAnsi="方正仿宋_GBK" w:eastAsia="方正仿宋_GBK" w:cs="方正仿宋_GBK"/>
          <w:color w:val="auto"/>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（七）结余分配：</w:t>
      </w:r>
      <w:r>
        <w:rPr>
          <w:rFonts w:hint="eastAsia" w:ascii="方正仿宋_GBK" w:hAnsi="方正仿宋_GBK" w:eastAsia="方正仿宋_GBK" w:cs="方正仿宋_GBK"/>
          <w:color w:val="auto"/>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（八）年末结转和结余：</w:t>
      </w:r>
      <w:r>
        <w:rPr>
          <w:rFonts w:hint="eastAsia" w:ascii="方正仿宋_GBK" w:hAnsi="方正仿宋_GBK" w:eastAsia="方正仿宋_GBK" w:cs="方正仿宋_GBK"/>
          <w:color w:val="auto"/>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（九）基本支出：</w:t>
      </w:r>
      <w:r>
        <w:rPr>
          <w:rFonts w:hint="eastAsia" w:ascii="方正仿宋_GBK" w:hAnsi="方正仿宋_GBK" w:eastAsia="方正仿宋_GBK" w:cs="方正仿宋_GBK"/>
          <w:color w:val="auto"/>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（十）项目支出：</w:t>
      </w:r>
      <w:r>
        <w:rPr>
          <w:rFonts w:hint="eastAsia" w:ascii="方正仿宋_GBK" w:hAnsi="方正仿宋_GBK" w:eastAsia="方正仿宋_GBK" w:cs="方正仿宋_GBK"/>
          <w:color w:val="auto"/>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（十一）经营支出：</w:t>
      </w:r>
      <w:r>
        <w:rPr>
          <w:rFonts w:hint="eastAsia" w:ascii="方正仿宋_GBK" w:hAnsi="方正仿宋_GBK" w:eastAsia="方正仿宋_GBK" w:cs="方正仿宋_GBK"/>
          <w:color w:val="auto"/>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（十二）“三公”经费：</w:t>
      </w:r>
      <w:r>
        <w:rPr>
          <w:rFonts w:hint="eastAsia" w:ascii="方正仿宋_GBK" w:hAnsi="方正仿宋_GBK" w:eastAsia="方正仿宋_GBK" w:cs="方正仿宋_GBK"/>
          <w:color w:val="auto"/>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（十三）机关运行经费：</w:t>
      </w:r>
      <w:r>
        <w:rPr>
          <w:rFonts w:hint="eastAsia" w:ascii="方正仿宋_GBK" w:hAnsi="方正仿宋_GBK" w:eastAsia="方正仿宋_GBK" w:cs="方正仿宋_GBK"/>
          <w:color w:val="auto"/>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（十四）工资福利支出（支出经济分类科目类级）：</w:t>
      </w:r>
      <w:r>
        <w:rPr>
          <w:rFonts w:hint="eastAsia" w:ascii="方正仿宋_GBK" w:hAnsi="方正仿宋_GBK" w:eastAsia="方正仿宋_GBK" w:cs="方正仿宋_GBK"/>
          <w:color w:val="auto"/>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（十五）商品和服务支出（支出经济分类科目类级）：</w:t>
      </w:r>
      <w:r>
        <w:rPr>
          <w:rFonts w:hint="eastAsia" w:ascii="方正仿宋_GBK" w:hAnsi="方正仿宋_GBK" w:eastAsia="方正仿宋_GBK" w:cs="方正仿宋_GBK"/>
          <w:color w:val="auto"/>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（十六）对个人和家庭的补助（支出经济分类科目类级）：</w:t>
      </w:r>
      <w:r>
        <w:rPr>
          <w:rFonts w:hint="eastAsia" w:ascii="方正仿宋_GBK" w:hAnsi="方正仿宋_GBK" w:eastAsia="方正仿宋_GBK" w:cs="方正仿宋_GBK"/>
          <w:color w:val="auto"/>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（十七）其他资本性支出（支出经济分类科目类级）：</w:t>
      </w:r>
      <w:r>
        <w:rPr>
          <w:rFonts w:hint="eastAsia" w:ascii="方正仿宋_GBK" w:hAnsi="方正仿宋_GBK" w:eastAsia="方正仿宋_GBK" w:cs="方正仿宋_GBK"/>
          <w:color w:val="auto"/>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部门</w:t>
      </w:r>
      <w:r>
        <w:rPr>
          <w:rFonts w:hint="eastAsia" w:ascii="方正仿宋_GBK" w:hAnsi="方正仿宋_GBK" w:eastAsia="方正仿宋_GBK" w:cs="方正仿宋_GBK"/>
          <w:color w:val="auto"/>
          <w:sz w:val="32"/>
          <w:szCs w:val="32"/>
        </w:rPr>
        <w:t>决算公开信息反馈和联系方式：</w:t>
      </w:r>
      <w:r>
        <w:rPr>
          <w:rFonts w:hint="eastAsia" w:ascii="方正仿宋_GBK" w:hAnsi="方正仿宋_GBK" w:eastAsia="方正仿宋_GBK" w:cs="方正仿宋_GBK"/>
          <w:color w:val="auto"/>
          <w:sz w:val="32"/>
          <w:szCs w:val="32"/>
          <w:lang w:val="en-US" w:eastAsia="zh-CN"/>
        </w:rPr>
        <w:t>张莲</w:t>
      </w:r>
      <w:r>
        <w:rPr>
          <w:rFonts w:hint="eastAsia" w:ascii="方正仿宋_GBK" w:hAnsi="方正仿宋_GBK" w:eastAsia="方正仿宋_GBK" w:cs="方正仿宋_GBK"/>
          <w:color w:val="auto"/>
          <w:sz w:val="32"/>
          <w:szCs w:val="32"/>
        </w:rPr>
        <w:t>，023-</w:t>
      </w:r>
      <w:r>
        <w:rPr>
          <w:rFonts w:hint="eastAsia" w:ascii="方正仿宋_GBK" w:hAnsi="方正仿宋_GBK" w:eastAsia="方正仿宋_GBK" w:cs="方正仿宋_GBK"/>
          <w:color w:val="auto"/>
          <w:sz w:val="32"/>
          <w:szCs w:val="32"/>
          <w:lang w:val="en-US" w:eastAsia="zh-CN"/>
        </w:rPr>
        <w:t>46212076</w:t>
      </w:r>
    </w:p>
    <w:p>
      <w:pPr>
        <w:keepNext w:val="0"/>
        <w:keepLines w:val="0"/>
        <w:pageBreakBefore w:val="0"/>
        <w:widowControl/>
        <w:kinsoku/>
        <w:wordWrap/>
        <w:overflowPunct/>
        <w:topLinePunct w:val="0"/>
        <w:autoSpaceDE/>
        <w:autoSpaceDN/>
        <w:bidi w:val="0"/>
        <w:adjustRightInd/>
        <w:snapToGrid w:val="0"/>
        <w:ind w:left="0"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ind w:left="1598" w:leftChars="266" w:hanging="960" w:hangingChars="3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附件：1.重庆市荣昌区人民政府峰高街道办事处2023年度部门决算公开报表</w:t>
      </w:r>
    </w:p>
    <w:p>
      <w:pPr>
        <w:keepNext w:val="0"/>
        <w:keepLines w:val="0"/>
        <w:pageBreakBefore w:val="0"/>
        <w:widowControl/>
        <w:kinsoku/>
        <w:wordWrap/>
        <w:overflowPunct/>
        <w:topLinePunct w:val="0"/>
        <w:autoSpaceDE/>
        <w:autoSpaceDN/>
        <w:bidi w:val="0"/>
        <w:adjustRightInd/>
        <w:snapToGrid w:val="0"/>
        <w:ind w:left="1596" w:leftChars="665" w:firstLine="0" w:firstLineChars="0"/>
        <w:jc w:val="both"/>
        <w:textAlignment w:val="auto"/>
        <w:rPr>
          <w:rStyle w:val="10"/>
          <w:rFonts w:hint="eastAsia" w:ascii="方正仿宋_GBK" w:hAnsi="方正仿宋_GBK" w:eastAsia="方正仿宋_GBK" w:cs="方正仿宋_GBK"/>
          <w:b w:val="0"/>
          <w:bCs w:val="0"/>
          <w:sz w:val="32"/>
          <w:szCs w:val="32"/>
          <w:shd w:val="clear" w:color="auto" w:fill="FFFF00"/>
        </w:rPr>
        <w:sectPr>
          <w:footerReference r:id="rId3" w:type="default"/>
          <w:pgSz w:w="11915" w:h="16840"/>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方正仿宋_GBK" w:hAnsi="方正仿宋_GBK" w:eastAsia="方正仿宋_GBK" w:cs="方正仿宋_GBK"/>
          <w:color w:val="auto"/>
          <w:sz w:val="32"/>
          <w:szCs w:val="32"/>
          <w:lang w:val="en-US" w:eastAsia="zh-CN"/>
        </w:rPr>
        <w:t>2.重庆市荣昌区人民政府峰高街道办事处2023年度项目绩效自评表</w:t>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242"/>
        <w:gridCol w:w="1245"/>
        <w:gridCol w:w="2970"/>
        <w:gridCol w:w="1419"/>
      </w:tblGrid>
      <w:tr>
        <w:tblPrEx>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4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297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745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w:t>
            </w:r>
            <w:r>
              <w:rPr>
                <w:rFonts w:hint="eastAsia" w:cs="宋体"/>
                <w:sz w:val="20"/>
                <w:szCs w:val="20"/>
                <w:lang w:val="en-US" w:eastAsia="zh-CN"/>
              </w:rPr>
              <w:t>部门</w:t>
            </w:r>
            <w:r>
              <w:rPr>
                <w:rFonts w:cs="宋体"/>
                <w:sz w:val="20"/>
                <w:szCs w:val="20"/>
              </w:rPr>
              <w:t>：</w:t>
            </w:r>
            <w:r>
              <w:rPr>
                <w:sz w:val="20"/>
                <w:u w:color="auto"/>
              </w:rPr>
              <w:t>重庆市荣昌区人民政府峰高街道办事处</w:t>
            </w: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38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5,973.17</w:t>
            </w: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1,508.55</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38.84</w:t>
            </w: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71.74</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4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789.39</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125.70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1,236.33</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1,850.57</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306.44</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102.33</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6,012.01</w:t>
            </w: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6,059.86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47.86</w:t>
            </w: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419"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6,059.86</w:t>
            </w:r>
            <w:r>
              <w:rPr>
                <w:color w:val="000000"/>
                <w:sz w:val="20"/>
                <w:u w:color="auto"/>
              </w:rPr>
              <w:t xml:space="preserve"> </w:t>
            </w:r>
          </w:p>
        </w:tc>
        <w:tc>
          <w:tcPr>
            <w:tcW w:w="29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6,059.86</w:t>
            </w:r>
            <w:r>
              <w:rPr>
                <w:color w:val="000000"/>
                <w:sz w:val="20"/>
                <w:u w:color="auto"/>
              </w:rPr>
              <w:t xml:space="preserve"> </w:t>
            </w:r>
          </w:p>
        </w:tc>
      </w:tr>
    </w:tbl>
    <w:p>
      <w:pPr>
        <w:rPr>
          <w:rFonts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hint="default" w:cs="宋体"/>
          <w:sz w:val="20"/>
          <w:szCs w:val="20"/>
        </w:rPr>
      </w:pPr>
    </w:p>
    <w:p>
      <w:pPr>
        <w:spacing w:line="240" w:lineRule="exact"/>
        <w:rPr>
          <w:rFonts w:hint="default" w:cs="宋体"/>
          <w:sz w:val="20"/>
          <w:szCs w:val="20"/>
        </w:rPr>
      </w:pPr>
      <w:r>
        <w:rPr>
          <w:rFonts w:cs="宋体"/>
          <w:sz w:val="20"/>
          <w:szCs w:val="20"/>
        </w:rPr>
        <w:br w:type="textWrapping"/>
      </w:r>
    </w:p>
    <w:tbl>
      <w:tblPr>
        <w:tblStyle w:val="7"/>
        <w:tblW w:w="8819" w:type="dxa"/>
        <w:tblInd w:w="0" w:type="dxa"/>
        <w:shd w:val="clear" w:color="auto" w:fill="FFFFFF" w:themeFill="background1"/>
        <w:tblLayout w:type="fixed"/>
        <w:tblCellMar>
          <w:top w:w="0" w:type="dxa"/>
          <w:left w:w="0" w:type="dxa"/>
          <w:bottom w:w="0" w:type="dxa"/>
          <w:right w:w="0" w:type="dxa"/>
        </w:tblCellMar>
      </w:tblPr>
      <w:tblGrid>
        <w:gridCol w:w="918"/>
        <w:gridCol w:w="3675"/>
        <w:gridCol w:w="945"/>
        <w:gridCol w:w="990"/>
        <w:gridCol w:w="240"/>
        <w:gridCol w:w="255"/>
        <w:gridCol w:w="735"/>
        <w:gridCol w:w="330"/>
        <w:gridCol w:w="491"/>
        <w:gridCol w:w="240"/>
      </w:tblGrid>
      <w:tr>
        <w:tblPrEx>
          <w:shd w:val="clear" w:color="auto" w:fill="FFFFFF" w:themeFill="background1"/>
          <w:tblLayout w:type="fixed"/>
          <w:tblCellMar>
            <w:top w:w="0" w:type="dxa"/>
            <w:left w:w="0" w:type="dxa"/>
            <w:bottom w:w="0" w:type="dxa"/>
            <w:right w:w="0" w:type="dxa"/>
          </w:tblCellMar>
        </w:tblPrEx>
        <w:trPr>
          <w:trHeight w:val="641" w:hRule="atLeast"/>
        </w:trPr>
        <w:tc>
          <w:tcPr>
            <w:tcW w:w="8819"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593"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公开部门：重庆市荣昌区人民政府峰高街道办事处</w:t>
            </w:r>
          </w:p>
        </w:tc>
        <w:tc>
          <w:tcPr>
            <w:tcW w:w="94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9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91"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593"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4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3281" w:type="dxa"/>
            <w:gridSpan w:val="7"/>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46" w:hRule="atLeast"/>
        </w:trPr>
        <w:tc>
          <w:tcPr>
            <w:tcW w:w="4593"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45" w:type="dxa"/>
            <w:vMerge w:val="restart"/>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99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24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90"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33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91"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240"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shd w:val="clear" w:color="auto" w:fill="FFFFFF" w:themeFill="background1"/>
          <w:tblLayout w:type="fixed"/>
          <w:tblCellMar>
            <w:top w:w="0" w:type="dxa"/>
            <w:left w:w="0" w:type="dxa"/>
            <w:bottom w:w="0" w:type="dxa"/>
            <w:right w:w="0" w:type="dxa"/>
          </w:tblCellMar>
        </w:tblPrEx>
        <w:trPr>
          <w:trHeight w:val="145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75" w:type="dxa"/>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45" w:type="dxa"/>
            <w:vMerge w:val="continue"/>
            <w:tcBorders>
              <w:top w:val="single" w:color="000000" w:sz="4" w:space="0"/>
              <w:left w:val="single" w:color="000000" w:sz="4" w:space="0"/>
              <w:bottom w:val="single" w:color="000000" w:sz="4" w:space="0"/>
              <w:right w:val="single" w:color="auto"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5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33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91"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0"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158" w:hRule="atLeast"/>
        </w:trPr>
        <w:tc>
          <w:tcPr>
            <w:tcW w:w="459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45"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6,012.01</w:t>
            </w:r>
            <w:r>
              <w:rPr>
                <w:b/>
                <w:color w:val="000000"/>
                <w:sz w:val="20"/>
                <w:u w:color="auto"/>
              </w:rPr>
              <w:t xml:space="preserve"> </w:t>
            </w:r>
          </w:p>
        </w:tc>
        <w:tc>
          <w:tcPr>
            <w:tcW w:w="9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6,012.01</w:t>
            </w:r>
            <w:r>
              <w:rPr>
                <w:b/>
                <w:color w:val="000000"/>
                <w:sz w:val="20"/>
                <w:u w:color="auto"/>
              </w:rPr>
              <w:t xml:space="preserve"> </w:t>
            </w:r>
          </w:p>
        </w:tc>
        <w:tc>
          <w:tcPr>
            <w:tcW w:w="24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5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9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4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10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1,508.55</w:t>
            </w:r>
            <w:r>
              <w:rPr>
                <w:b/>
                <w:color w:val="000000"/>
                <w:sz w:val="20"/>
                <w:u w:color="auto"/>
              </w:rPr>
              <w:t xml:space="preserve"> </w:t>
            </w:r>
          </w:p>
        </w:tc>
        <w:tc>
          <w:tcPr>
            <w:tcW w:w="99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1,508.55</w:t>
            </w:r>
            <w:r>
              <w:rPr>
                <w:b/>
                <w:color w:val="000000"/>
                <w:sz w:val="20"/>
                <w:u w:color="auto"/>
              </w:rPr>
              <w:t xml:space="preserve"> </w:t>
            </w:r>
          </w:p>
        </w:tc>
        <w:tc>
          <w:tcPr>
            <w:tcW w:w="24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auto"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8.69</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8.69</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1,433.53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1,433.53</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917.42</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917.42</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282.64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282.64</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193.47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193.47</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0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0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0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其他国防动员支出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0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3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71.74</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71.74</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69.14</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3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789.39</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789.39</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91.66</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91.66</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91.66</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546.76</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546.76</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176.86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176.86</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173.01</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196.89</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196.89</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6"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6"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36.37</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36.37</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61"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9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1"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6"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6"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36.09</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36.09</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6"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36.09</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36.09</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54.28</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125.70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125.70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124.29</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124.29</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47.26</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3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31.33</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31.33</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1,236.33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1,236.33</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330.65</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330.65</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330.65</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330.65</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777.20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777.20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777.20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777.20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100.52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100.52</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100.52</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100.52</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27.96</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1,818.61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1,818.61</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733.58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733.58</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651.53</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651.53</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21.37</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3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36.29</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36.29</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294.88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294.88</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292.88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292.88</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6"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0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农村水利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746.24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746.24</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3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296.24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296.24</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306.44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306.44</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127.60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127.60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178.84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178.84</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178.84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178.84</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102.33</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3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102.33</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102.33</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102.33</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9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38"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3"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18"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9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9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8819" w:type="dxa"/>
        <w:tblInd w:w="0" w:type="dxa"/>
        <w:shd w:val="clear" w:color="auto" w:fill="FFFFFF" w:themeFill="background1"/>
        <w:tblLayout w:type="fixed"/>
        <w:tblCellMar>
          <w:top w:w="0" w:type="dxa"/>
          <w:left w:w="0" w:type="dxa"/>
          <w:bottom w:w="0" w:type="dxa"/>
          <w:right w:w="0" w:type="dxa"/>
        </w:tblCellMar>
      </w:tblPr>
      <w:tblGrid>
        <w:gridCol w:w="873"/>
        <w:gridCol w:w="3645"/>
        <w:gridCol w:w="960"/>
        <w:gridCol w:w="990"/>
        <w:gridCol w:w="960"/>
        <w:gridCol w:w="480"/>
        <w:gridCol w:w="405"/>
        <w:gridCol w:w="506"/>
      </w:tblGrid>
      <w:tr>
        <w:tblPrEx>
          <w:shd w:val="clear" w:color="auto" w:fill="FFFFFF" w:themeFill="background1"/>
          <w:tblLayout w:type="fixed"/>
          <w:tblCellMar>
            <w:top w:w="0" w:type="dxa"/>
            <w:left w:w="0" w:type="dxa"/>
            <w:bottom w:w="0" w:type="dxa"/>
            <w:right w:w="0" w:type="dxa"/>
          </w:tblCellMar>
        </w:tblPrEx>
        <w:trPr>
          <w:trHeight w:val="654" w:hRule="atLeast"/>
        </w:trPr>
        <w:tc>
          <w:tcPr>
            <w:tcW w:w="8819"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4518"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重庆市荣昌区人民政府峰高街道办事处 </w:t>
            </w:r>
          </w:p>
        </w:tc>
        <w:tc>
          <w:tcPr>
            <w:tcW w:w="96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9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391"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4518"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6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9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351"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07" w:hRule="atLeast"/>
        </w:trPr>
        <w:tc>
          <w:tcPr>
            <w:tcW w:w="451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873"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45"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873"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45"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873"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45"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873"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45"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0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57" w:hRule="atLeast"/>
        </w:trPr>
        <w:tc>
          <w:tcPr>
            <w:tcW w:w="4518"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6,059.86</w:t>
            </w:r>
            <w:r>
              <w:rPr>
                <w:b/>
                <w:color w:val="000000"/>
                <w:sz w:val="20"/>
                <w:u w:color="auto"/>
              </w:rPr>
              <w:t xml:space="preserve"> </w:t>
            </w:r>
          </w:p>
        </w:tc>
        <w:tc>
          <w:tcPr>
            <w:tcW w:w="9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3,091.94</w:t>
            </w:r>
            <w:r>
              <w:rPr>
                <w:b/>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2,967.93</w:t>
            </w:r>
            <w:r>
              <w:rPr>
                <w:b/>
                <w:color w:val="000000"/>
                <w:sz w:val="20"/>
                <w:u w:color="auto"/>
              </w:rPr>
              <w:t xml:space="preserve"> </w:t>
            </w:r>
          </w:p>
        </w:tc>
        <w:tc>
          <w:tcPr>
            <w:tcW w:w="4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0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1,508.55</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1,110.89</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397.65</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8.69</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8.69</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1,433.53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1,110.89</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322.64</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917.42</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917.42</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282.64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282.64</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193.47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193.47</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6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其他国防动员支出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10.42</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10.70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10.42</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0.28</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10.70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10.42</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71.74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69.14</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69.14</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789.39</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692.69</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96.70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91.66</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91.66</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91.66</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546.76</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546.76</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176.86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176.86</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173.01</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196.89</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196.89</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36.37</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36.37</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36.09</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36.09</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36.09</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36.09</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54.28</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54.28</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125.70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124.29</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124.29</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124.29</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47.26</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31.33</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31.33</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21.92</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1,236.33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330.65</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905.68</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330.65</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330.65</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330.65</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330.65</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777.20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777.20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777.20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777.20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100.52</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100.52</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100.52</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100.52</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27.96</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1,850.57</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1,199.03</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733.58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651.53</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82.04</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651.53</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651.53</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21.37</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21.37</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36.29</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36.29</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318.84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318.84</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292.88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292.88</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农村水利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746.24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746.24</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296.24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296.24</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306.44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306.44</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127.60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127.60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178.84</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178.84</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178.84</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178.84</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4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102.33</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102.33</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102.33</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102.33</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102.33</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2" w:hRule="atLeast"/>
        </w:trPr>
        <w:tc>
          <w:tcPr>
            <w:tcW w:w="87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4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0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p>
      <w:pPr>
        <w:rPr>
          <w:rFonts w:cs="宋体"/>
          <w:sz w:val="21"/>
          <w:szCs w:val="21"/>
        </w:rPr>
      </w:pPr>
    </w:p>
    <w:tbl>
      <w:tblPr>
        <w:tblStyle w:val="7"/>
        <w:tblW w:w="9287" w:type="dxa"/>
        <w:jc w:val="center"/>
        <w:tblInd w:w="0" w:type="dxa"/>
        <w:shd w:val="clear" w:color="auto" w:fill="FFFFFF" w:themeFill="background1"/>
        <w:tblLayout w:type="fixed"/>
        <w:tblCellMar>
          <w:top w:w="0" w:type="dxa"/>
          <w:left w:w="0" w:type="dxa"/>
          <w:bottom w:w="0" w:type="dxa"/>
          <w:right w:w="0" w:type="dxa"/>
        </w:tblCellMar>
      </w:tblPr>
      <w:tblGrid>
        <w:gridCol w:w="2552"/>
        <w:gridCol w:w="870"/>
        <w:gridCol w:w="2655"/>
        <w:gridCol w:w="930"/>
        <w:gridCol w:w="915"/>
        <w:gridCol w:w="705"/>
        <w:gridCol w:w="660"/>
      </w:tblGrid>
      <w:tr>
        <w:tblPrEx>
          <w:tblLayout w:type="fixed"/>
          <w:tblCellMar>
            <w:top w:w="0" w:type="dxa"/>
            <w:left w:w="0" w:type="dxa"/>
            <w:bottom w:w="0" w:type="dxa"/>
            <w:right w:w="0" w:type="dxa"/>
          </w:tblCellMar>
        </w:tblPrEx>
        <w:trPr>
          <w:trHeight w:val="400" w:hRule="atLeast"/>
          <w:jc w:val="center"/>
        </w:trPr>
        <w:tc>
          <w:tcPr>
            <w:tcW w:w="9287"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246" w:hRule="atLeast"/>
          <w:jc w:val="center"/>
        </w:trPr>
        <w:tc>
          <w:tcPr>
            <w:tcW w:w="6077"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重庆市荣昌区人民政府峰高街道办事处</w:t>
            </w:r>
          </w:p>
        </w:tc>
        <w:tc>
          <w:tcPr>
            <w:tcW w:w="93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65"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FFFFFF" w:themeFill="background1"/>
          <w:tblLayout w:type="fixed"/>
          <w:tblCellMar>
            <w:top w:w="0" w:type="dxa"/>
            <w:left w:w="0" w:type="dxa"/>
            <w:bottom w:w="0" w:type="dxa"/>
            <w:right w:w="0" w:type="dxa"/>
          </w:tblCellMar>
        </w:tblPrEx>
        <w:trPr>
          <w:trHeight w:val="284" w:hRule="atLeast"/>
          <w:jc w:val="center"/>
        </w:trPr>
        <w:tc>
          <w:tcPr>
            <w:tcW w:w="6077"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3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65"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8"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收     入</w:t>
            </w:r>
          </w:p>
        </w:tc>
        <w:tc>
          <w:tcPr>
            <w:tcW w:w="586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228" w:hRule="atLeast"/>
          <w:jc w:val="center"/>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项目</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c>
          <w:tcPr>
            <w:tcW w:w="265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功能分类科目</w:t>
            </w:r>
          </w:p>
        </w:tc>
        <w:tc>
          <w:tcPr>
            <w:tcW w:w="3210"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410" w:hRule="atLeast"/>
          <w:jc w:val="center"/>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265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FFFFFF" w:themeFill="background1"/>
          <w:tblLayout w:type="fixed"/>
          <w:tblCellMar>
            <w:top w:w="0" w:type="dxa"/>
            <w:left w:w="0" w:type="dxa"/>
            <w:bottom w:w="0" w:type="dxa"/>
            <w:right w:w="0" w:type="dxa"/>
          </w:tblCellMar>
        </w:tblPrEx>
        <w:trPr>
          <w:trHeight w:val="260"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5,973.17</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一、一般公共服务支出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1,508.55</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1,508.55</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二、政府性基金预算财政拨款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38.84</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二、外交支出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70"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三、国有资本经营预算财政拨款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三、国防支出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四、公共安全支出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五、教育支出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15.70</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六、科学技术支出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8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七、文化旅游体育与传媒支出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71.74</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71.74</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6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八、社会保障和就业支出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789.39</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789.39</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7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九、卫生健康支出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125.70</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125.70</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十、节能环保支出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21.92</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21.92</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75"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十一、城乡社区支出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1,236.33</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1,208.37</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27.96</w:t>
            </w: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十二、农林水支出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1,850.57</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1,850.57</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十三、交通运输支出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306.44</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306.44</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十四、资源勘探工业信息等支出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十五、商业服务业等支出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十六、金融支出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6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十七、援助其他地区支出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十八、自然资源海洋气象等支出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十九、住房保障支出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102.33</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102.33</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二十、粮油物资储备支出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二十一、国有资本经营预算支出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二十二、灾害防治及应急管理支出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二十三、其他支出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10.88</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10.88</w:t>
            </w: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二十四、债务还本支出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二十五、债务付息支出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二十六、抗疫特别国债安排的支出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410"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本年收入合计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6,012.01</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本年支出合计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6,059.86</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6,021.02</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38.84</w:t>
            </w: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9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年初财政拨款结转和结余</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47.86</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年末财政拨款结转和结余</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一般公共预算财政拨款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47.86</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政府性基金预算财政拨款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5"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国有资本经营预算财政拨款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9"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6,059.86</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6,059.86</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6,021.02</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38.84</w:t>
            </w: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19" w:type="dxa"/>
        <w:tblInd w:w="0" w:type="dxa"/>
        <w:shd w:val="clear" w:color="auto" w:fill="FFFFFF" w:themeFill="background1"/>
        <w:tblLayout w:type="fixed"/>
        <w:tblCellMar>
          <w:top w:w="0" w:type="dxa"/>
          <w:left w:w="0" w:type="dxa"/>
          <w:bottom w:w="0" w:type="dxa"/>
          <w:right w:w="0" w:type="dxa"/>
        </w:tblCellMar>
      </w:tblPr>
      <w:tblGrid>
        <w:gridCol w:w="933"/>
        <w:gridCol w:w="3690"/>
        <w:gridCol w:w="1398"/>
        <w:gridCol w:w="537"/>
        <w:gridCol w:w="861"/>
        <w:gridCol w:w="399"/>
        <w:gridCol w:w="1001"/>
      </w:tblGrid>
      <w:tr>
        <w:tblPrEx>
          <w:tblLayout w:type="fixed"/>
          <w:tblCellMar>
            <w:top w:w="0" w:type="dxa"/>
            <w:left w:w="0" w:type="dxa"/>
            <w:bottom w:w="0" w:type="dxa"/>
            <w:right w:w="0" w:type="dxa"/>
          </w:tblCellMar>
        </w:tblPrEx>
        <w:trPr>
          <w:trHeight w:val="510" w:hRule="atLeast"/>
        </w:trPr>
        <w:tc>
          <w:tcPr>
            <w:tcW w:w="8819"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4623"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重庆市荣昌区人民政府峰高街道办事处</w:t>
            </w:r>
          </w:p>
        </w:tc>
        <w:tc>
          <w:tcPr>
            <w:tcW w:w="1935"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60"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01"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4623"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35"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60"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01"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256" w:hRule="atLeast"/>
        </w:trPr>
        <w:tc>
          <w:tcPr>
            <w:tcW w:w="462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196"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93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9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39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98"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0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93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9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39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398"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0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93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9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39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398"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0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90" w:hRule="atLeast"/>
        </w:trPr>
        <w:tc>
          <w:tcPr>
            <w:tcW w:w="4623"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6,021.02</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3,091.94</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2,929.09</w:t>
            </w:r>
            <w:r>
              <w:rPr>
                <w:b/>
                <w:color w:val="000000"/>
                <w:sz w:val="20"/>
                <w:u w:color="auto"/>
              </w:rPr>
              <w:t xml:space="preserve"> </w:t>
            </w:r>
          </w:p>
        </w:tc>
      </w:tr>
      <w:tr>
        <w:tblPrEx>
          <w:tblLayout w:type="fixed"/>
          <w:tblCellMar>
            <w:top w:w="0" w:type="dxa"/>
            <w:left w:w="0" w:type="dxa"/>
            <w:bottom w:w="0" w:type="dxa"/>
            <w:right w:w="0" w:type="dxa"/>
          </w:tblCellMar>
        </w:tblPrEx>
        <w:trPr>
          <w:trHeight w:val="146"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1,508.55</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1,110.89</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397.65</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6"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29.82</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29.82</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8.69</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u w:color="auto"/>
              </w:rPr>
              <w:t xml:space="preserve"> </w:t>
            </w:r>
          </w:p>
        </w:tc>
      </w:tr>
      <w:tr>
        <w:tblPrEx>
          <w:tblLayout w:type="fixed"/>
          <w:tblCellMar>
            <w:top w:w="0" w:type="dxa"/>
            <w:left w:w="0" w:type="dxa"/>
            <w:bottom w:w="0" w:type="dxa"/>
            <w:right w:w="0" w:type="dxa"/>
          </w:tblCellMar>
        </w:tblPrEx>
        <w:trPr>
          <w:trHeight w:val="176"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1,433.53</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1,110.89</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322.64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917.42</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917.42</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282.64</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282.64</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2010350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193.47</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193.47</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28.06</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28.06</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28.06</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28.06</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17.13</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17.13</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16.27</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其他国防动员支出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0.61</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10.42</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10.70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10.42</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0.28</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10.70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10.42</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71.74</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69.14</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71.74</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69.14</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69.14</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69.14</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789.39</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692.69</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96.70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91.66</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91.66</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91.66</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91.66</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546.76</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546.76</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176.86</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176.86</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173.01</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173.01</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196.89</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196.89</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36.37</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36.37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20.37</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20.37</w:t>
            </w:r>
            <w:r>
              <w:rPr>
                <w:color w:val="000000"/>
                <w:sz w:val="20"/>
                <w:u w:color="auto"/>
              </w:rPr>
              <w:t xml:space="preserve"> </w:t>
            </w:r>
          </w:p>
        </w:tc>
      </w:tr>
      <w:tr>
        <w:tblPrEx>
          <w:tblLayout w:type="fixed"/>
          <w:tblCellMar>
            <w:top w:w="0" w:type="dxa"/>
            <w:left w:w="0" w:type="dxa"/>
            <w:bottom w:w="0" w:type="dxa"/>
            <w:right w:w="0" w:type="dxa"/>
          </w:tblCellMar>
        </w:tblPrEx>
        <w:trPr>
          <w:trHeight w:val="176"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7.08</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7.08</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36.09</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36.09</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36.09</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54.28</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54.28</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54.28</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54.28</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125.70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124.29</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124.29</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124.29</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32.36</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32.36</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47.26</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47.26</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13.34</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13.34</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31.33</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31.33</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21.92</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1,208.37</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330.65</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330.65</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330.65</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330.65</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330.65</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777.20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777.20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777.20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777.20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100.52</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100.52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100.52</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100.52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1,850.57</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651.53</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1,199.03</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733.58</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651.53</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651.53</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651.53</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21.37</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21.37</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20.38</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20.38</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36.29</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36.29</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318.84</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318.84</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292.88</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农村水利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746.24</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296.24</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296.24</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306.44</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306.44</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127.60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127.60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108.40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178.84</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178.84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178.84</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102.33</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102.33</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102.33</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102.33</w:t>
            </w:r>
            <w:r>
              <w:rPr>
                <w:b/>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102.33</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102.33</w:t>
            </w: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3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39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3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tbl>
      <w:tblPr>
        <w:tblStyle w:val="7"/>
        <w:tblW w:w="10607" w:type="dxa"/>
        <w:jc w:val="center"/>
        <w:tblInd w:w="-56" w:type="dxa"/>
        <w:shd w:val="clear" w:color="auto" w:fill="FFFFFF" w:themeFill="background1"/>
        <w:tblLayout w:type="fixed"/>
        <w:tblCellMar>
          <w:top w:w="0" w:type="dxa"/>
          <w:left w:w="0" w:type="dxa"/>
          <w:bottom w:w="0" w:type="dxa"/>
          <w:right w:w="0" w:type="dxa"/>
        </w:tblCellMar>
      </w:tblPr>
      <w:tblGrid>
        <w:gridCol w:w="797"/>
        <w:gridCol w:w="1950"/>
        <w:gridCol w:w="930"/>
        <w:gridCol w:w="658"/>
        <w:gridCol w:w="1995"/>
        <w:gridCol w:w="684"/>
        <w:gridCol w:w="1"/>
        <w:gridCol w:w="843"/>
        <w:gridCol w:w="2057"/>
        <w:gridCol w:w="692"/>
      </w:tblGrid>
      <w:tr>
        <w:tblPrEx>
          <w:shd w:val="clear" w:color="auto" w:fill="FFFFFF" w:themeFill="background1"/>
          <w:tblLayout w:type="fixed"/>
          <w:tblCellMar>
            <w:top w:w="0" w:type="dxa"/>
            <w:left w:w="0" w:type="dxa"/>
            <w:bottom w:w="0" w:type="dxa"/>
            <w:right w:w="0" w:type="dxa"/>
          </w:tblCellMar>
        </w:tblPrEx>
        <w:trPr>
          <w:trHeight w:val="629" w:hRule="atLeast"/>
          <w:jc w:val="center"/>
        </w:trPr>
        <w:tc>
          <w:tcPr>
            <w:tcW w:w="10607"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FFFFFF" w:themeFill="background1"/>
          <w:tblLayout w:type="fixed"/>
          <w:tblCellMar>
            <w:top w:w="0" w:type="dxa"/>
            <w:left w:w="0" w:type="dxa"/>
            <w:bottom w:w="0" w:type="dxa"/>
            <w:right w:w="0" w:type="dxa"/>
          </w:tblCellMar>
        </w:tblPrEx>
        <w:trPr>
          <w:trHeight w:val="424" w:hRule="atLeast"/>
          <w:jc w:val="center"/>
        </w:trPr>
        <w:tc>
          <w:tcPr>
            <w:tcW w:w="6330"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重庆市荣昌区人民政府峰高街道办事处</w:t>
            </w: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7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424" w:hRule="atLeast"/>
          <w:jc w:val="center"/>
        </w:trPr>
        <w:tc>
          <w:tcPr>
            <w:tcW w:w="6330"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74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0" w:hRule="atLeast"/>
          <w:jc w:val="center"/>
        </w:trPr>
        <w:tc>
          <w:tcPr>
            <w:tcW w:w="3677"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6930"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510" w:hRule="atLeast"/>
          <w:jc w:val="center"/>
        </w:trPr>
        <w:tc>
          <w:tcPr>
            <w:tcW w:w="79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93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658"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85"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4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92"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jc w:val="center"/>
        </w:trPr>
        <w:tc>
          <w:tcPr>
            <w:tcW w:w="79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93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58"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9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92"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2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2,328.83</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470.38</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r>
      <w:tr>
        <w:tblPrEx>
          <w:tblLayout w:type="fixed"/>
          <w:tblCellMar>
            <w:top w:w="0" w:type="dxa"/>
            <w:left w:w="0" w:type="dxa"/>
            <w:bottom w:w="0" w:type="dxa"/>
            <w:right w:w="0" w:type="dxa"/>
          </w:tblCellMar>
        </w:tblPrEx>
        <w:trPr>
          <w:trHeight w:val="21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515.64</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23.07</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153.10</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r>
      <w:tr>
        <w:tblPrEx>
          <w:tblLayout w:type="fixed"/>
          <w:tblCellMar>
            <w:top w:w="0" w:type="dxa"/>
            <w:left w:w="0" w:type="dxa"/>
            <w:bottom w:w="0" w:type="dxa"/>
            <w:right w:w="0" w:type="dxa"/>
          </w:tblCellMar>
        </w:tblPrEx>
        <w:trPr>
          <w:trHeight w:val="24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266.90</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4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4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775.14</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7.58</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33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176.86</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38.08</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173.01</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20.49</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6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79.62</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19.79</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58.86</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102.33</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17.28</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35.82</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4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290.36</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1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10.42</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3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8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96.98</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1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171.02</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4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18.72</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6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22.37</w:t>
            </w: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110.70</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19.13</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25.36</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2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36.30</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34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1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94.94</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42"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187"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45" w:hRule="atLeast"/>
          <w:jc w:val="center"/>
        </w:trPr>
        <w:tc>
          <w:tcPr>
            <w:tcW w:w="79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290" w:hRule="atLeast"/>
          <w:jc w:val="center"/>
        </w:trPr>
        <w:tc>
          <w:tcPr>
            <w:tcW w:w="2747"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93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2,619.20</w:t>
            </w:r>
            <w:r>
              <w:rPr>
                <w:color w:val="000000"/>
                <w:sz w:val="18"/>
                <w:u w:color="auto"/>
              </w:rPr>
              <w:t xml:space="preserve"> </w:t>
            </w:r>
          </w:p>
        </w:tc>
        <w:tc>
          <w:tcPr>
            <w:tcW w:w="6238"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9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472.74</w:t>
            </w:r>
            <w:r>
              <w:rPr>
                <w:color w:val="000000"/>
                <w:sz w:val="18"/>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1"/>
          <w:szCs w:val="21"/>
        </w:rPr>
        <w:br w:type="page"/>
      </w:r>
    </w:p>
    <w:tbl>
      <w:tblPr>
        <w:tblStyle w:val="7"/>
        <w:tblW w:w="8819" w:type="dxa"/>
        <w:tblInd w:w="0" w:type="dxa"/>
        <w:shd w:val="clear" w:color="auto" w:fill="FFFFFF" w:themeFill="background1"/>
        <w:tblLayout w:type="fixed"/>
        <w:tblCellMar>
          <w:top w:w="0" w:type="dxa"/>
          <w:left w:w="0" w:type="dxa"/>
          <w:bottom w:w="0" w:type="dxa"/>
          <w:right w:w="0" w:type="dxa"/>
        </w:tblCellMar>
      </w:tblPr>
      <w:tblGrid>
        <w:gridCol w:w="1113"/>
        <w:gridCol w:w="1830"/>
        <w:gridCol w:w="975"/>
        <w:gridCol w:w="960"/>
        <w:gridCol w:w="893"/>
        <w:gridCol w:w="87"/>
        <w:gridCol w:w="892"/>
        <w:gridCol w:w="88"/>
        <w:gridCol w:w="980"/>
        <w:gridCol w:w="1001"/>
      </w:tblGrid>
      <w:tr>
        <w:tblPrEx>
          <w:tblLayout w:type="fixed"/>
          <w:tblCellMar>
            <w:top w:w="0" w:type="dxa"/>
            <w:left w:w="0" w:type="dxa"/>
            <w:bottom w:w="0" w:type="dxa"/>
            <w:right w:w="0" w:type="dxa"/>
          </w:tblCellMar>
        </w:tblPrEx>
        <w:trPr>
          <w:trHeight w:val="644" w:hRule="atLeast"/>
        </w:trPr>
        <w:tc>
          <w:tcPr>
            <w:tcW w:w="8819"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878"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重庆市荣昌区人民政府峰高街道办事处</w:t>
            </w:r>
          </w:p>
        </w:tc>
        <w:tc>
          <w:tcPr>
            <w:tcW w:w="89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7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01"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878"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93"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7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6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01"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29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7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2940"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FFFFFF" w:themeFill="background1"/>
          <w:tblLayout w:type="fixed"/>
          <w:tblCellMar>
            <w:top w:w="0" w:type="dxa"/>
            <w:left w:w="0" w:type="dxa"/>
            <w:bottom w:w="0" w:type="dxa"/>
            <w:right w:w="0" w:type="dxa"/>
          </w:tblCellMar>
        </w:tblPrEx>
        <w:trPr>
          <w:trHeight w:val="335" w:hRule="atLeast"/>
        </w:trPr>
        <w:tc>
          <w:tcPr>
            <w:tcW w:w="111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8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8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8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5"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405" w:hRule="atLeast"/>
        </w:trPr>
        <w:tc>
          <w:tcPr>
            <w:tcW w:w="11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7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8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2943"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38.84</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38.84</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38.84</w:t>
            </w:r>
            <w:r>
              <w:rPr>
                <w:b/>
                <w:color w:val="000000"/>
                <w:sz w:val="20"/>
                <w:u w:color="auto"/>
              </w:rPr>
              <w:t xml:space="preserve"> </w:t>
            </w:r>
          </w:p>
        </w:tc>
        <w:tc>
          <w:tcPr>
            <w:tcW w:w="10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9" w:hRule="atLeast"/>
        </w:trPr>
        <w:tc>
          <w:tcPr>
            <w:tcW w:w="111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9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10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11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9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10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9" w:hRule="atLeast"/>
        </w:trPr>
        <w:tc>
          <w:tcPr>
            <w:tcW w:w="111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9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27.96</w:t>
            </w:r>
            <w:r>
              <w:rPr>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27.96</w:t>
            </w:r>
            <w:r>
              <w:rPr>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27.96</w:t>
            </w:r>
            <w:r>
              <w:rPr>
                <w:color w:val="000000"/>
                <w:sz w:val="20"/>
                <w:u w:color="auto"/>
              </w:rPr>
              <w:t xml:space="preserve"> </w:t>
            </w:r>
          </w:p>
        </w:tc>
        <w:tc>
          <w:tcPr>
            <w:tcW w:w="10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9" w:hRule="atLeast"/>
        </w:trPr>
        <w:tc>
          <w:tcPr>
            <w:tcW w:w="111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9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10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9" w:hRule="atLeast"/>
        </w:trPr>
        <w:tc>
          <w:tcPr>
            <w:tcW w:w="111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9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10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11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9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0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9" w:hRule="atLeast"/>
        </w:trPr>
        <w:tc>
          <w:tcPr>
            <w:tcW w:w="111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9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10.10</w:t>
            </w:r>
            <w:r>
              <w:rPr>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10.10</w:t>
            </w:r>
            <w:r>
              <w:rPr>
                <w:color w:val="000000"/>
                <w:sz w:val="20"/>
                <w:u w:color="auto"/>
              </w:rPr>
              <w:t xml:space="preserve"> </w:t>
            </w:r>
          </w:p>
        </w:tc>
        <w:tc>
          <w:tcPr>
            <w:tcW w:w="98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8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10.10</w:t>
            </w:r>
            <w:r>
              <w:rPr>
                <w:color w:val="000000"/>
                <w:sz w:val="20"/>
                <w:u w:color="auto"/>
              </w:rPr>
              <w:t xml:space="preserve"> </w:t>
            </w:r>
          </w:p>
        </w:tc>
        <w:tc>
          <w:tcPr>
            <w:tcW w:w="10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8819" w:type="dxa"/>
        <w:tblInd w:w="0" w:type="dxa"/>
        <w:shd w:val="clear" w:color="auto" w:fill="FFFFFF" w:themeFill="background1"/>
        <w:tblLayout w:type="fixed"/>
        <w:tblCellMar>
          <w:top w:w="0" w:type="dxa"/>
          <w:left w:w="0" w:type="dxa"/>
          <w:bottom w:w="0" w:type="dxa"/>
          <w:right w:w="0" w:type="dxa"/>
        </w:tblCellMar>
      </w:tblPr>
      <w:tblGrid>
        <w:gridCol w:w="1079"/>
        <w:gridCol w:w="1755"/>
        <w:gridCol w:w="1879"/>
        <w:gridCol w:w="114"/>
        <w:gridCol w:w="1994"/>
        <w:gridCol w:w="44"/>
        <w:gridCol w:w="1954"/>
      </w:tblGrid>
      <w:tr>
        <w:tblPrEx>
          <w:shd w:val="clear" w:color="auto" w:fill="FFFFFF" w:themeFill="background1"/>
          <w:tblLayout w:type="fixed"/>
          <w:tblCellMar>
            <w:top w:w="0" w:type="dxa"/>
            <w:left w:w="0" w:type="dxa"/>
            <w:bottom w:w="0" w:type="dxa"/>
            <w:right w:w="0" w:type="dxa"/>
          </w:tblCellMar>
        </w:tblPrEx>
        <w:trPr>
          <w:trHeight w:val="650" w:hRule="atLeast"/>
        </w:trPr>
        <w:tc>
          <w:tcPr>
            <w:tcW w:w="8819"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713"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重庆市荣昌区人民政府峰高街道办事处</w:t>
            </w:r>
          </w:p>
        </w:tc>
        <w:tc>
          <w:tcPr>
            <w:tcW w:w="2152"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54"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713"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152"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54"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28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98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07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5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993" w:type="dxa"/>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99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998"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07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5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3"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8"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07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5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3"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8"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07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5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3"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998"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28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993"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99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1998"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542"/>
        <w:gridCol w:w="690"/>
        <w:gridCol w:w="735"/>
        <w:gridCol w:w="3225"/>
        <w:gridCol w:w="684"/>
      </w:tblGrid>
      <w:tr>
        <w:tblPrEx>
          <w:shd w:val="clear" w:color="auto" w:fill="FFFFFF" w:themeFill="background1"/>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35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90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967" w:type="dxa"/>
            <w:gridSpan w:val="3"/>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both"/>
              <w:rPr>
                <w:rFonts w:hint="default" w:cs="宋体"/>
                <w:color w:val="000000"/>
                <w:sz w:val="20"/>
                <w:szCs w:val="20"/>
              </w:rPr>
            </w:pPr>
            <w:r>
              <w:rPr>
                <w:rFonts w:cs="宋体"/>
                <w:sz w:val="20"/>
                <w:szCs w:val="20"/>
              </w:rPr>
              <w:t>公开</w:t>
            </w:r>
            <w:r>
              <w:rPr>
                <w:rFonts w:hint="eastAsia" w:cs="宋体"/>
                <w:sz w:val="20"/>
                <w:szCs w:val="20"/>
                <w:lang w:val="en-US" w:eastAsia="zh-CN"/>
              </w:rPr>
              <w:t>部门</w:t>
            </w:r>
            <w:r>
              <w:rPr>
                <w:rFonts w:cs="宋体"/>
                <w:color w:val="000000"/>
                <w:sz w:val="20"/>
                <w:szCs w:val="20"/>
              </w:rPr>
              <w:t xml:space="preserve">： </w:t>
            </w:r>
            <w:r>
              <w:rPr>
                <w:color w:val="000000"/>
                <w:sz w:val="20"/>
                <w:u w:color="auto"/>
              </w:rPr>
              <w:t>重庆市荣昌区人民政府峰高街道办事处</w:t>
            </w:r>
          </w:p>
        </w:tc>
        <w:tc>
          <w:tcPr>
            <w:tcW w:w="3909"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FFFFFF" w:themeFill="background1"/>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212.90</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26.15</w:t>
            </w: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26.15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212.90</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25.36</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0.79</w:t>
            </w: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0.79</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0.79</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410.37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110</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410.37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410.37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410.37</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69"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7.76</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10.70</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w:t>
      </w:r>
      <w:r>
        <w:rPr>
          <w:rFonts w:hint="eastAsia" w:cs="宋体"/>
          <w:sz w:val="20"/>
          <w:szCs w:val="20"/>
          <w:lang w:val="en-US" w:eastAsia="zh-CN"/>
        </w:rPr>
        <w:t>部门</w:t>
      </w:r>
      <w:r>
        <w:rPr>
          <w:rFonts w:cs="宋体"/>
          <w:sz w:val="20"/>
          <w:szCs w:val="20"/>
        </w:rPr>
        <w:t>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bookmarkStart w:id="0" w:name="_GoBack"/>
      <w:bookmarkEnd w:id="0"/>
      <w:r>
        <w:rPr>
          <w:rFonts w:cs="宋体"/>
          <w:sz w:val="20"/>
          <w:szCs w:val="20"/>
        </w:rPr>
        <w:br w:type="textWrapping"/>
      </w:r>
      <w:r>
        <w:rPr>
          <w:rFonts w:cs="宋体"/>
          <w:sz w:val="20"/>
          <w:szCs w:val="20"/>
        </w:rPr>
        <w:br w:type="textWrapping"/>
      </w:r>
    </w:p>
    <w:sectPr>
      <w:headerReference r:id="rId4" w:type="default"/>
      <w:footerReference r:id="rId5" w:type="default"/>
      <w:pgSz w:w="11850" w:h="16783"/>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- 22 -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D7702"/>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F5A85"/>
    <w:rsid w:val="00C96B11"/>
    <w:rsid w:val="00CC6B99"/>
    <w:rsid w:val="00DF7706"/>
    <w:rsid w:val="00E654E2"/>
    <w:rsid w:val="00E76362"/>
    <w:rsid w:val="00F137D3"/>
    <w:rsid w:val="00F13C36"/>
    <w:rsid w:val="00F32C53"/>
    <w:rsid w:val="00F73F90"/>
    <w:rsid w:val="00F7623D"/>
    <w:rsid w:val="01474EBF"/>
    <w:rsid w:val="01CB79BB"/>
    <w:rsid w:val="01F3521E"/>
    <w:rsid w:val="03B87EA0"/>
    <w:rsid w:val="03E3214F"/>
    <w:rsid w:val="044C50BA"/>
    <w:rsid w:val="05BC6D49"/>
    <w:rsid w:val="06194FF1"/>
    <w:rsid w:val="065A04C4"/>
    <w:rsid w:val="06A2550B"/>
    <w:rsid w:val="06F80EE2"/>
    <w:rsid w:val="07001CCA"/>
    <w:rsid w:val="075678DB"/>
    <w:rsid w:val="079D7CC7"/>
    <w:rsid w:val="0804183A"/>
    <w:rsid w:val="08051BCA"/>
    <w:rsid w:val="086C12F4"/>
    <w:rsid w:val="08BA052C"/>
    <w:rsid w:val="08DB07BA"/>
    <w:rsid w:val="0969353F"/>
    <w:rsid w:val="098305D0"/>
    <w:rsid w:val="098A0877"/>
    <w:rsid w:val="0A5C4B69"/>
    <w:rsid w:val="0A86124A"/>
    <w:rsid w:val="0AB54CC0"/>
    <w:rsid w:val="0B9335CE"/>
    <w:rsid w:val="0C2C321C"/>
    <w:rsid w:val="0C7927C4"/>
    <w:rsid w:val="0C9B098C"/>
    <w:rsid w:val="0D673E11"/>
    <w:rsid w:val="0D907D9E"/>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894BFD"/>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422A4C"/>
    <w:rsid w:val="24B92327"/>
    <w:rsid w:val="24C14514"/>
    <w:rsid w:val="2533755C"/>
    <w:rsid w:val="25791755"/>
    <w:rsid w:val="26396DF4"/>
    <w:rsid w:val="27167136"/>
    <w:rsid w:val="27B23302"/>
    <w:rsid w:val="29310A5F"/>
    <w:rsid w:val="29C37A35"/>
    <w:rsid w:val="2A076083"/>
    <w:rsid w:val="2A73162E"/>
    <w:rsid w:val="2B167953"/>
    <w:rsid w:val="2B200583"/>
    <w:rsid w:val="2B205E8E"/>
    <w:rsid w:val="2B8209DE"/>
    <w:rsid w:val="2C6762A3"/>
    <w:rsid w:val="2EBF7B3E"/>
    <w:rsid w:val="2EDE1934"/>
    <w:rsid w:val="2FCA4B37"/>
    <w:rsid w:val="2FE029D7"/>
    <w:rsid w:val="2FF06E00"/>
    <w:rsid w:val="30562E26"/>
    <w:rsid w:val="30586FEC"/>
    <w:rsid w:val="30EC7046"/>
    <w:rsid w:val="315F0B22"/>
    <w:rsid w:val="317B0B6A"/>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1D12A5"/>
    <w:rsid w:val="5A3B59D6"/>
    <w:rsid w:val="5AD134D8"/>
    <w:rsid w:val="5B6503B1"/>
    <w:rsid w:val="5B7C0B96"/>
    <w:rsid w:val="5C263CE4"/>
    <w:rsid w:val="5C5D2777"/>
    <w:rsid w:val="5CF66BF3"/>
    <w:rsid w:val="5D290C69"/>
    <w:rsid w:val="5F2D4A41"/>
    <w:rsid w:val="60C74F6C"/>
    <w:rsid w:val="61025A59"/>
    <w:rsid w:val="613D5BBC"/>
    <w:rsid w:val="61536C39"/>
    <w:rsid w:val="62944DD7"/>
    <w:rsid w:val="6319381F"/>
    <w:rsid w:val="63236436"/>
    <w:rsid w:val="63C25DC5"/>
    <w:rsid w:val="63C62057"/>
    <w:rsid w:val="64014A9B"/>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3D116FE"/>
    <w:rsid w:val="74640633"/>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4098</Words>
  <Characters>23363</Characters>
  <Lines>194</Lines>
  <Paragraphs>54</Paragraphs>
  <TotalTime>4</TotalTime>
  <ScaleCrop>false</ScaleCrop>
  <LinksUpToDate>false</LinksUpToDate>
  <CharactersWithSpaces>27407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2024-09-10T03:47:59Z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