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重庆市荣昌区峰高街道农业服务中心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shd w:val="clear" w:color="auto" w:fill="FFFFFF"/>
          <w:lang w:eastAsia="zh-CN"/>
        </w:rPr>
      </w:pP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楷体_GBK" w:cs="方正仿宋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sz w:val="32"/>
          <w:szCs w:val="32"/>
        </w:rPr>
        <w:t>推广先进农业技术，促进农村发展。负责农技、农机、林业、水利水保、水产等方面的重大技术推广、信息服务、资源环境保护、灾害防治、土地规模经营管理、农产品质量安全监管公共服务工作。实施动物疫病的防疫、强制免疫。承担辖区内疫病监测报告、病死畜禽无害化处理，指导做好动物免疫、兽药饲料使用等工作，开展动物产地检疫</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畜禽调备案工作。</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本单位为重庆市荣昌区人民政府峰高街道办事处下属二级预算单位，无内设机构，</w:t>
      </w:r>
      <w:bookmarkStart w:id="0" w:name="_GoBack"/>
      <w:bookmarkEnd w:id="0"/>
      <w:r>
        <w:rPr>
          <w:rFonts w:hint="eastAsia" w:ascii="方正仿宋_GBK" w:hAnsi="方正仿宋_GBK" w:eastAsia="方正仿宋_GBK" w:cs="方正仿宋_GBK"/>
          <w:color w:val="auto"/>
          <w:sz w:val="32"/>
          <w:szCs w:val="32"/>
          <w:lang w:val="en-US" w:eastAsia="zh-CN"/>
        </w:rPr>
        <w:t>2023年末实有在职人员32人。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2023年度收入总计877.69万元，支出总计</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万元。收支较上年决算数增加12.62万元，增长1.46%，主要原因是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2023年度收入合计877.69万元，较上年决算数增加12.62万元，增长1.46%，主要原因是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万元，较上年决算数增加12.62万元，增长1.46%，主要原因是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万元，占100.00%；项目支出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2023年度财政拨款收、支总计877.69万元。与2022年相比，财政拨款收、支总计各增加12.62万元，增长1.46%。主要原因是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万元，较上年决算数增加12.62万元，增长1.46%。主要原因是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。较年初预算数增加68.31万元，增长8.44%。主要原因是</w:t>
      </w:r>
      <w:r>
        <w:rPr>
          <w:rFonts w:hint="eastAsia" w:ascii="方正仿宋_GBK" w:hAnsi="方正仿宋_GBK" w:eastAsia="方正仿宋_GBK" w:cs="方正仿宋_GBK"/>
          <w:color w:val="auto"/>
          <w:sz w:val="32"/>
          <w:szCs w:val="32"/>
          <w:lang w:val="en-US" w:eastAsia="zh-CN"/>
        </w:rPr>
        <w:t>职工工资福利增加。</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万元，较上年决算数增加12.62万元，增长1.46%。主要原因是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职工社会保障和教育支出增加</w:t>
      </w:r>
      <w:r>
        <w:rPr>
          <w:rFonts w:hint="eastAsia" w:ascii="方正仿宋_GBK" w:hAnsi="方正仿宋_GBK" w:eastAsia="方正仿宋_GBK" w:cs="方正仿宋_GBK"/>
          <w:b w:val="0"/>
          <w:bCs w:val="0"/>
          <w:color w:val="auto"/>
          <w:sz w:val="32"/>
          <w:szCs w:val="32"/>
          <w:shd w:val="clear" w:color="auto" w:fill="FFFFFF"/>
        </w:rPr>
        <w:t>。较年初预算数增加68.31万元，增长8.44%。主要原因是</w:t>
      </w:r>
      <w:r>
        <w:rPr>
          <w:rFonts w:hint="eastAsia" w:ascii="方正仿宋_GBK" w:hAnsi="方正仿宋_GBK" w:eastAsia="方正仿宋_GBK" w:cs="方正仿宋_GBK"/>
          <w:color w:val="auto"/>
          <w:sz w:val="32"/>
          <w:szCs w:val="32"/>
          <w:lang w:val="en-US" w:eastAsia="zh-CN"/>
        </w:rPr>
        <w:t>职工工资福利增加。</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highlight w:val="cyan"/>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val="0"/>
          <w:bCs w:val="0"/>
          <w:color w:val="auto"/>
          <w:sz w:val="32"/>
          <w:szCs w:val="32"/>
          <w:shd w:val="clear" w:color="auto" w:fill="FFFFFF"/>
        </w:rPr>
        <w:t>（1）教育支出</w:t>
      </w:r>
      <w:r>
        <w:rPr>
          <w:rFonts w:hint="eastAsia" w:ascii="方正仿宋_GBK" w:hAnsi="方正仿宋_GBK" w:eastAsia="方正仿宋_GBK" w:cs="方正仿宋_GBK"/>
          <w:b w:val="0"/>
          <w:bCs w:val="0"/>
          <w:color w:val="auto"/>
          <w:sz w:val="32"/>
          <w:szCs w:val="32"/>
        </w:rPr>
        <w:t>4.26</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0.49</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（2）社会保障与就业支出</w:t>
      </w:r>
      <w:r>
        <w:rPr>
          <w:rFonts w:hint="eastAsia" w:ascii="方正仿宋_GBK" w:hAnsi="方正仿宋_GBK" w:eastAsia="方正仿宋_GBK" w:cs="方正仿宋_GBK"/>
          <w:b w:val="0"/>
          <w:bCs w:val="0"/>
          <w:color w:val="auto"/>
          <w:sz w:val="32"/>
          <w:szCs w:val="32"/>
        </w:rPr>
        <w:t>156.06</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17.78</w:t>
      </w:r>
      <w:r>
        <w:rPr>
          <w:rFonts w:hint="eastAsia" w:ascii="方正仿宋_GBK" w:hAnsi="方正仿宋_GBK" w:eastAsia="方正仿宋_GBK" w:cs="方正仿宋_GBK"/>
          <w:b w:val="0"/>
          <w:bCs w:val="0"/>
          <w:color w:val="auto"/>
          <w:sz w:val="32"/>
          <w:szCs w:val="32"/>
          <w:shd w:val="clear" w:color="auto" w:fill="FFFFFF"/>
        </w:rPr>
        <w:t>%，较年初预算数减少6.86万元，下降4.21%，主要原因是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职业年金、退休医保垫底和公用经费支出减少。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（3）卫生健康支出</w:t>
      </w:r>
      <w:r>
        <w:rPr>
          <w:rFonts w:hint="eastAsia" w:ascii="方正仿宋_GBK" w:hAnsi="方正仿宋_GBK" w:eastAsia="方正仿宋_GBK" w:cs="方正仿宋_GBK"/>
          <w:b w:val="0"/>
          <w:bCs w:val="0"/>
          <w:color w:val="auto"/>
          <w:sz w:val="32"/>
          <w:szCs w:val="32"/>
        </w:rPr>
        <w:t>31.75</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3.62</w:t>
      </w:r>
      <w:r>
        <w:rPr>
          <w:rFonts w:hint="eastAsia" w:ascii="方正仿宋_GBK" w:hAnsi="方正仿宋_GBK" w:eastAsia="方正仿宋_GBK" w:cs="方正仿宋_GBK"/>
          <w:b w:val="0"/>
          <w:bCs w:val="0"/>
          <w:color w:val="auto"/>
          <w:sz w:val="32"/>
          <w:szCs w:val="32"/>
          <w:shd w:val="clear" w:color="auto" w:fill="FFFFFF"/>
        </w:rPr>
        <w:t>%，较年初预算数减少1.62万元，下降4.85%，主要原因是</w:t>
      </w:r>
      <w:r>
        <w:rPr>
          <w:rFonts w:hint="eastAsia" w:ascii="方正仿宋_GBK" w:hAnsi="方正仿宋_GBK" w:eastAsia="方正仿宋_GBK" w:cs="方正仿宋_GBK"/>
          <w:b w:val="0"/>
          <w:bCs w:val="0"/>
          <w:color w:val="auto"/>
          <w:sz w:val="32"/>
          <w:szCs w:val="32"/>
          <w:shd w:val="clear" w:color="auto" w:fill="FFFFFF"/>
          <w:lang w:val="en-US" w:eastAsia="zh-CN"/>
        </w:rPr>
        <w:t>在职大额医疗和生育保险支出减少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（4）农林水支出</w:t>
      </w:r>
      <w:r>
        <w:rPr>
          <w:rFonts w:hint="eastAsia" w:ascii="方正仿宋_GBK" w:hAnsi="方正仿宋_GBK" w:eastAsia="方正仿宋_GBK" w:cs="方正仿宋_GBK"/>
          <w:b w:val="0"/>
          <w:bCs w:val="0"/>
          <w:color w:val="auto"/>
          <w:sz w:val="32"/>
          <w:szCs w:val="32"/>
        </w:rPr>
        <w:t>651.53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74.23</w:t>
      </w:r>
      <w:r>
        <w:rPr>
          <w:rFonts w:hint="eastAsia" w:ascii="方正仿宋_GBK" w:hAnsi="方正仿宋_GBK" w:eastAsia="方正仿宋_GBK" w:cs="方正仿宋_GBK"/>
          <w:b w:val="0"/>
          <w:bCs w:val="0"/>
          <w:color w:val="auto"/>
          <w:sz w:val="32"/>
          <w:szCs w:val="32"/>
          <w:shd w:val="clear" w:color="auto" w:fill="FFFFFF"/>
        </w:rPr>
        <w:t>%，较年初预算数增加76.78万元，增长13.36%，主要原因是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职工工资福利和抚恤金支出增加</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（5）</w:t>
      </w:r>
      <w:r>
        <w:rPr>
          <w:rFonts w:hint="eastAsia" w:ascii="方正仿宋_GBK" w:hAnsi="方正仿宋_GBK" w:eastAsia="方正仿宋_GBK" w:cs="方正仿宋_GBK"/>
          <w:b w:val="0"/>
          <w:bCs w:val="0"/>
          <w:color w:val="auto"/>
          <w:sz w:val="32"/>
          <w:szCs w:val="32"/>
        </w:rPr>
        <w:t>住房保障支出34.09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3.88</w:t>
      </w:r>
      <w:r>
        <w:rPr>
          <w:rFonts w:hint="eastAsia" w:ascii="方正仿宋_GBK" w:hAnsi="方正仿宋_GBK" w:eastAsia="方正仿宋_GBK" w:cs="方正仿宋_GBK"/>
          <w:b w:val="0"/>
          <w:bCs w:val="0"/>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lang w:val="en-US" w:eastAsia="zh-CN"/>
        </w:rPr>
        <w:t>准确预算经费</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2023年度一般公共财政拨款基本支出</w:t>
      </w:r>
      <w:r>
        <w:rPr>
          <w:rFonts w:hint="eastAsia" w:ascii="方正仿宋_GBK" w:hAnsi="方正仿宋_GBK" w:eastAsia="方正仿宋_GBK" w:cs="方正仿宋_GBK"/>
          <w:b w:val="0"/>
          <w:bCs w:val="0"/>
          <w:color w:val="auto"/>
          <w:sz w:val="32"/>
          <w:szCs w:val="32"/>
        </w:rPr>
        <w:t>877.69</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764.64</w:t>
      </w:r>
      <w:r>
        <w:rPr>
          <w:rFonts w:hint="eastAsia" w:ascii="方正仿宋_GBK" w:hAnsi="方正仿宋_GBK" w:eastAsia="方正仿宋_GBK" w:cs="方正仿宋_GBK"/>
          <w:b w:val="0"/>
          <w:bCs w:val="0"/>
          <w:color w:val="auto"/>
          <w:sz w:val="32"/>
          <w:szCs w:val="32"/>
          <w:shd w:val="clear" w:color="auto" w:fill="FFFFFF"/>
        </w:rPr>
        <w:t>万元，较上年决算数增加103.01万元，增长15.57%，主要原因是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职工工资福利和抚恤金支出增加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rPr>
        <w:t>基本工资、津贴补贴、绩效工资、社会保障缴费、住房公积金、</w:t>
      </w:r>
      <w:r>
        <w:rPr>
          <w:rFonts w:hint="eastAsia" w:ascii="方正仿宋_GBK" w:hAnsi="方正仿宋_GBK" w:eastAsia="方正仿宋_GBK" w:cs="方正仿宋_GBK"/>
          <w:color w:val="auto"/>
          <w:sz w:val="32"/>
          <w:szCs w:val="32"/>
          <w:lang w:val="en-US" w:eastAsia="zh-CN"/>
        </w:rPr>
        <w:t>对个人和家庭的</w:t>
      </w:r>
      <w:r>
        <w:rPr>
          <w:rFonts w:hint="eastAsia" w:ascii="方正仿宋_GBK" w:hAnsi="方正仿宋_GBK" w:eastAsia="方正仿宋_GBK" w:cs="方正仿宋_GBK"/>
          <w:color w:val="auto"/>
          <w:sz w:val="32"/>
          <w:szCs w:val="32"/>
        </w:rPr>
        <w:t>补助。</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113.04</w:t>
      </w:r>
      <w:r>
        <w:rPr>
          <w:rFonts w:hint="eastAsia" w:ascii="方正仿宋_GBK" w:hAnsi="方正仿宋_GBK" w:eastAsia="方正仿宋_GBK" w:cs="方正仿宋_GBK"/>
          <w:b w:val="0"/>
          <w:bCs w:val="0"/>
          <w:color w:val="auto"/>
          <w:sz w:val="32"/>
          <w:szCs w:val="32"/>
          <w:shd w:val="clear" w:color="auto" w:fill="FFFFFF"/>
        </w:rPr>
        <w:t>万元，较上年决算数减少90.41万元，下降44.44%，主要原因是</w:t>
      </w:r>
      <w:r>
        <w:rPr>
          <w:rFonts w:hint="eastAsia" w:ascii="方正仿宋_GBK" w:hAnsi="方正仿宋_GBK" w:eastAsia="方正仿宋_GBK" w:cs="方正仿宋_GBK"/>
          <w:b w:val="0"/>
          <w:bCs w:val="0"/>
          <w:color w:val="auto"/>
          <w:sz w:val="32"/>
          <w:szCs w:val="32"/>
          <w:shd w:val="clear" w:color="auto" w:fill="FFFFFF"/>
          <w:lang w:val="en-US" w:eastAsia="zh-CN"/>
        </w:rPr>
        <w:t>差旅费支出减少</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rPr>
        <w:t>办公费、水电费、培训费、福利费、工会经费、公务车运行维护费、</w:t>
      </w:r>
      <w:r>
        <w:rPr>
          <w:rFonts w:hint="eastAsia" w:ascii="方正仿宋_GBK" w:hAnsi="方正仿宋_GBK" w:eastAsia="方正仿宋_GBK" w:cs="方正仿宋_GBK"/>
          <w:color w:val="auto"/>
          <w:sz w:val="32"/>
          <w:szCs w:val="32"/>
          <w:lang w:val="en-US" w:eastAsia="zh-CN"/>
        </w:rPr>
        <w:t>差旅费、</w:t>
      </w:r>
      <w:r>
        <w:rPr>
          <w:rFonts w:hint="eastAsia" w:ascii="方正仿宋_GBK" w:hAnsi="方正仿宋_GBK" w:eastAsia="方正仿宋_GBK" w:cs="方正仿宋_GBK"/>
          <w:color w:val="auto"/>
          <w:sz w:val="32"/>
          <w:szCs w:val="32"/>
        </w:rPr>
        <w:t>其他商品和服务支出。</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lang w:val="en-US"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未发生“三公”经费支出。</w:t>
      </w:r>
      <w:r>
        <w:rPr>
          <w:rFonts w:hint="eastAsia" w:ascii="方正仿宋_GBK" w:hAnsi="方正仿宋_GBK" w:eastAsia="方正仿宋_GBK" w:cs="方正仿宋_GBK"/>
          <w:b w:val="0"/>
          <w:bCs w:val="0"/>
          <w:color w:val="auto"/>
          <w:sz w:val="32"/>
          <w:szCs w:val="32"/>
          <w:shd w:val="clear" w:color="auto" w:fill="FFFFFF"/>
        </w:rPr>
        <w:t>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val="en-US" w:eastAsia="zh-CN"/>
        </w:rPr>
        <w:t>未发生公务车运行维护费支出</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公务接待费0.00万元，</w:t>
      </w:r>
      <w:r>
        <w:rPr>
          <w:rFonts w:hint="eastAsia" w:ascii="方正仿宋_GBK" w:hAnsi="方正仿宋_GBK" w:eastAsia="方正仿宋_GBK" w:cs="方正仿宋_GBK"/>
          <w:color w:val="auto"/>
          <w:sz w:val="32"/>
          <w:szCs w:val="32"/>
          <w:lang w:val="en-US" w:eastAsia="zh-CN"/>
        </w:rPr>
        <w:t>未发生公务接待费支出</w:t>
      </w:r>
      <w:r>
        <w:rPr>
          <w:rFonts w:hint="eastAsia" w:ascii="方正仿宋_GBK" w:hAnsi="方正仿宋_GBK" w:eastAsia="方正仿宋_GBK" w:cs="方正仿宋_GBK"/>
          <w:color w:val="auto"/>
          <w:sz w:val="32"/>
          <w:szCs w:val="32"/>
        </w:rPr>
        <w:t>。费用支出较年初预算数无增减。较上年支出数无增减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本年度会议费支出0.00万元，较上年决算数无增减，与上年持平。</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4.26</w:t>
      </w:r>
      <w:r>
        <w:rPr>
          <w:rFonts w:hint="eastAsia" w:ascii="方正仿宋_GBK" w:hAnsi="方正仿宋_GBK" w:eastAsia="方正仿宋_GBK" w:cs="方正仿宋_GBK"/>
          <w:b w:val="0"/>
          <w:bCs w:val="0"/>
          <w:color w:val="auto"/>
          <w:sz w:val="32"/>
          <w:szCs w:val="32"/>
          <w:shd w:val="clear" w:color="auto" w:fill="FFFFFF"/>
        </w:rPr>
        <w:t>万元，较上年决算数增加0.14万元，增长3.40%，主要原因是</w:t>
      </w:r>
      <w:r>
        <w:rPr>
          <w:rFonts w:hint="eastAsia" w:ascii="方正仿宋_GBK" w:hAnsi="方正仿宋_GBK" w:eastAsia="方正仿宋_GBK" w:cs="方正仿宋_GBK"/>
          <w:b w:val="0"/>
          <w:bCs w:val="0"/>
          <w:color w:val="auto"/>
          <w:sz w:val="32"/>
          <w:szCs w:val="32"/>
          <w:shd w:val="clear" w:color="auto" w:fill="FFFFFF"/>
          <w:lang w:val="en-US" w:eastAsia="zh-CN"/>
        </w:rPr>
        <w:t>人员增加</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2023年度我单位未发生政府采购事项，无相关经费支出。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（一）单位自评情况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rPr>
        <w:t>（二）单位绩效评价情况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我单位未组织开展绩效评价。</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rPr>
        <w:t>（三）财政绩效评价情况</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区财政局未委托第三方对我单位开展绩效评价。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（一）财政拨款收入：</w:t>
      </w:r>
      <w:r>
        <w:rPr>
          <w:rFonts w:hint="eastAsia" w:ascii="方正仿宋_GBK" w:hAnsi="方正仿宋_GBK" w:eastAsia="方正仿宋_GBK" w:cs="方正仿宋_GBK"/>
          <w:b w:val="0"/>
          <w:bCs w:val="0"/>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（二）事业收入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（三）经营收入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（四）其他收入</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（五）使用非财政拨款结余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（六）年初结转和结余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（七）结余分配</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（八）年末结转和结余</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（九）基本支出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（十）项目支出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（十一）经营支出</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（十二）“三公”经费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（十三）机关运行经费</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（十四）工资福利支出（支出经济分类科目类级）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（十五）商品和服务支出（支出经济分类科目类级）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（十六）对个人和家庭的补助（支出经济分类科目类级）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楷体_GBK" w:hAnsi="方正楷体_GBK" w:eastAsia="方正楷体_GBK" w:cs="方正楷体_GBK"/>
          <w:b w:val="0"/>
          <w:bCs w:val="0"/>
          <w:color w:val="auto"/>
          <w:sz w:val="32"/>
          <w:szCs w:val="32"/>
          <w:shd w:val="clear" w:color="auto" w:fill="FFFFFF"/>
        </w:rPr>
        <w:t>（十七）其他资本性支出（支出经济分类科目类级）</w:t>
      </w:r>
      <w:r>
        <w:rPr>
          <w:rFonts w:hint="eastAsia" w:ascii="方正楷体_GBK" w:hAnsi="方正楷体_GBK" w:eastAsia="方正楷体_GBK" w:cs="方正楷体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本单位决算公开信息反馈和联系方式：</w:t>
      </w:r>
      <w:r>
        <w:rPr>
          <w:rFonts w:hint="eastAsia" w:ascii="方正仿宋_GBK" w:hAnsi="方正仿宋_GBK" w:eastAsia="方正仿宋_GBK" w:cs="方正仿宋_GBK"/>
          <w:b w:val="0"/>
          <w:bCs w:val="0"/>
          <w:color w:val="auto"/>
          <w:sz w:val="32"/>
          <w:szCs w:val="32"/>
          <w:shd w:val="clear" w:color="auto" w:fill="FFFFFF"/>
          <w:lang w:val="en-US" w:eastAsia="zh-CN"/>
        </w:rPr>
        <w:t>张莲，023-46212076</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lang w:val="en-US" w:eastAsia="zh-CN"/>
        </w:rPr>
        <w:t>附件：重庆市荣昌区峰高街道农业服务中心2023年度部门决算公开报表</w:t>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shd w:val="clear" w:color="auto" w:fill="FFFFFF" w:themeFill="background1"/>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重庆市荣昌区峰高街道</w:t>
            </w:r>
            <w:r>
              <w:rPr>
                <w:rFonts w:hint="eastAsia"/>
                <w:sz w:val="20"/>
                <w:lang w:val="en-US" w:eastAsia="zh-CN"/>
              </w:rPr>
              <w:t>农业服务中心</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877.69</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156.06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31.75</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651.53</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34.09</w:t>
            </w: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877.69</w:t>
            </w: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877.69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877.69</w:t>
            </w:r>
            <w:r>
              <w:rPr>
                <w:color w:val="000000"/>
                <w:sz w:val="20"/>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877.69</w:t>
            </w:r>
            <w:r>
              <w:rPr>
                <w:color w:val="000000"/>
                <w:sz w:val="20"/>
              </w:rPr>
              <w:t xml:space="preserve"> </w:t>
            </w:r>
          </w:p>
        </w:tc>
      </w:tr>
    </w:tbl>
    <w:p>
      <w:pPr>
        <w:spacing w:line="240" w:lineRule="exact"/>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42"/>
        <w:gridCol w:w="3270"/>
        <w:gridCol w:w="810"/>
        <w:gridCol w:w="750"/>
        <w:gridCol w:w="772"/>
        <w:gridCol w:w="300"/>
        <w:gridCol w:w="570"/>
        <w:gridCol w:w="458"/>
        <w:gridCol w:w="570"/>
        <w:gridCol w:w="534"/>
      </w:tblGrid>
      <w:tr>
        <w:tblPrEx>
          <w:shd w:val="clear" w:color="auto" w:fill="FFFFFF" w:themeFill="background1"/>
          <w:tblLayout w:type="fixed"/>
          <w:tblCellMar>
            <w:top w:w="0" w:type="dxa"/>
            <w:left w:w="0" w:type="dxa"/>
            <w:bottom w:w="0" w:type="dxa"/>
            <w:right w:w="0" w:type="dxa"/>
          </w:tblCellMar>
        </w:tblPrEx>
        <w:trPr>
          <w:trHeight w:val="641" w:hRule="atLeast"/>
        </w:trPr>
        <w:tc>
          <w:tcPr>
            <w:tcW w:w="8876"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92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重庆市荣昌区峰高街道</w:t>
            </w:r>
            <w:r>
              <w:rPr>
                <w:rFonts w:hint="eastAsia"/>
                <w:sz w:val="20"/>
                <w:lang w:val="en-US" w:eastAsia="zh-CN"/>
              </w:rPr>
              <w:t>农业服务中心</w:t>
            </w: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92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5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7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0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4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0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431" w:hRule="atLeast"/>
        </w:trPr>
        <w:tc>
          <w:tcPr>
            <w:tcW w:w="411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77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84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7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4" w:hRule="atLeast"/>
        </w:trPr>
        <w:tc>
          <w:tcPr>
            <w:tcW w:w="84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27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7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1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7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77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45.45</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45.45</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63.75</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63.75</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8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w:t>
            </w:r>
            <w:r>
              <w:rPr>
                <w:color w:val="000000"/>
                <w:sz w:val="20"/>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w:t>
            </w:r>
            <w:r>
              <w:rPr>
                <w:color w:val="000000"/>
                <w:sz w:val="20"/>
              </w:rPr>
              <w:t xml:space="preserve"> </w:t>
            </w:r>
          </w:p>
        </w:tc>
        <w:tc>
          <w:tcPr>
            <w:tcW w:w="77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30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3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57"/>
        <w:gridCol w:w="3360"/>
        <w:gridCol w:w="825"/>
        <w:gridCol w:w="915"/>
        <w:gridCol w:w="555"/>
        <w:gridCol w:w="727"/>
        <w:gridCol w:w="518"/>
        <w:gridCol w:w="1119"/>
      </w:tblGrid>
      <w:tr>
        <w:tblPrEx>
          <w:shd w:val="clear" w:color="auto" w:fill="FFFFFF" w:themeFill="background1"/>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0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r>
              <w:rPr>
                <w:color w:val="000000"/>
                <w:sz w:val="20"/>
              </w:rPr>
              <w:t xml:space="preserve"> </w:t>
            </w: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0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5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72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51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1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72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85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5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3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2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91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55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72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156.06</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45.45</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45.45</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46.86</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63.75</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63.75</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31.75</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22.73</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34.09</w:t>
            </w:r>
            <w:r>
              <w:rPr>
                <w:b/>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8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2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w:t>
            </w:r>
            <w:r>
              <w:rPr>
                <w:color w:val="000000"/>
                <w:sz w:val="20"/>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34.09</w:t>
            </w:r>
            <w:r>
              <w:rPr>
                <w:color w:val="000000"/>
                <w:sz w:val="20"/>
              </w:rPr>
              <w:t xml:space="preserve"> </w:t>
            </w:r>
          </w:p>
        </w:tc>
        <w:tc>
          <w:tcPr>
            <w:tcW w:w="5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72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11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2552"/>
        <w:gridCol w:w="720"/>
        <w:gridCol w:w="2670"/>
        <w:gridCol w:w="720"/>
        <w:gridCol w:w="765"/>
        <w:gridCol w:w="585"/>
        <w:gridCol w:w="864"/>
      </w:tblGrid>
      <w:tr>
        <w:tblPrEx>
          <w:shd w:val="clear" w:color="auto" w:fill="FFFFFF" w:themeFill="background1"/>
          <w:tblLayout w:type="fixed"/>
          <w:tblCellMar>
            <w:top w:w="0" w:type="dxa"/>
            <w:left w:w="0" w:type="dxa"/>
            <w:bottom w:w="0" w:type="dxa"/>
            <w:right w:w="0" w:type="dxa"/>
          </w:tblCellMar>
        </w:tblPrEx>
        <w:trPr>
          <w:trHeight w:val="40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trPr>
        <w:tc>
          <w:tcPr>
            <w:tcW w:w="59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284" w:hRule="atLeast"/>
        </w:trPr>
        <w:tc>
          <w:tcPr>
            <w:tcW w:w="59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2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4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trPr>
        <w:tc>
          <w:tcPr>
            <w:tcW w:w="327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60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228" w:hRule="atLeast"/>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7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2934"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7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6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8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156.06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156.06</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31.75</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651.53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651.53</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410"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9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63"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r>
      <w:tr>
        <w:tblPrEx>
          <w:tblLayout w:type="fixed"/>
          <w:tblCellMar>
            <w:top w:w="0" w:type="dxa"/>
            <w:left w:w="0" w:type="dxa"/>
            <w:bottom w:w="0" w:type="dxa"/>
            <w:right w:w="0" w:type="dxa"/>
          </w:tblCellMar>
        </w:tblPrEx>
        <w:trPr>
          <w:trHeight w:val="278"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5"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9" w:hRule="atLeast"/>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26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877.69</w:t>
            </w:r>
            <w:r>
              <w:rPr>
                <w:color w:val="000000"/>
                <w:sz w:val="18"/>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c>
          <w:tcPr>
            <w:tcW w:w="86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887"/>
        <w:gridCol w:w="3600"/>
        <w:gridCol w:w="1320"/>
        <w:gridCol w:w="143"/>
        <w:gridCol w:w="1463"/>
        <w:gridCol w:w="45"/>
        <w:gridCol w:w="1418"/>
      </w:tblGrid>
      <w:tr>
        <w:tblPrEx>
          <w:tblLayout w:type="fixed"/>
          <w:tblCellMar>
            <w:top w:w="0" w:type="dxa"/>
            <w:left w:w="0" w:type="dxa"/>
            <w:bottom w:w="0" w:type="dxa"/>
            <w:right w:w="0" w:type="dxa"/>
          </w:tblCellMar>
        </w:tblPrEx>
        <w:trPr>
          <w:trHeight w:val="51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807"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807"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65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389"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63"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63"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448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877.69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156.06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156.06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156.06</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156.06</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45.45</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45.45</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46.86</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63.75</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63.75</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31.75</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22.73</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651.53</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651.53</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w:t>
            </w:r>
            <w:r>
              <w:rPr>
                <w:b/>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34.09</w:t>
            </w:r>
            <w:r>
              <w:rPr>
                <w:b/>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34.09</w:t>
            </w:r>
            <w:r>
              <w:rPr>
                <w:color w:val="000000"/>
                <w:sz w:val="20"/>
              </w:rPr>
              <w:t xml:space="preserve"> </w:t>
            </w:r>
          </w:p>
        </w:tc>
        <w:tc>
          <w:tcPr>
            <w:tcW w:w="146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34.09</w:t>
            </w:r>
            <w:r>
              <w:rPr>
                <w:color w:val="000000"/>
                <w:sz w:val="20"/>
              </w:rPr>
              <w:t xml:space="preserve"> </w:t>
            </w:r>
          </w:p>
        </w:tc>
        <w:tc>
          <w:tcPr>
            <w:tcW w:w="146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FFFFFF" w:themeFill="background1"/>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698.06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113.04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162.03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5.91</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358.82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45.45</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34.09</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66.58</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6.72</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55.86</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12.24</w:t>
            </w: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32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bottom"/>
              <w:rPr>
                <w:rFonts w:hint="default" w:cs="宋体"/>
                <w:color w:val="000000"/>
                <w:sz w:val="18"/>
                <w:szCs w:val="18"/>
              </w:rPr>
            </w:pPr>
            <w:r>
              <w:rPr>
                <w:rFonts w:cs="宋体"/>
                <w:color w:val="000000"/>
                <w:sz w:val="18"/>
                <w:szCs w:val="18"/>
              </w:rPr>
              <w:t>764.64</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113.04</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70"/>
        <w:gridCol w:w="1782"/>
        <w:gridCol w:w="986"/>
        <w:gridCol w:w="985"/>
        <w:gridCol w:w="985"/>
        <w:gridCol w:w="986"/>
        <w:gridCol w:w="1022"/>
        <w:gridCol w:w="1060"/>
      </w:tblGrid>
      <w:tr>
        <w:tblPrEx>
          <w:shd w:val="clear" w:color="auto" w:fill="FFFFFF" w:themeFill="background1"/>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23"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823"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86"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0"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9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0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2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0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85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98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2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0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1891"/>
        <w:gridCol w:w="116"/>
        <w:gridCol w:w="2005"/>
        <w:gridCol w:w="45"/>
        <w:gridCol w:w="1967"/>
      </w:tblGrid>
      <w:tr>
        <w:tblPrEx>
          <w:shd w:val="clear" w:color="auto" w:fill="FFFFFF" w:themeFill="background1"/>
          <w:tblLayout w:type="fixed"/>
          <w:tblCellMar>
            <w:top w:w="0" w:type="dxa"/>
            <w:left w:w="0" w:type="dxa"/>
            <w:bottom w:w="0" w:type="dxa"/>
            <w:right w:w="0" w:type="dxa"/>
          </w:tblCellMar>
        </w:tblPrEx>
        <w:trPr>
          <w:trHeight w:val="650" w:hRule="atLeast"/>
        </w:trPr>
        <w:tc>
          <w:tcPr>
            <w:tcW w:w="8876"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4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74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6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sz w:val="20"/>
              </w:rPr>
              <w:t>重庆市荣昌区峰高街道</w:t>
            </w:r>
            <w:r>
              <w:rPr>
                <w:rFonts w:hint="eastAsia"/>
                <w:sz w:val="20"/>
                <w:lang w:val="en-US" w:eastAsia="zh-CN"/>
              </w:rPr>
              <w:t>农业服务中心</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4.26</w:t>
            </w:r>
            <w:r>
              <w:rPr>
                <w:color w:val="000000"/>
                <w:sz w:val="20"/>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ascii="方正仿宋_GBK" w:hAnsi="方正仿宋_GBK" w:eastAsia="方正仿宋_GBK" w:cs="方正仿宋_GBK"/>
          <w:b w:val="0"/>
          <w:bCs w:val="0"/>
          <w:color w:val="auto"/>
          <w:sz w:val="32"/>
          <w:szCs w:val="32"/>
          <w:shd w:val="clear" w:color="auto" w:fill="FFFFFF"/>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9D789C"/>
    <w:rsid w:val="00B03CCD"/>
    <w:rsid w:val="00C20C3E"/>
    <w:rsid w:val="00F73F90"/>
    <w:rsid w:val="01474EBF"/>
    <w:rsid w:val="01F3521E"/>
    <w:rsid w:val="03B87EA0"/>
    <w:rsid w:val="03E3214F"/>
    <w:rsid w:val="044C50BA"/>
    <w:rsid w:val="05BC6D49"/>
    <w:rsid w:val="06194FF1"/>
    <w:rsid w:val="06485175"/>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7059E"/>
    <w:rsid w:val="11ED0F98"/>
    <w:rsid w:val="11F03528"/>
    <w:rsid w:val="12C921C4"/>
    <w:rsid w:val="13871C70"/>
    <w:rsid w:val="13A71CB4"/>
    <w:rsid w:val="13AF1D43"/>
    <w:rsid w:val="13CE1647"/>
    <w:rsid w:val="13FD55AB"/>
    <w:rsid w:val="14200702"/>
    <w:rsid w:val="163A6CEE"/>
    <w:rsid w:val="1716023C"/>
    <w:rsid w:val="173708E3"/>
    <w:rsid w:val="17C374FC"/>
    <w:rsid w:val="182B0F8A"/>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036D36"/>
    <w:rsid w:val="21556F04"/>
    <w:rsid w:val="22403BD3"/>
    <w:rsid w:val="24B92327"/>
    <w:rsid w:val="24C14514"/>
    <w:rsid w:val="2533755C"/>
    <w:rsid w:val="25791755"/>
    <w:rsid w:val="257957DE"/>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164363"/>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217A4"/>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1075D0"/>
    <w:rsid w:val="3F694D83"/>
    <w:rsid w:val="3F885DCC"/>
    <w:rsid w:val="3FCD675E"/>
    <w:rsid w:val="4004000C"/>
    <w:rsid w:val="40BD5482"/>
    <w:rsid w:val="411B6CE5"/>
    <w:rsid w:val="412070D7"/>
    <w:rsid w:val="41314E40"/>
    <w:rsid w:val="41E0734B"/>
    <w:rsid w:val="426C1EA8"/>
    <w:rsid w:val="426F58A0"/>
    <w:rsid w:val="42736402"/>
    <w:rsid w:val="42E86A87"/>
    <w:rsid w:val="43307B09"/>
    <w:rsid w:val="439A3EB9"/>
    <w:rsid w:val="43BB152F"/>
    <w:rsid w:val="44C37687"/>
    <w:rsid w:val="45CB699A"/>
    <w:rsid w:val="465B470D"/>
    <w:rsid w:val="469D6AD4"/>
    <w:rsid w:val="471E6C84"/>
    <w:rsid w:val="4748792B"/>
    <w:rsid w:val="475D719D"/>
    <w:rsid w:val="47674801"/>
    <w:rsid w:val="47917428"/>
    <w:rsid w:val="48225EF7"/>
    <w:rsid w:val="488F422B"/>
    <w:rsid w:val="48E36915"/>
    <w:rsid w:val="48EB6572"/>
    <w:rsid w:val="495C4A24"/>
    <w:rsid w:val="497135DF"/>
    <w:rsid w:val="4999302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DC14CA"/>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3E095B"/>
    <w:rsid w:val="5A3B59D6"/>
    <w:rsid w:val="5AD134D8"/>
    <w:rsid w:val="5C1F5A88"/>
    <w:rsid w:val="5C263CE4"/>
    <w:rsid w:val="5C5D2777"/>
    <w:rsid w:val="5CF66BF3"/>
    <w:rsid w:val="5D290C69"/>
    <w:rsid w:val="5D463D42"/>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F261EA"/>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CB7399"/>
    <w:rsid w:val="72DB435C"/>
    <w:rsid w:val="72E2613A"/>
    <w:rsid w:val="72F771F4"/>
    <w:rsid w:val="73934AD2"/>
    <w:rsid w:val="74704319"/>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2024-09-12T01:07:23Z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