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重庆市荣昌区峰高街道退役军人服务站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b w:val="0"/>
          <w:bCs w:val="0"/>
          <w:color w:val="auto"/>
          <w:sz w:val="32"/>
          <w:szCs w:val="32"/>
          <w:shd w:val="clear" w:color="auto" w:fill="FFFFFF"/>
          <w:lang w:val="en-US" w:eastAsia="zh-CN"/>
        </w:rPr>
      </w:pPr>
      <w:r>
        <w:rPr>
          <w:rFonts w:hint="eastAsia" w:ascii="方正小标宋_GBK" w:hAnsi="方正小标宋_GBK" w:eastAsia="方正小标宋_GBK" w:cs="方正小标宋_GBK"/>
          <w:b w:val="0"/>
          <w:bCs w:val="0"/>
          <w:color w:val="auto"/>
          <w:sz w:val="44"/>
          <w:szCs w:val="44"/>
          <w:shd w:val="clear" w:color="auto" w:fill="FFFFFF"/>
        </w:rPr>
        <w:t>2023年度</w:t>
      </w:r>
      <w:r>
        <w:rPr>
          <w:rFonts w:hint="eastAsia" w:ascii="方正小标宋_GBK" w:hAnsi="方正小标宋_GBK" w:eastAsia="方正小标宋_GBK" w:cs="方正小标宋_GBK"/>
          <w:b w:val="0"/>
          <w:bCs w:val="0"/>
          <w:color w:val="auto"/>
          <w:sz w:val="44"/>
          <w:szCs w:val="44"/>
          <w:shd w:val="clear" w:color="auto" w:fill="FFFFFF"/>
          <w:lang w:val="en-US" w:eastAsia="zh-CN"/>
        </w:rPr>
        <w:t>部门</w:t>
      </w:r>
      <w:r>
        <w:rPr>
          <w:rFonts w:hint="eastAsia" w:ascii="方正小标宋_GBK" w:hAnsi="方正小标宋_GBK" w:eastAsia="方正小标宋_GBK" w:cs="方正小标宋_GBK"/>
          <w:b w:val="0"/>
          <w:bCs w:val="0"/>
          <w:color w:val="auto"/>
          <w:sz w:val="44"/>
          <w:szCs w:val="44"/>
          <w:shd w:val="clear" w:color="auto" w:fill="FFFFFF"/>
        </w:rPr>
        <w:t>决算公开</w:t>
      </w:r>
      <w:r>
        <w:rPr>
          <w:rFonts w:hint="eastAsia" w:ascii="方正小标宋_GBK" w:hAnsi="方正小标宋_GBK" w:eastAsia="方正小标宋_GBK" w:cs="方正小标宋_GBK"/>
          <w:b w:val="0"/>
          <w:bCs w:val="0"/>
          <w:color w:val="auto"/>
          <w:sz w:val="44"/>
          <w:szCs w:val="44"/>
          <w:shd w:val="clear" w:color="auto" w:fill="FFFFFF"/>
          <w:lang w:val="en-US" w:eastAsia="zh-CN"/>
        </w:rPr>
        <w:t>报告</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Style w:val="10"/>
          <w:rFonts w:hint="eastAsia" w:ascii="方正仿宋_GBK" w:hAnsi="方正仿宋_GBK" w:eastAsia="方正仿宋_GBK" w:cs="方正仿宋_GBK"/>
          <w:b w:val="0"/>
          <w:bCs w:val="0"/>
          <w:color w:val="auto"/>
          <w:sz w:val="32"/>
          <w:szCs w:val="32"/>
          <w:shd w:val="clear" w:color="auto" w:fill="FFFFFF"/>
        </w:rPr>
      </w:pP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黑体_GBK" w:hAnsi="方正黑体_GBK" w:eastAsia="方正黑体_GBK" w:cs="方正黑体_GBK"/>
          <w:b w:val="0"/>
          <w:bCs w:val="0"/>
          <w:color w:val="auto"/>
          <w:sz w:val="32"/>
          <w:szCs w:val="32"/>
        </w:rPr>
      </w:pPr>
      <w:r>
        <w:rPr>
          <w:rStyle w:val="10"/>
          <w:rFonts w:hint="eastAsia" w:ascii="方正黑体_GBK" w:hAnsi="方正黑体_GBK" w:eastAsia="方正黑体_GBK" w:cs="方正黑体_GBK"/>
          <w:b w:val="0"/>
          <w:bCs w:val="0"/>
          <w:color w:val="auto"/>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lang w:eastAsia="zh-CN"/>
        </w:rPr>
      </w:pPr>
      <w:r>
        <w:rPr>
          <w:rStyle w:val="10"/>
          <w:rFonts w:hint="eastAsia" w:ascii="方正楷体_GBK" w:hAnsi="方正楷体_GBK" w:eastAsia="方正楷体_GBK" w:cs="方正楷体_GBK"/>
          <w:b w:val="0"/>
          <w:bCs w:val="0"/>
          <w:color w:val="auto"/>
          <w:sz w:val="32"/>
          <w:szCs w:val="32"/>
          <w:shd w:val="clear" w:color="auto" w:fill="FFFFFF"/>
        </w:rPr>
        <w:t>（一）职能职责</w:t>
      </w:r>
      <w:r>
        <w:rPr>
          <w:rStyle w:val="10"/>
          <w:rFonts w:hint="eastAsia" w:ascii="方正楷体_GBK" w:hAnsi="方正楷体_GBK" w:eastAsia="方正楷体_GBK" w:cs="方正楷体_GBK"/>
          <w:b w:val="0"/>
          <w:bCs w:val="0"/>
          <w:color w:val="auto"/>
          <w:sz w:val="32"/>
          <w:szCs w:val="32"/>
          <w:shd w:val="clear" w:color="auto" w:fill="FFFFFF"/>
          <w:lang w:eastAsia="zh-CN"/>
        </w:rPr>
        <w:t>。</w:t>
      </w:r>
    </w:p>
    <w:p>
      <w:pPr>
        <w:keepNext w:val="0"/>
        <w:keepLines w:val="0"/>
        <w:pageBreakBefore w:val="0"/>
        <w:widowControl/>
        <w:suppressLineNumbers w:val="0"/>
        <w:kinsoku/>
        <w:wordWrap/>
        <w:overflowPunct/>
        <w:topLinePunct w:val="0"/>
        <w:autoSpaceDN/>
        <w:bidi w:val="0"/>
        <w:adjustRightInd/>
        <w:snapToGrid w:val="0"/>
        <w:ind w:left="0"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为退役军人提供服务。负责退役军人关系转接、联络接待、困难帮扶、信息采集、情况反映、立功喜报、悬挂光荣牌和“八一”、春节等节日以及重大变故走访慰问等具体事务，搭建政策咨询、帮扶援助、沟通联系、学习交流等活动场所；承担其他涉及退役军人的相关服务工作。</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lang w:eastAsia="zh-CN"/>
        </w:rPr>
      </w:pPr>
      <w:r>
        <w:rPr>
          <w:rStyle w:val="10"/>
          <w:rFonts w:hint="eastAsia" w:ascii="方正楷体_GBK" w:hAnsi="方正楷体_GBK" w:eastAsia="方正楷体_GBK" w:cs="方正楷体_GBK"/>
          <w:b w:val="0"/>
          <w:bCs w:val="0"/>
          <w:color w:val="auto"/>
          <w:sz w:val="32"/>
          <w:szCs w:val="32"/>
          <w:shd w:val="clear" w:color="auto" w:fill="FFFFFF"/>
        </w:rPr>
        <w:t>（二）机构设置</w:t>
      </w:r>
      <w:r>
        <w:rPr>
          <w:rStyle w:val="10"/>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本单位为重庆市荣昌区人民政府峰高街道办事处下属二级预算单位，无内设机构，</w:t>
      </w:r>
      <w:bookmarkStart w:id="0" w:name="_GoBack"/>
      <w:bookmarkEnd w:id="0"/>
      <w:r>
        <w:rPr>
          <w:rFonts w:hint="eastAsia" w:ascii="方正仿宋_GBK" w:hAnsi="方正仿宋_GBK" w:eastAsia="方正仿宋_GBK" w:cs="方正仿宋_GBK"/>
          <w:color w:val="auto"/>
          <w:sz w:val="32"/>
          <w:szCs w:val="32"/>
          <w:lang w:val="en-US" w:eastAsia="zh-CN"/>
        </w:rPr>
        <w:t>2023年末实有在职人员3人。</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Style w:val="10"/>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黑体_GBK" w:hAnsi="方正黑体_GBK" w:eastAsia="方正黑体_GBK" w:cs="方正黑体_GBK"/>
          <w:b w:val="0"/>
          <w:bCs w:val="0"/>
          <w:color w:val="auto"/>
          <w:sz w:val="32"/>
          <w:szCs w:val="32"/>
          <w:shd w:val="clear" w:color="auto" w:fill="FFFFFF"/>
        </w:rPr>
        <w:t>二、单位决算情况说明</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仿宋_GBK" w:hAnsi="方正仿宋_GBK" w:eastAsia="方正仿宋_GBK" w:cs="方正仿宋_GBK"/>
          <w:b w:val="0"/>
          <w:bCs w:val="0"/>
          <w:color w:val="auto"/>
          <w:sz w:val="32"/>
          <w:szCs w:val="32"/>
          <w:shd w:val="clear" w:color="auto" w:fill="FFFFFF"/>
        </w:rPr>
        <w:t>1.总体情况。</w:t>
      </w:r>
      <w:r>
        <w:rPr>
          <w:rFonts w:hint="eastAsia" w:ascii="方正仿宋_GBK" w:hAnsi="方正仿宋_GBK" w:eastAsia="方正仿宋_GBK" w:cs="方正仿宋_GBK"/>
          <w:b w:val="0"/>
          <w:bCs w:val="0"/>
          <w:color w:val="auto"/>
          <w:sz w:val="32"/>
          <w:szCs w:val="32"/>
          <w:shd w:val="clear" w:color="auto" w:fill="FFFFFF"/>
        </w:rPr>
        <w:t>2023年度收入总计65.43万元，支出总计</w:t>
      </w:r>
      <w:r>
        <w:rPr>
          <w:rFonts w:hint="eastAsia" w:ascii="方正仿宋_GBK" w:hAnsi="方正仿宋_GBK" w:eastAsia="方正仿宋_GBK" w:cs="方正仿宋_GBK"/>
          <w:b w:val="0"/>
          <w:bCs w:val="0"/>
          <w:color w:val="auto"/>
          <w:sz w:val="32"/>
          <w:szCs w:val="32"/>
        </w:rPr>
        <w:t>65.43</w:t>
      </w:r>
      <w:r>
        <w:rPr>
          <w:rFonts w:hint="eastAsia" w:ascii="方正仿宋_GBK" w:hAnsi="方正仿宋_GBK" w:eastAsia="方正仿宋_GBK" w:cs="方正仿宋_GBK"/>
          <w:b w:val="0"/>
          <w:bCs w:val="0"/>
          <w:color w:val="auto"/>
          <w:sz w:val="32"/>
          <w:szCs w:val="32"/>
          <w:shd w:val="clear" w:color="auto" w:fill="FFFFFF"/>
        </w:rPr>
        <w:t>万元。收支较上年决算数增加9.83万元，增长17.68%，主要原因是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职工工资福利和公用经费增加</w:t>
      </w:r>
      <w:r>
        <w:rPr>
          <w:rFonts w:hint="eastAsia" w:ascii="方正仿宋_GBK" w:hAnsi="方正仿宋_GBK" w:eastAsia="方正仿宋_GBK" w:cs="方正仿宋_GBK"/>
          <w:b w:val="0"/>
          <w:bCs w:val="0"/>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仿宋_GBK" w:hAnsi="方正仿宋_GBK" w:eastAsia="方正仿宋_GBK" w:cs="方正仿宋_GBK"/>
          <w:b w:val="0"/>
          <w:bCs w:val="0"/>
          <w:color w:val="auto"/>
          <w:sz w:val="32"/>
          <w:szCs w:val="32"/>
          <w:shd w:val="clear" w:color="auto" w:fill="FFFFFF"/>
        </w:rPr>
        <w:t>2.收入情况。</w:t>
      </w:r>
      <w:r>
        <w:rPr>
          <w:rFonts w:hint="eastAsia" w:ascii="方正仿宋_GBK" w:hAnsi="方正仿宋_GBK" w:eastAsia="方正仿宋_GBK" w:cs="方正仿宋_GBK"/>
          <w:b w:val="0"/>
          <w:bCs w:val="0"/>
          <w:color w:val="auto"/>
          <w:sz w:val="32"/>
          <w:szCs w:val="32"/>
          <w:shd w:val="clear" w:color="auto" w:fill="FFFFFF"/>
        </w:rPr>
        <w:t>2023年度收入合计65.43万元，较上年决算数增加9.83万元，增长17.68%，主要原因是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职工工资福利和公用经费增加</w:t>
      </w:r>
      <w:r>
        <w:rPr>
          <w:rFonts w:hint="eastAsia" w:ascii="方正仿宋_GBK" w:hAnsi="方正仿宋_GBK" w:eastAsia="方正仿宋_GBK" w:cs="方正仿宋_GBK"/>
          <w:b w:val="0"/>
          <w:bCs w:val="0"/>
          <w:color w:val="auto"/>
          <w:sz w:val="32"/>
          <w:szCs w:val="32"/>
          <w:shd w:val="clear" w:color="auto" w:fill="FFFFFF"/>
        </w:rPr>
        <w:t>。其中：财政拨款收入</w:t>
      </w:r>
      <w:r>
        <w:rPr>
          <w:rFonts w:hint="eastAsia" w:ascii="方正仿宋_GBK" w:hAnsi="方正仿宋_GBK" w:eastAsia="方正仿宋_GBK" w:cs="方正仿宋_GBK"/>
          <w:b w:val="0"/>
          <w:bCs w:val="0"/>
          <w:color w:val="auto"/>
          <w:sz w:val="32"/>
          <w:szCs w:val="32"/>
        </w:rPr>
        <w:t>65.43</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100.00</w:t>
      </w:r>
      <w:r>
        <w:rPr>
          <w:rFonts w:hint="eastAsia" w:ascii="方正仿宋_GBK" w:hAnsi="方正仿宋_GBK" w:eastAsia="方正仿宋_GBK" w:cs="方正仿宋_GBK"/>
          <w:b w:val="0"/>
          <w:bCs w:val="0"/>
          <w:color w:val="auto"/>
          <w:sz w:val="32"/>
          <w:szCs w:val="32"/>
          <w:shd w:val="clear" w:color="auto" w:fill="FFFFFF"/>
        </w:rPr>
        <w:t>%；事业收入</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万元，占0.00%；经营收入</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万元，占0.00%；其他收入</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万元，占0.00%。此外，使用非财政拨款结余和专用结余</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万元，年初结转和结余</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仿宋_GBK" w:hAnsi="方正仿宋_GBK" w:eastAsia="方正仿宋_GBK" w:cs="方正仿宋_GBK"/>
          <w:b w:val="0"/>
          <w:bCs w:val="0"/>
          <w:color w:val="auto"/>
          <w:sz w:val="32"/>
          <w:szCs w:val="32"/>
          <w:shd w:val="clear" w:color="auto" w:fill="FFFFFF"/>
        </w:rPr>
        <w:t>3.支出情况。</w:t>
      </w:r>
      <w:r>
        <w:rPr>
          <w:rFonts w:hint="eastAsia" w:ascii="方正仿宋_GBK" w:hAnsi="方正仿宋_GBK" w:eastAsia="方正仿宋_GBK" w:cs="方正仿宋_GBK"/>
          <w:b w:val="0"/>
          <w:bCs w:val="0"/>
          <w:color w:val="auto"/>
          <w:sz w:val="32"/>
          <w:szCs w:val="32"/>
          <w:shd w:val="clear" w:color="auto" w:fill="FFFFFF"/>
        </w:rPr>
        <w:t>2023年度支出合计</w:t>
      </w:r>
      <w:r>
        <w:rPr>
          <w:rFonts w:hint="eastAsia" w:ascii="方正仿宋_GBK" w:hAnsi="方正仿宋_GBK" w:eastAsia="方正仿宋_GBK" w:cs="方正仿宋_GBK"/>
          <w:b w:val="0"/>
          <w:bCs w:val="0"/>
          <w:color w:val="auto"/>
          <w:sz w:val="32"/>
          <w:szCs w:val="32"/>
        </w:rPr>
        <w:t>65.43</w:t>
      </w:r>
      <w:r>
        <w:rPr>
          <w:rFonts w:hint="eastAsia" w:ascii="方正仿宋_GBK" w:hAnsi="方正仿宋_GBK" w:eastAsia="方正仿宋_GBK" w:cs="方正仿宋_GBK"/>
          <w:b w:val="0"/>
          <w:bCs w:val="0"/>
          <w:color w:val="auto"/>
          <w:sz w:val="32"/>
          <w:szCs w:val="32"/>
          <w:shd w:val="clear" w:color="auto" w:fill="FFFFFF"/>
        </w:rPr>
        <w:t>万元，较上年决算数增加9.83万元，增长17.68%，主要原因是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职工工资福利和公用经费增加</w:t>
      </w:r>
      <w:r>
        <w:rPr>
          <w:rFonts w:hint="eastAsia" w:ascii="方正仿宋_GBK" w:hAnsi="方正仿宋_GBK" w:eastAsia="方正仿宋_GBK" w:cs="方正仿宋_GBK"/>
          <w:b w:val="0"/>
          <w:bCs w:val="0"/>
          <w:color w:val="auto"/>
          <w:sz w:val="32"/>
          <w:szCs w:val="32"/>
          <w:shd w:val="clear" w:color="auto" w:fill="FFFFFF"/>
        </w:rPr>
        <w:t>。其中：基本支出</w:t>
      </w:r>
      <w:r>
        <w:rPr>
          <w:rFonts w:hint="eastAsia" w:ascii="方正仿宋_GBK" w:hAnsi="方正仿宋_GBK" w:eastAsia="方正仿宋_GBK" w:cs="方正仿宋_GBK"/>
          <w:b w:val="0"/>
          <w:bCs w:val="0"/>
          <w:color w:val="auto"/>
          <w:sz w:val="32"/>
          <w:szCs w:val="32"/>
        </w:rPr>
        <w:t>65.43</w:t>
      </w:r>
      <w:r>
        <w:rPr>
          <w:rFonts w:hint="eastAsia" w:ascii="方正仿宋_GBK" w:hAnsi="方正仿宋_GBK" w:eastAsia="方正仿宋_GBK" w:cs="方正仿宋_GBK"/>
          <w:b w:val="0"/>
          <w:bCs w:val="0"/>
          <w:color w:val="auto"/>
          <w:sz w:val="32"/>
          <w:szCs w:val="32"/>
          <w:shd w:val="clear" w:color="auto" w:fill="FFFFFF"/>
        </w:rPr>
        <w:t>万元，占100.00%；项目支出</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万元，占0.00%；经营支出</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万元，占0.00%。此外，结余分配</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仿宋_GBK" w:hAnsi="方正仿宋_GBK" w:eastAsia="方正仿宋_GBK" w:cs="方正仿宋_GBK"/>
          <w:b w:val="0"/>
          <w:bCs w:val="0"/>
          <w:color w:val="auto"/>
          <w:sz w:val="32"/>
          <w:szCs w:val="32"/>
          <w:shd w:val="clear" w:color="auto" w:fill="FFFFFF"/>
        </w:rPr>
        <w:t>4.结转结余情况。</w:t>
      </w:r>
      <w:r>
        <w:rPr>
          <w:rFonts w:hint="eastAsia" w:ascii="方正仿宋_GBK" w:hAnsi="方正仿宋_GBK" w:eastAsia="方正仿宋_GBK" w:cs="方正仿宋_GBK"/>
          <w:b w:val="0"/>
          <w:bCs w:val="0"/>
          <w:color w:val="auto"/>
          <w:sz w:val="32"/>
          <w:szCs w:val="32"/>
          <w:shd w:val="clear" w:color="auto" w:fill="FFFFFF"/>
        </w:rPr>
        <w:t>2023年度年末结转和结余</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万元，较上年决算数无增减，</w:t>
      </w:r>
      <w:r>
        <w:rPr>
          <w:rFonts w:hint="eastAsia" w:ascii="方正仿宋_GBK" w:hAnsi="方正仿宋_GBK" w:eastAsia="方正仿宋_GBK" w:cs="方正仿宋_GBK"/>
          <w:color w:val="auto"/>
          <w:sz w:val="32"/>
          <w:szCs w:val="32"/>
        </w:rPr>
        <w:t>与上年持平。</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（二）财政拨款收入支出决算总体情况说明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2023年度财政拨款收、支总计65.43万元。与2022年相比，财政拨款收、支总计各增加9.83万元，增长17.68%。主要原因是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职工工资福利和公用经费增加</w:t>
      </w:r>
      <w:r>
        <w:rPr>
          <w:rFonts w:hint="eastAsia" w:ascii="方正仿宋_GBK" w:hAnsi="方正仿宋_GBK" w:eastAsia="方正仿宋_GBK" w:cs="方正仿宋_GBK"/>
          <w:b w:val="0"/>
          <w:bCs w:val="0"/>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（三）一般公共预算财政拨款收入支出决算情况说明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仿宋_GBK" w:hAnsi="方正仿宋_GBK" w:eastAsia="方正仿宋_GBK" w:cs="方正仿宋_GBK"/>
          <w:b w:val="0"/>
          <w:bCs w:val="0"/>
          <w:color w:val="auto"/>
          <w:sz w:val="32"/>
          <w:szCs w:val="32"/>
          <w:shd w:val="clear" w:color="auto" w:fill="FFFFFF"/>
        </w:rPr>
        <w:t>1.收入情况。</w:t>
      </w:r>
      <w:r>
        <w:rPr>
          <w:rFonts w:hint="eastAsia" w:ascii="方正仿宋_GBK" w:hAnsi="方正仿宋_GBK" w:eastAsia="方正仿宋_GBK" w:cs="方正仿宋_GBK"/>
          <w:b w:val="0"/>
          <w:bCs w:val="0"/>
          <w:color w:val="auto"/>
          <w:sz w:val="32"/>
          <w:szCs w:val="32"/>
          <w:shd w:val="clear" w:color="auto" w:fill="FFFFFF"/>
        </w:rPr>
        <w:t>2023年度一般公共预算财政拨款收入</w:t>
      </w:r>
      <w:r>
        <w:rPr>
          <w:rFonts w:hint="eastAsia" w:ascii="方正仿宋_GBK" w:hAnsi="方正仿宋_GBK" w:eastAsia="方正仿宋_GBK" w:cs="方正仿宋_GBK"/>
          <w:b w:val="0"/>
          <w:bCs w:val="0"/>
          <w:color w:val="auto"/>
          <w:sz w:val="32"/>
          <w:szCs w:val="32"/>
        </w:rPr>
        <w:t>65.43</w:t>
      </w:r>
      <w:r>
        <w:rPr>
          <w:rFonts w:hint="eastAsia" w:ascii="方正仿宋_GBK" w:hAnsi="方正仿宋_GBK" w:eastAsia="方正仿宋_GBK" w:cs="方正仿宋_GBK"/>
          <w:b w:val="0"/>
          <w:bCs w:val="0"/>
          <w:color w:val="auto"/>
          <w:sz w:val="32"/>
          <w:szCs w:val="32"/>
          <w:shd w:val="clear" w:color="auto" w:fill="FFFFFF"/>
        </w:rPr>
        <w:t>万元，较上年决算数增加9.83万元，增长17.68%。主要原因是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职工工资福利和公用经费增加</w:t>
      </w:r>
      <w:r>
        <w:rPr>
          <w:rFonts w:hint="eastAsia" w:ascii="方正仿宋_GBK" w:hAnsi="方正仿宋_GBK" w:eastAsia="方正仿宋_GBK" w:cs="方正仿宋_GBK"/>
          <w:b w:val="0"/>
          <w:bCs w:val="0"/>
          <w:color w:val="auto"/>
          <w:sz w:val="32"/>
          <w:szCs w:val="32"/>
          <w:shd w:val="clear" w:color="auto" w:fill="FFFFFF"/>
        </w:rPr>
        <w:t>。较年初预算数增加3.80万元，增长6.17%。主要原因是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职工工资福利增加</w:t>
      </w:r>
      <w:r>
        <w:rPr>
          <w:rFonts w:hint="eastAsia" w:ascii="方正仿宋_GBK" w:hAnsi="方正仿宋_GBK" w:eastAsia="方正仿宋_GBK" w:cs="方正仿宋_GBK"/>
          <w:b w:val="0"/>
          <w:bCs w:val="0"/>
          <w:color w:val="auto"/>
          <w:sz w:val="32"/>
          <w:szCs w:val="32"/>
          <w:shd w:val="clear" w:color="auto" w:fill="FFFFFF"/>
        </w:rPr>
        <w:t>。此外，年初财政拨款结转和结余</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仿宋_GBK" w:hAnsi="方正仿宋_GBK" w:eastAsia="方正仿宋_GBK" w:cs="方正仿宋_GBK"/>
          <w:b w:val="0"/>
          <w:bCs w:val="0"/>
          <w:color w:val="auto"/>
          <w:sz w:val="32"/>
          <w:szCs w:val="32"/>
          <w:shd w:val="clear" w:color="auto" w:fill="FFFFFF"/>
        </w:rPr>
        <w:t>2.支出情况。</w:t>
      </w:r>
      <w:r>
        <w:rPr>
          <w:rFonts w:hint="eastAsia" w:ascii="方正仿宋_GBK" w:hAnsi="方正仿宋_GBK" w:eastAsia="方正仿宋_GBK" w:cs="方正仿宋_GBK"/>
          <w:b w:val="0"/>
          <w:bCs w:val="0"/>
          <w:color w:val="auto"/>
          <w:sz w:val="32"/>
          <w:szCs w:val="32"/>
          <w:shd w:val="clear" w:color="auto" w:fill="FFFFFF"/>
        </w:rPr>
        <w:t>2023年度一般公共预算财政拨款支出</w:t>
      </w:r>
      <w:r>
        <w:rPr>
          <w:rFonts w:hint="eastAsia" w:ascii="方正仿宋_GBK" w:hAnsi="方正仿宋_GBK" w:eastAsia="方正仿宋_GBK" w:cs="方正仿宋_GBK"/>
          <w:b w:val="0"/>
          <w:bCs w:val="0"/>
          <w:color w:val="auto"/>
          <w:sz w:val="32"/>
          <w:szCs w:val="32"/>
        </w:rPr>
        <w:t>65.43</w:t>
      </w:r>
      <w:r>
        <w:rPr>
          <w:rFonts w:hint="eastAsia" w:ascii="方正仿宋_GBK" w:hAnsi="方正仿宋_GBK" w:eastAsia="方正仿宋_GBK" w:cs="方正仿宋_GBK"/>
          <w:b w:val="0"/>
          <w:bCs w:val="0"/>
          <w:color w:val="auto"/>
          <w:sz w:val="32"/>
          <w:szCs w:val="32"/>
          <w:shd w:val="clear" w:color="auto" w:fill="FFFFFF"/>
        </w:rPr>
        <w:t>万元，较上年决算数增加9.83万元，增长17.68%。主要原因是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职工工资福利和公用经费增加</w:t>
      </w:r>
      <w:r>
        <w:rPr>
          <w:rFonts w:hint="eastAsia" w:ascii="方正仿宋_GBK" w:hAnsi="方正仿宋_GBK" w:eastAsia="方正仿宋_GBK" w:cs="方正仿宋_GBK"/>
          <w:b w:val="0"/>
          <w:bCs w:val="0"/>
          <w:color w:val="auto"/>
          <w:sz w:val="32"/>
          <w:szCs w:val="32"/>
          <w:shd w:val="clear" w:color="auto" w:fill="FFFFFF"/>
        </w:rPr>
        <w:t>。较年初预算数增加3.80万元，增长6.17%。主要原因是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职工工资福利增加</w:t>
      </w:r>
      <w:r>
        <w:rPr>
          <w:rFonts w:hint="eastAsia" w:ascii="方正仿宋_GBK" w:hAnsi="方正仿宋_GBK" w:eastAsia="方正仿宋_GBK" w:cs="方正仿宋_GBK"/>
          <w:b w:val="0"/>
          <w:bCs w:val="0"/>
          <w:color w:val="auto"/>
          <w:sz w:val="32"/>
          <w:szCs w:val="32"/>
          <w:shd w:val="clear" w:color="auto" w:fill="FFFFFF"/>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b w:val="0"/>
          <w:bCs w:val="0"/>
          <w:color w:val="auto"/>
          <w:sz w:val="32"/>
          <w:szCs w:val="32"/>
          <w:shd w:val="clear" w:color="auto" w:fill="FFFFFF"/>
        </w:rPr>
        <w:t>3.结转结余情况。</w:t>
      </w:r>
      <w:r>
        <w:rPr>
          <w:rFonts w:hint="eastAsia" w:ascii="方正仿宋_GBK" w:hAnsi="方正仿宋_GBK" w:eastAsia="方正仿宋_GBK" w:cs="方正仿宋_GBK"/>
          <w:b w:val="0"/>
          <w:bCs w:val="0"/>
          <w:color w:val="auto"/>
          <w:sz w:val="32"/>
          <w:szCs w:val="32"/>
          <w:shd w:val="clear" w:color="auto" w:fill="FFFFFF"/>
        </w:rPr>
        <w:t>2023年度年末一般公共预算财政拨款结转和结余</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万元，较上年决算数无增减，</w:t>
      </w:r>
      <w:r>
        <w:rPr>
          <w:rFonts w:hint="eastAsia" w:ascii="方正仿宋_GBK" w:hAnsi="方正仿宋_GBK" w:eastAsia="方正仿宋_GBK" w:cs="方正仿宋_GBK"/>
          <w:color w:val="auto"/>
          <w:sz w:val="32"/>
          <w:szCs w:val="32"/>
        </w:rPr>
        <w:t>与上年持平。</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仿宋_GBK" w:hAnsi="方正仿宋_GBK" w:eastAsia="方正仿宋_GBK" w:cs="方正仿宋_GBK"/>
          <w:b w:val="0"/>
          <w:bCs w:val="0"/>
          <w:color w:val="auto"/>
          <w:sz w:val="32"/>
          <w:szCs w:val="32"/>
          <w:shd w:val="clear" w:color="auto" w:fill="FFFFFF"/>
        </w:rPr>
        <w:t>4.比较情况。</w:t>
      </w:r>
      <w:r>
        <w:rPr>
          <w:rFonts w:hint="eastAsia" w:ascii="方正仿宋_GBK" w:hAnsi="方正仿宋_GBK" w:eastAsia="方正仿宋_GBK" w:cs="方正仿宋_GBK"/>
          <w:b w:val="0"/>
          <w:bCs w:val="0"/>
          <w:color w:val="auto"/>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（1）教育支出</w:t>
      </w:r>
      <w:r>
        <w:rPr>
          <w:rFonts w:hint="eastAsia" w:ascii="方正仿宋_GBK" w:hAnsi="方正仿宋_GBK" w:eastAsia="方正仿宋_GBK" w:cs="方正仿宋_GBK"/>
          <w:b w:val="0"/>
          <w:bCs w:val="0"/>
          <w:color w:val="auto"/>
          <w:sz w:val="32"/>
          <w:szCs w:val="32"/>
        </w:rPr>
        <w:t>0.34</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0.52</w:t>
      </w:r>
      <w:r>
        <w:rPr>
          <w:rFonts w:hint="eastAsia" w:ascii="方正仿宋_GBK" w:hAnsi="方正仿宋_GBK" w:eastAsia="方正仿宋_GBK" w:cs="方正仿宋_GBK"/>
          <w:b w:val="0"/>
          <w:bCs w:val="0"/>
          <w:color w:val="auto"/>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lang w:val="en-US" w:eastAsia="zh-CN"/>
        </w:rPr>
        <w:t>准确预算经费</w:t>
      </w:r>
      <w:r>
        <w:rPr>
          <w:rFonts w:hint="eastAsia" w:ascii="方正仿宋_GBK" w:hAnsi="方正仿宋_GBK" w:eastAsia="方正仿宋_GBK" w:cs="方正仿宋_GBK"/>
          <w:color w:val="auto"/>
          <w:sz w:val="32"/>
          <w:szCs w:val="32"/>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（2）社会保障与就业支出</w:t>
      </w:r>
      <w:r>
        <w:rPr>
          <w:rFonts w:hint="eastAsia" w:ascii="方正仿宋_GBK" w:hAnsi="方正仿宋_GBK" w:eastAsia="方正仿宋_GBK" w:cs="方正仿宋_GBK"/>
          <w:b w:val="0"/>
          <w:bCs w:val="0"/>
          <w:color w:val="auto"/>
          <w:sz w:val="32"/>
          <w:szCs w:val="32"/>
        </w:rPr>
        <w:t>59.72</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91.27</w:t>
      </w:r>
      <w:r>
        <w:rPr>
          <w:rFonts w:hint="eastAsia" w:ascii="方正仿宋_GBK" w:hAnsi="方正仿宋_GBK" w:eastAsia="方正仿宋_GBK" w:cs="方正仿宋_GBK"/>
          <w:b w:val="0"/>
          <w:bCs w:val="0"/>
          <w:color w:val="auto"/>
          <w:sz w:val="32"/>
          <w:szCs w:val="32"/>
          <w:shd w:val="clear" w:color="auto" w:fill="FFFFFF"/>
        </w:rPr>
        <w:t>%，较年初预算数增加3.87万元，增长6.93%，主要原因是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职工工资福利增加</w:t>
      </w:r>
      <w:r>
        <w:rPr>
          <w:rFonts w:hint="eastAsia" w:ascii="方正仿宋_GBK" w:hAnsi="方正仿宋_GBK" w:eastAsia="方正仿宋_GBK" w:cs="方正仿宋_GBK"/>
          <w:b w:val="0"/>
          <w:bCs w:val="0"/>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（3）卫生健康支出</w:t>
      </w:r>
      <w:r>
        <w:rPr>
          <w:rFonts w:hint="eastAsia" w:ascii="方正仿宋_GBK" w:hAnsi="方正仿宋_GBK" w:eastAsia="方正仿宋_GBK" w:cs="方正仿宋_GBK"/>
          <w:b w:val="0"/>
          <w:bCs w:val="0"/>
          <w:color w:val="auto"/>
          <w:sz w:val="32"/>
          <w:szCs w:val="32"/>
        </w:rPr>
        <w:t>2.66</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4.07</w:t>
      </w:r>
      <w:r>
        <w:rPr>
          <w:rFonts w:hint="eastAsia" w:ascii="方正仿宋_GBK" w:hAnsi="方正仿宋_GBK" w:eastAsia="方正仿宋_GBK" w:cs="方正仿宋_GBK"/>
          <w:b w:val="0"/>
          <w:bCs w:val="0"/>
          <w:color w:val="auto"/>
          <w:sz w:val="32"/>
          <w:szCs w:val="32"/>
          <w:shd w:val="clear" w:color="auto" w:fill="FFFFFF"/>
        </w:rPr>
        <w:t>%，较年初预算数减少0.08万元，下降2.92%，主要原因是</w:t>
      </w:r>
      <w:r>
        <w:rPr>
          <w:rFonts w:hint="eastAsia" w:ascii="方正仿宋_GBK" w:hAnsi="方正仿宋_GBK" w:eastAsia="方正仿宋_GBK" w:cs="方正仿宋_GBK"/>
          <w:b w:val="0"/>
          <w:bCs w:val="0"/>
          <w:color w:val="auto"/>
          <w:sz w:val="32"/>
          <w:szCs w:val="32"/>
          <w:shd w:val="clear" w:color="auto" w:fill="FFFFFF"/>
          <w:lang w:val="en-US" w:eastAsia="zh-CN"/>
        </w:rPr>
        <w:t>生育保险减少</w:t>
      </w:r>
      <w:r>
        <w:rPr>
          <w:rFonts w:hint="eastAsia" w:ascii="方正仿宋_GBK" w:hAnsi="方正仿宋_GBK" w:eastAsia="方正仿宋_GBK" w:cs="方正仿宋_GBK"/>
          <w:b w:val="0"/>
          <w:bCs w:val="0"/>
          <w:color w:val="auto"/>
          <w:sz w:val="32"/>
          <w:szCs w:val="32"/>
          <w:shd w:val="clear" w:color="auto" w:fill="FFFFFF"/>
        </w:rPr>
        <w:t>。</w:t>
      </w:r>
    </w:p>
    <w:p>
      <w:pPr>
        <w:keepNext w:val="0"/>
        <w:keepLines w:val="0"/>
        <w:pageBreakBefore w:val="0"/>
        <w:widowControl/>
        <w:kinsoku/>
        <w:wordWrap/>
        <w:overflowPunct/>
        <w:topLinePunct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（4）</w:t>
      </w:r>
      <w:r>
        <w:rPr>
          <w:rFonts w:hint="eastAsia" w:ascii="方正仿宋_GBK" w:hAnsi="方正仿宋_GBK" w:eastAsia="方正仿宋_GBK" w:cs="方正仿宋_GBK"/>
          <w:b w:val="0"/>
          <w:bCs w:val="0"/>
          <w:color w:val="auto"/>
          <w:sz w:val="32"/>
          <w:szCs w:val="32"/>
        </w:rPr>
        <w:t>住房保障支出2.71</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4.14</w:t>
      </w:r>
      <w:r>
        <w:rPr>
          <w:rFonts w:hint="eastAsia" w:ascii="方正仿宋_GBK" w:hAnsi="方正仿宋_GBK" w:eastAsia="方正仿宋_GBK" w:cs="方正仿宋_GBK"/>
          <w:b w:val="0"/>
          <w:bCs w:val="0"/>
          <w:color w:val="auto"/>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lang w:val="en-US" w:eastAsia="zh-CN"/>
        </w:rPr>
        <w:t>准确预算经费</w:t>
      </w:r>
      <w:r>
        <w:rPr>
          <w:rFonts w:hint="eastAsia" w:ascii="方正仿宋_GBK" w:hAnsi="方正仿宋_GBK" w:eastAsia="方正仿宋_GBK" w:cs="方正仿宋_GBK"/>
          <w:color w:val="auto"/>
          <w:sz w:val="32"/>
          <w:szCs w:val="32"/>
        </w:rPr>
        <w:t>。</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（四）一般公共预算财政拨款基本支出决算情况说明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 2023年度一般公共财政拨款基本支出</w:t>
      </w:r>
      <w:r>
        <w:rPr>
          <w:rFonts w:hint="eastAsia" w:ascii="方正仿宋_GBK" w:hAnsi="方正仿宋_GBK" w:eastAsia="方正仿宋_GBK" w:cs="方正仿宋_GBK"/>
          <w:b w:val="0"/>
          <w:bCs w:val="0"/>
          <w:color w:val="auto"/>
          <w:sz w:val="32"/>
          <w:szCs w:val="32"/>
        </w:rPr>
        <w:t>65.43</w:t>
      </w:r>
      <w:r>
        <w:rPr>
          <w:rFonts w:hint="eastAsia" w:ascii="方正仿宋_GBK" w:hAnsi="方正仿宋_GBK" w:eastAsia="方正仿宋_GBK" w:cs="方正仿宋_GBK"/>
          <w:b w:val="0"/>
          <w:bCs w:val="0"/>
          <w:color w:val="auto"/>
          <w:sz w:val="32"/>
          <w:szCs w:val="32"/>
          <w:shd w:val="clear" w:color="auto" w:fill="FFFFFF"/>
        </w:rPr>
        <w:t>万元。其中：人员经费</w:t>
      </w:r>
      <w:r>
        <w:rPr>
          <w:rFonts w:hint="eastAsia" w:ascii="方正仿宋_GBK" w:hAnsi="方正仿宋_GBK" w:eastAsia="方正仿宋_GBK" w:cs="方正仿宋_GBK"/>
          <w:b w:val="0"/>
          <w:bCs w:val="0"/>
          <w:color w:val="auto"/>
          <w:sz w:val="32"/>
          <w:szCs w:val="32"/>
        </w:rPr>
        <w:t>55.35</w:t>
      </w:r>
      <w:r>
        <w:rPr>
          <w:rFonts w:hint="eastAsia" w:ascii="方正仿宋_GBK" w:hAnsi="方正仿宋_GBK" w:eastAsia="方正仿宋_GBK" w:cs="方正仿宋_GBK"/>
          <w:b w:val="0"/>
          <w:bCs w:val="0"/>
          <w:color w:val="auto"/>
          <w:sz w:val="32"/>
          <w:szCs w:val="32"/>
          <w:shd w:val="clear" w:color="auto" w:fill="FFFFFF"/>
        </w:rPr>
        <w:t>万元，较上年决算数增加3.64万元，增长7.04%，主要原因是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职工工资福利增加</w:t>
      </w:r>
      <w:r>
        <w:rPr>
          <w:rFonts w:hint="eastAsia" w:ascii="方正仿宋_GBK" w:hAnsi="方正仿宋_GBK" w:eastAsia="方正仿宋_GBK" w:cs="方正仿宋_GBK"/>
          <w:b w:val="0"/>
          <w:bCs w:val="0"/>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rPr>
        <w:t>基本工资、津贴补贴、绩效工资、社会保障缴费、住房公积金</w:t>
      </w:r>
      <w:r>
        <w:rPr>
          <w:rFonts w:hint="eastAsia" w:ascii="方正仿宋_GBK" w:hAnsi="方正仿宋_GBK" w:eastAsia="方正仿宋_GBK" w:cs="方正仿宋_GBK"/>
          <w:b w:val="0"/>
          <w:bCs w:val="0"/>
          <w:color w:val="auto"/>
          <w:sz w:val="32"/>
          <w:szCs w:val="32"/>
          <w:shd w:val="clear" w:color="auto" w:fill="FFFFFF"/>
        </w:rPr>
        <w:t>。公用经费</w:t>
      </w:r>
      <w:r>
        <w:rPr>
          <w:rFonts w:hint="eastAsia" w:ascii="方正仿宋_GBK" w:hAnsi="方正仿宋_GBK" w:eastAsia="方正仿宋_GBK" w:cs="方正仿宋_GBK"/>
          <w:b w:val="0"/>
          <w:bCs w:val="0"/>
          <w:color w:val="auto"/>
          <w:sz w:val="32"/>
          <w:szCs w:val="32"/>
        </w:rPr>
        <w:t>10.08</w:t>
      </w:r>
      <w:r>
        <w:rPr>
          <w:rFonts w:hint="eastAsia" w:ascii="方正仿宋_GBK" w:hAnsi="方正仿宋_GBK" w:eastAsia="方正仿宋_GBK" w:cs="方正仿宋_GBK"/>
          <w:b w:val="0"/>
          <w:bCs w:val="0"/>
          <w:color w:val="auto"/>
          <w:sz w:val="32"/>
          <w:szCs w:val="32"/>
          <w:shd w:val="clear" w:color="auto" w:fill="FFFFFF"/>
        </w:rPr>
        <w:t>万元，较上年决算数增加6.19万元，增长159.13%，主要原因是</w:t>
      </w:r>
      <w:r>
        <w:rPr>
          <w:rFonts w:hint="eastAsia" w:ascii="方正仿宋_GBK" w:hAnsi="方正仿宋_GBK" w:eastAsia="方正仿宋_GBK" w:cs="方正仿宋_GBK"/>
          <w:b w:val="0"/>
          <w:bCs w:val="0"/>
          <w:color w:val="auto"/>
          <w:sz w:val="32"/>
          <w:szCs w:val="32"/>
          <w:shd w:val="clear" w:color="auto" w:fill="FFFFFF"/>
          <w:lang w:val="en-US" w:eastAsia="zh-CN"/>
        </w:rPr>
        <w:t>办公费、培训费和工会经费增加</w:t>
      </w:r>
      <w:r>
        <w:rPr>
          <w:rFonts w:hint="eastAsia" w:ascii="方正仿宋_GBK" w:hAnsi="方正仿宋_GBK" w:eastAsia="方正仿宋_GBK" w:cs="方正仿宋_GBK"/>
          <w:b w:val="0"/>
          <w:bCs w:val="0"/>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rPr>
        <w:t>办公费、水电费、培训费、福利费、工会经费、其他商品和服务支出。</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（五）政府性基金预算收支决算情况说明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本单位2023年度无政府性基金预算财政拨款收支。</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rPr>
        <w:t>（六）国有资本经营预算财政拨款支出决算情况说明</w:t>
      </w:r>
      <w:r>
        <w:rPr>
          <w:rFonts w:hint="eastAsia" w:ascii="方正楷体_GBK" w:hAnsi="方正楷体_GBK" w:eastAsia="方正楷体_GBK" w:cs="方正楷体_GBK"/>
          <w:color w:val="auto"/>
          <w:sz w:val="32"/>
          <w:szCs w:val="32"/>
          <w:lang w:eastAsia="zh-CN"/>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Style w:val="10"/>
          <w:rFonts w:hint="eastAsia" w:ascii="方正黑体_GBK" w:hAnsi="方正黑体_GBK" w:eastAsia="方正黑体_GBK" w:cs="方正黑体_GBK"/>
          <w:b w:val="0"/>
          <w:bCs w:val="0"/>
          <w:color w:val="auto"/>
          <w:sz w:val="32"/>
          <w:szCs w:val="32"/>
          <w:shd w:val="clear" w:color="auto" w:fill="FFFFFF"/>
        </w:rPr>
      </w:pPr>
      <w:r>
        <w:rPr>
          <w:rStyle w:val="10"/>
          <w:rFonts w:hint="eastAsia" w:ascii="方正黑体_GBK" w:hAnsi="方正黑体_GBK" w:eastAsia="方正黑体_GBK" w:cs="方正黑体_GBK"/>
          <w:b w:val="0"/>
          <w:bCs w:val="0"/>
          <w:color w:val="auto"/>
          <w:sz w:val="32"/>
          <w:szCs w:val="32"/>
          <w:shd w:val="clear" w:color="auto" w:fill="FFFFFF"/>
        </w:rPr>
        <w:t>三、“三公”经费情况说明</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left="0" w:leftChars="0"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（一）“三公”经费支出总体情况说明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2023年度“三公”经费支出共计</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w:t>
      </w:r>
      <w:r>
        <w:rPr>
          <w:rFonts w:hint="eastAsia" w:ascii="方正仿宋_GBK" w:hAnsi="方正仿宋_GBK" w:eastAsia="方正仿宋_GBK" w:cs="方正仿宋_GBK"/>
          <w:b w:val="0"/>
          <w:bCs w:val="0"/>
          <w:color w:val="auto"/>
          <w:sz w:val="32"/>
          <w:szCs w:val="32"/>
          <w:shd w:val="clear" w:color="auto" w:fill="FFFFFF"/>
          <w:lang w:val="en-US" w:eastAsia="zh-CN"/>
        </w:rPr>
        <w:t>未发生“三公”经费支出。</w:t>
      </w:r>
      <w:r>
        <w:rPr>
          <w:rFonts w:hint="eastAsia" w:ascii="方正仿宋_GBK" w:hAnsi="方正仿宋_GBK" w:eastAsia="方正仿宋_GBK" w:cs="方正仿宋_GBK"/>
          <w:b w:val="0"/>
          <w:bCs w:val="0"/>
          <w:color w:val="auto"/>
          <w:sz w:val="32"/>
          <w:szCs w:val="32"/>
          <w:shd w:val="clear" w:color="auto" w:fill="FFFFFF"/>
        </w:rPr>
        <w:t>较年初预算数无增减。较上年支出数无增减</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与上年持平。</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（二）“三公”经费分项支出情况</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2023年度本单位因公出国（境）费用0.00万元</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未发生</w:t>
      </w:r>
      <w:r>
        <w:rPr>
          <w:rFonts w:hint="eastAsia" w:ascii="方正仿宋_GBK" w:hAnsi="方正仿宋_GBK" w:eastAsia="方正仿宋_GBK" w:cs="方正仿宋_GBK"/>
          <w:color w:val="auto"/>
          <w:sz w:val="32"/>
          <w:szCs w:val="32"/>
        </w:rPr>
        <w:t>因公出国（境）</w:t>
      </w:r>
      <w:r>
        <w:rPr>
          <w:rFonts w:hint="eastAsia" w:ascii="方正仿宋_GBK" w:hAnsi="方正仿宋_GBK" w:eastAsia="方正仿宋_GBK" w:cs="方正仿宋_GBK"/>
          <w:color w:val="auto"/>
          <w:sz w:val="32"/>
          <w:szCs w:val="32"/>
          <w:lang w:val="en-US" w:eastAsia="zh-CN"/>
        </w:rPr>
        <w:t>支出</w:t>
      </w:r>
      <w:r>
        <w:rPr>
          <w:rFonts w:hint="eastAsia" w:ascii="方正仿宋_GBK" w:hAnsi="方正仿宋_GBK" w:eastAsia="方正仿宋_GBK" w:cs="方正仿宋_GBK"/>
          <w:color w:val="auto"/>
          <w:sz w:val="32"/>
          <w:szCs w:val="32"/>
        </w:rPr>
        <w:t>。费用支出较年初预算数无增减</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较上年支出数无增减</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与上年持平。</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公务车购置费</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w:t>
      </w:r>
      <w:r>
        <w:rPr>
          <w:rFonts w:hint="eastAsia" w:ascii="方正仿宋_GBK" w:hAnsi="方正仿宋_GBK" w:eastAsia="方正仿宋_GBK" w:cs="方正仿宋_GBK"/>
          <w:color w:val="auto"/>
          <w:sz w:val="32"/>
          <w:szCs w:val="32"/>
          <w:lang w:val="en-US" w:eastAsia="zh-CN"/>
        </w:rPr>
        <w:t>未发生公务车购置支出</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b w:val="0"/>
          <w:bCs w:val="0"/>
          <w:color w:val="auto"/>
          <w:sz w:val="32"/>
          <w:szCs w:val="32"/>
          <w:shd w:val="clear" w:color="auto" w:fill="FFFFFF"/>
        </w:rPr>
        <w:t>费用支出较年初预算数无增减。较上年支出数无增减，</w:t>
      </w:r>
      <w:r>
        <w:rPr>
          <w:rFonts w:hint="eastAsia" w:ascii="方正仿宋_GBK" w:hAnsi="方正仿宋_GBK" w:eastAsia="方正仿宋_GBK" w:cs="方正仿宋_GBK"/>
          <w:color w:val="auto"/>
          <w:sz w:val="32"/>
          <w:szCs w:val="32"/>
        </w:rPr>
        <w:t>与上年持平。</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公务车运行维护费</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w:t>
      </w:r>
      <w:r>
        <w:rPr>
          <w:rFonts w:hint="eastAsia" w:ascii="方正仿宋_GBK" w:hAnsi="方正仿宋_GBK" w:eastAsia="方正仿宋_GBK" w:cs="方正仿宋_GBK"/>
          <w:b w:val="0"/>
          <w:bCs w:val="0"/>
          <w:color w:val="auto"/>
          <w:sz w:val="32"/>
          <w:szCs w:val="32"/>
          <w:shd w:val="clear" w:color="auto" w:fill="FFFFFF"/>
          <w:lang w:val="en-US" w:eastAsia="zh-CN"/>
        </w:rPr>
        <w:t>未发生公务车运行维护费支出</w:t>
      </w:r>
      <w:r>
        <w:rPr>
          <w:rFonts w:hint="eastAsia" w:ascii="方正仿宋_GBK" w:hAnsi="方正仿宋_GBK" w:eastAsia="方正仿宋_GBK" w:cs="方正仿宋_GBK"/>
          <w:b w:val="0"/>
          <w:bCs w:val="0"/>
          <w:color w:val="auto"/>
          <w:sz w:val="32"/>
          <w:szCs w:val="32"/>
          <w:shd w:val="clear" w:color="auto" w:fill="FFFFFF"/>
        </w:rPr>
        <w:t>。费用支出较年初预算数无增减。较上年支出数无增减，</w:t>
      </w:r>
      <w:r>
        <w:rPr>
          <w:rFonts w:hint="eastAsia" w:ascii="方正仿宋_GBK" w:hAnsi="方正仿宋_GBK" w:eastAsia="方正仿宋_GBK" w:cs="方正仿宋_GBK"/>
          <w:color w:val="auto"/>
          <w:sz w:val="32"/>
          <w:szCs w:val="32"/>
        </w:rPr>
        <w:t>与上年持平。</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公务接待费0.00万元，</w:t>
      </w:r>
      <w:r>
        <w:rPr>
          <w:rFonts w:hint="eastAsia" w:ascii="方正仿宋_GBK" w:hAnsi="方正仿宋_GBK" w:eastAsia="方正仿宋_GBK" w:cs="方正仿宋_GBK"/>
          <w:color w:val="auto"/>
          <w:sz w:val="32"/>
          <w:szCs w:val="32"/>
          <w:lang w:val="en-US" w:eastAsia="zh-CN"/>
        </w:rPr>
        <w:t>未发生公务接待费支出</w:t>
      </w:r>
      <w:r>
        <w:rPr>
          <w:rFonts w:hint="eastAsia" w:ascii="方正仿宋_GBK" w:hAnsi="方正仿宋_GBK" w:eastAsia="方正仿宋_GBK" w:cs="方正仿宋_GBK"/>
          <w:color w:val="auto"/>
          <w:sz w:val="32"/>
          <w:szCs w:val="32"/>
        </w:rPr>
        <w:t>。费用支出较年初预算数无增减。较上年支出数无增减</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与上年持平。</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（三）“三公”经费实物量情况</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2023年度本单位因公出国（境）共计</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个团组，</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人；公务用车购置</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辆，公务车保有量为</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辆；国内公务接待</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批次</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人，其中：国内外事接待</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批次，</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人；国（境）外公务接待</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批次，</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人。2023年本单位人均接待费</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元，车均购置费</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万元，车均维护费</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Style w:val="10"/>
          <w:rFonts w:hint="eastAsia" w:ascii="方正黑体_GBK" w:hAnsi="方正黑体_GBK" w:eastAsia="方正黑体_GBK" w:cs="方正黑体_GBK"/>
          <w:b w:val="0"/>
          <w:bCs w:val="0"/>
          <w:color w:val="auto"/>
          <w:sz w:val="32"/>
          <w:szCs w:val="32"/>
          <w:shd w:val="clear" w:color="auto" w:fill="FFFFFF"/>
        </w:rPr>
      </w:pPr>
      <w:r>
        <w:rPr>
          <w:rStyle w:val="10"/>
          <w:rFonts w:hint="eastAsia" w:ascii="方正黑体_GBK" w:hAnsi="方正黑体_GBK" w:eastAsia="方正黑体_GBK" w:cs="方正黑体_GBK"/>
          <w:b w:val="0"/>
          <w:bCs w:val="0"/>
          <w:color w:val="auto"/>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left="0" w:leftChars="0"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（一）财政拨款会议费和培训费情况说明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color w:val="auto"/>
          <w:sz w:val="32"/>
          <w:szCs w:val="32"/>
        </w:rPr>
        <w:t>本年度会议费支出0.00万元，较上年决算数无增减，与上年持平。</w:t>
      </w:r>
      <w:r>
        <w:rPr>
          <w:rFonts w:hint="eastAsia" w:ascii="方正仿宋_GBK" w:hAnsi="方正仿宋_GBK" w:eastAsia="方正仿宋_GBK" w:cs="方正仿宋_GBK"/>
          <w:b w:val="0"/>
          <w:bCs w:val="0"/>
          <w:color w:val="auto"/>
          <w:sz w:val="32"/>
          <w:szCs w:val="32"/>
          <w:shd w:val="clear" w:color="auto" w:fill="FFFFFF"/>
        </w:rPr>
        <w:t>本年度培训费支出</w:t>
      </w:r>
      <w:r>
        <w:rPr>
          <w:rFonts w:hint="eastAsia" w:ascii="方正仿宋_GBK" w:hAnsi="方正仿宋_GBK" w:eastAsia="方正仿宋_GBK" w:cs="方正仿宋_GBK"/>
          <w:b w:val="0"/>
          <w:bCs w:val="0"/>
          <w:color w:val="auto"/>
          <w:sz w:val="32"/>
          <w:szCs w:val="32"/>
        </w:rPr>
        <w:t>0.34</w:t>
      </w:r>
      <w:r>
        <w:rPr>
          <w:rFonts w:hint="eastAsia" w:ascii="方正仿宋_GBK" w:hAnsi="方正仿宋_GBK" w:eastAsia="方正仿宋_GBK" w:cs="方正仿宋_GBK"/>
          <w:b w:val="0"/>
          <w:bCs w:val="0"/>
          <w:color w:val="auto"/>
          <w:sz w:val="32"/>
          <w:szCs w:val="32"/>
          <w:shd w:val="clear" w:color="auto" w:fill="FFFFFF"/>
        </w:rPr>
        <w:t>万元，较上年决算数增加0.34万元，增长100.00%，主要原因是</w:t>
      </w:r>
      <w:r>
        <w:rPr>
          <w:rFonts w:hint="eastAsia" w:ascii="方正仿宋_GBK" w:hAnsi="方正仿宋_GBK" w:eastAsia="方正仿宋_GBK" w:cs="方正仿宋_GBK"/>
          <w:b w:val="0"/>
          <w:bCs w:val="0"/>
          <w:color w:val="auto"/>
          <w:sz w:val="32"/>
          <w:szCs w:val="32"/>
          <w:shd w:val="clear" w:color="auto" w:fill="FFFFFF"/>
          <w:lang w:val="en-US" w:eastAsia="zh-CN"/>
        </w:rPr>
        <w:t>新增预算</w:t>
      </w:r>
      <w:r>
        <w:rPr>
          <w:rFonts w:hint="eastAsia" w:ascii="方正仿宋_GBK" w:hAnsi="方正仿宋_GBK" w:eastAsia="方正仿宋_GBK" w:cs="方正仿宋_GBK"/>
          <w:b w:val="0"/>
          <w:bCs w:val="0"/>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left="0" w:leftChars="0"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（二）机关运行经费情况说明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按照部门决算列报口径，我单位不在机关运行经费统计范围之内。</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（三）国有资产占用情况说明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截至2023年12月31日，本单位共有车辆</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辆，其中，副部（省）级及以上领导用车</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辆、主要负责人用车</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辆、机要通信用车</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辆、应急保障用车</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辆、执法执勤用车</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辆，特种专业技术用车</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辆，离退休干部用车</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辆。单价100万元（含）以上专用设备</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left="0" w:leftChars="0"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（四）政府采购支出情况说明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2023年度我单位未发生政府采购事项，无相关经费支出。</w:t>
      </w:r>
    </w:p>
    <w:p>
      <w:pPr>
        <w:pStyle w:val="6"/>
        <w:keepNext w:val="0"/>
        <w:keepLines w:val="0"/>
        <w:pageBreakBefore w:val="0"/>
        <w:widowControl/>
        <w:numPr>
          <w:ilvl w:val="0"/>
          <w:numId w:val="0"/>
        </w:numPr>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Style w:val="10"/>
          <w:rFonts w:hint="eastAsia" w:ascii="方正黑体_GBK" w:hAnsi="方正黑体_GBK" w:eastAsia="方正黑体_GBK" w:cs="方正黑体_GBK"/>
          <w:b w:val="0"/>
          <w:bCs w:val="0"/>
          <w:color w:val="auto"/>
          <w:sz w:val="32"/>
          <w:szCs w:val="32"/>
          <w:shd w:val="clear" w:color="auto" w:fill="FFFFFF"/>
        </w:rPr>
      </w:pPr>
      <w:r>
        <w:rPr>
          <w:rStyle w:val="10"/>
          <w:rFonts w:hint="eastAsia" w:ascii="方正黑体_GBK" w:hAnsi="方正黑体_GBK" w:eastAsia="方正黑体_GBK" w:cs="方正黑体_GBK"/>
          <w:b w:val="0"/>
          <w:bCs w:val="0"/>
          <w:color w:val="auto"/>
          <w:sz w:val="32"/>
          <w:szCs w:val="32"/>
          <w:shd w:val="clear" w:color="auto" w:fill="FFFFFF"/>
          <w:lang w:val="en-US" w:eastAsia="zh-CN"/>
        </w:rPr>
        <w:t>五、</w:t>
      </w:r>
      <w:r>
        <w:rPr>
          <w:rStyle w:val="10"/>
          <w:rFonts w:hint="eastAsia" w:ascii="方正黑体_GBK" w:hAnsi="方正黑体_GBK" w:eastAsia="方正黑体_GBK" w:cs="方正黑体_GBK"/>
          <w:b w:val="0"/>
          <w:bCs w:val="0"/>
          <w:color w:val="auto"/>
          <w:sz w:val="32"/>
          <w:szCs w:val="32"/>
          <w:shd w:val="clear" w:color="auto" w:fill="FFFFFF"/>
        </w:rPr>
        <w:t>预算绩效管理情况说明</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rPr>
        <w:t>（一）单位自评情况</w:t>
      </w:r>
      <w:r>
        <w:rPr>
          <w:rFonts w:hint="eastAsia" w:ascii="方正楷体_GBK" w:hAnsi="方正楷体_GBK" w:eastAsia="方正楷体_GBK" w:cs="方正楷体_GBK"/>
          <w:color w:val="auto"/>
          <w:sz w:val="32"/>
          <w:szCs w:val="32"/>
          <w:lang w:eastAsia="zh-CN"/>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我单位未组织开展绩效评价。</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rPr>
        <w:t>（二）单位绩效评价情况</w:t>
      </w:r>
      <w:r>
        <w:rPr>
          <w:rFonts w:hint="eastAsia" w:ascii="方正楷体_GBK" w:hAnsi="方正楷体_GBK" w:eastAsia="方正楷体_GBK" w:cs="方正楷体_GBK"/>
          <w:color w:val="auto"/>
          <w:sz w:val="32"/>
          <w:szCs w:val="32"/>
          <w:lang w:eastAsia="zh-CN"/>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我单位未组织开展绩效评价。</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rPr>
        <w:t>（三）财政绩效评价情况</w:t>
      </w:r>
      <w:r>
        <w:rPr>
          <w:rFonts w:hint="eastAsia" w:ascii="方正楷体_GBK" w:hAnsi="方正楷体_GBK" w:eastAsia="方正楷体_GBK" w:cs="方正楷体_GBK"/>
          <w:color w:val="auto"/>
          <w:sz w:val="32"/>
          <w:szCs w:val="32"/>
          <w:lang w:eastAsia="zh-CN"/>
        </w:rPr>
        <w:t>。</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区财政局未委托第三方对我单位开展绩效评价。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Style w:val="10"/>
          <w:rFonts w:hint="eastAsia" w:ascii="方正黑体_GBK" w:hAnsi="方正黑体_GBK" w:eastAsia="方正黑体_GBK" w:cs="方正黑体_GBK"/>
          <w:b w:val="0"/>
          <w:bCs w:val="0"/>
          <w:color w:val="auto"/>
          <w:sz w:val="32"/>
          <w:szCs w:val="32"/>
          <w:shd w:val="clear" w:color="auto" w:fill="FFFFFF"/>
        </w:rPr>
      </w:pPr>
      <w:r>
        <w:rPr>
          <w:rStyle w:val="10"/>
          <w:rFonts w:hint="eastAsia" w:ascii="方正黑体_GBK" w:hAnsi="方正黑体_GBK" w:eastAsia="方正黑体_GBK" w:cs="方正黑体_GBK"/>
          <w:b w:val="0"/>
          <w:bCs w:val="0"/>
          <w:color w:val="auto"/>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b w:val="0"/>
          <w:bCs w:val="0"/>
          <w:color w:val="auto"/>
          <w:sz w:val="32"/>
          <w:szCs w:val="32"/>
          <w:shd w:val="clear" w:color="auto" w:fill="FFFFFF"/>
        </w:rPr>
        <w:t>（一）财政拨款收入：</w:t>
      </w:r>
      <w:r>
        <w:rPr>
          <w:rFonts w:hint="eastAsia" w:ascii="方正仿宋_GBK" w:hAnsi="方正仿宋_GBK" w:eastAsia="方正仿宋_GBK" w:cs="方正仿宋_GBK"/>
          <w:b w:val="0"/>
          <w:bCs w:val="0"/>
          <w:color w:val="auto"/>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（二）事业收入</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（三）经营收入</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楷体_GBK" w:hAnsi="方正楷体_GBK" w:eastAsia="方正楷体_GBK" w:cs="方正楷体_GBK"/>
          <w:b w:val="0"/>
          <w:bCs w:val="0"/>
          <w:color w:val="auto"/>
          <w:sz w:val="32"/>
          <w:szCs w:val="32"/>
          <w:shd w:val="clear" w:color="auto" w:fill="FFFFFF"/>
        </w:rPr>
        <w:t>（四）其他收入</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（五）使用非财政拨款结余</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（六）年初结转和结余</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（七）结余分配</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（八）年末结转和结余</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（九）基本支出</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（十）项目支出</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（十一）经营支出</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（十二）“三公”经费</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楷体_GBK" w:hAnsi="方正楷体_GBK" w:eastAsia="方正楷体_GBK" w:cs="方正楷体_GBK"/>
          <w:b w:val="0"/>
          <w:bCs w:val="0"/>
          <w:color w:val="auto"/>
          <w:sz w:val="32"/>
          <w:szCs w:val="32"/>
          <w:shd w:val="clear" w:color="auto" w:fill="FFFFFF"/>
        </w:rPr>
        <w:t>（十三）机关运行经费</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楷体_GBK" w:hAnsi="方正楷体_GBK" w:eastAsia="方正楷体_GBK" w:cs="方正楷体_GBK"/>
          <w:b w:val="0"/>
          <w:bCs w:val="0"/>
          <w:color w:val="auto"/>
          <w:sz w:val="32"/>
          <w:szCs w:val="32"/>
          <w:shd w:val="clear" w:color="auto" w:fill="FFFFFF"/>
        </w:rPr>
        <w:t>（十四）工资福利支出（支出经济分类科目类级）</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（十五）商品和服务支出（支出经济分类科目类级）</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楷体_GBK" w:hAnsi="方正楷体_GBK" w:eastAsia="方正楷体_GBK" w:cs="方正楷体_GBK"/>
          <w:b w:val="0"/>
          <w:bCs w:val="0"/>
          <w:color w:val="auto"/>
          <w:sz w:val="32"/>
          <w:szCs w:val="32"/>
          <w:shd w:val="clear" w:color="auto" w:fill="FFFFFF"/>
        </w:rPr>
        <w:t>（十六）对个人和家庭的补助（支出经济分类科目类级）</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楷体_GBK" w:hAnsi="方正楷体_GBK" w:eastAsia="方正楷体_GBK" w:cs="方正楷体_GBK"/>
          <w:b w:val="0"/>
          <w:bCs w:val="0"/>
          <w:color w:val="auto"/>
          <w:sz w:val="32"/>
          <w:szCs w:val="32"/>
          <w:shd w:val="clear" w:color="auto" w:fill="FFFFFF"/>
        </w:rPr>
        <w:t>（十七）其他资本性支出（支出经济分类科目类级）</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Style w:val="10"/>
          <w:rFonts w:hint="eastAsia" w:ascii="方正黑体_GBK" w:hAnsi="方正黑体_GBK" w:eastAsia="方正黑体_GBK" w:cs="方正黑体_GBK"/>
          <w:b w:val="0"/>
          <w:bCs w:val="0"/>
          <w:color w:val="auto"/>
          <w:sz w:val="32"/>
          <w:szCs w:val="32"/>
          <w:shd w:val="clear" w:color="auto" w:fill="FFFFFF"/>
        </w:rPr>
      </w:pPr>
      <w:r>
        <w:rPr>
          <w:rStyle w:val="10"/>
          <w:rFonts w:hint="eastAsia" w:ascii="方正黑体_GBK" w:hAnsi="方正黑体_GBK" w:eastAsia="方正黑体_GBK" w:cs="方正黑体_GBK"/>
          <w:b w:val="0"/>
          <w:bCs w:val="0"/>
          <w:color w:val="auto"/>
          <w:sz w:val="32"/>
          <w:szCs w:val="32"/>
          <w:shd w:val="clear" w:color="auto" w:fill="FFFFFF"/>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shd w:val="clear" w:color="auto" w:fill="FFFFFF"/>
        </w:rPr>
        <w:t>本单位决算公开信息反馈和联系方式：</w:t>
      </w:r>
      <w:r>
        <w:rPr>
          <w:rFonts w:hint="eastAsia" w:ascii="方正仿宋_GBK" w:hAnsi="方正仿宋_GBK" w:eastAsia="方正仿宋_GBK" w:cs="方正仿宋_GBK"/>
          <w:b w:val="0"/>
          <w:bCs w:val="0"/>
          <w:color w:val="auto"/>
          <w:sz w:val="32"/>
          <w:szCs w:val="32"/>
          <w:shd w:val="clear" w:color="auto" w:fill="FFFFFF"/>
          <w:lang w:val="en-US" w:eastAsia="zh-CN"/>
        </w:rPr>
        <w:t>张莲，023-46212076</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jc w:val="both"/>
        <w:textAlignment w:val="auto"/>
        <w:rPr>
          <w:rFonts w:hint="eastAsia" w:ascii="方正仿宋_GBK" w:hAnsi="方正仿宋_GBK" w:eastAsia="方正仿宋_GBK" w:cs="方正仿宋_GBK"/>
          <w:b w:val="0"/>
          <w:bCs w:val="0"/>
          <w:color w:val="auto"/>
          <w:sz w:val="32"/>
          <w:szCs w:val="32"/>
        </w:rPr>
      </w:pP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附件：重庆市荣昌区峰高街道退役军人服务站2023年度部门决算公开报表</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jc w:val="both"/>
        <w:textAlignment w:val="auto"/>
        <w:rPr>
          <w:rFonts w:hint="eastAsia" w:ascii="方正仿宋_GBK" w:hAnsi="方正仿宋_GBK" w:eastAsia="方正仿宋_GBK" w:cs="方正仿宋_GBK"/>
          <w:b w:val="0"/>
          <w:bCs w:val="0"/>
          <w:color w:val="auto"/>
          <w:sz w:val="32"/>
          <w:szCs w:val="32"/>
          <w:lang w:val="en-US" w:eastAsia="zh-CN"/>
        </w:rPr>
      </w:pP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jc w:val="both"/>
        <w:textAlignment w:val="auto"/>
        <w:rPr>
          <w:rFonts w:hint="eastAsia" w:ascii="方正仿宋_GBK" w:hAnsi="方正仿宋_GBK" w:eastAsia="方正仿宋_GBK" w:cs="方正仿宋_GBK"/>
          <w:b w:val="0"/>
          <w:bCs w:val="0"/>
          <w:color w:val="auto"/>
          <w:sz w:val="32"/>
          <w:szCs w:val="32"/>
          <w:lang w:val="en-US" w:eastAsia="zh-CN"/>
        </w:rPr>
      </w:pP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jc w:val="both"/>
        <w:textAlignment w:val="auto"/>
        <w:rPr>
          <w:rFonts w:hint="eastAsia" w:ascii="方正仿宋_GBK" w:hAnsi="方正仿宋_GBK" w:eastAsia="方正仿宋_GBK" w:cs="方正仿宋_GBK"/>
          <w:b w:val="0"/>
          <w:bCs w:val="0"/>
          <w:color w:val="auto"/>
          <w:sz w:val="32"/>
          <w:szCs w:val="32"/>
          <w:lang w:val="en-US" w:eastAsia="zh-CN"/>
        </w:rPr>
      </w:pP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jc w:val="both"/>
        <w:textAlignment w:val="auto"/>
        <w:rPr>
          <w:rFonts w:hint="eastAsia" w:ascii="方正仿宋_GBK" w:hAnsi="方正仿宋_GBK" w:eastAsia="方正仿宋_GBK" w:cs="方正仿宋_GBK"/>
          <w:b w:val="0"/>
          <w:bCs w:val="0"/>
          <w:color w:val="auto"/>
          <w:sz w:val="32"/>
          <w:szCs w:val="32"/>
          <w:lang w:val="en-US" w:eastAsia="zh-CN"/>
        </w:rPr>
      </w:pP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jc w:val="both"/>
        <w:textAlignment w:val="auto"/>
        <w:rPr>
          <w:rFonts w:hint="eastAsia" w:ascii="方正仿宋_GBK" w:hAnsi="方正仿宋_GBK" w:eastAsia="方正仿宋_GBK" w:cs="方正仿宋_GBK"/>
          <w:b w:val="0"/>
          <w:bCs w:val="0"/>
          <w:color w:val="auto"/>
          <w:sz w:val="32"/>
          <w:szCs w:val="32"/>
          <w:lang w:val="en-US" w:eastAsia="zh-CN"/>
        </w:rPr>
      </w:pP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jc w:val="both"/>
        <w:textAlignment w:val="auto"/>
        <w:rPr>
          <w:rFonts w:hint="eastAsia" w:ascii="方正仿宋_GBK" w:hAnsi="方正仿宋_GBK" w:eastAsia="方正仿宋_GBK" w:cs="方正仿宋_GBK"/>
          <w:b w:val="0"/>
          <w:bCs w:val="0"/>
          <w:color w:val="auto"/>
          <w:sz w:val="32"/>
          <w:szCs w:val="32"/>
          <w:lang w:val="en-US" w:eastAsia="zh-CN"/>
        </w:rPr>
      </w:pP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3242"/>
        <w:gridCol w:w="1245"/>
        <w:gridCol w:w="2970"/>
        <w:gridCol w:w="1419"/>
      </w:tblGrid>
      <w:tr>
        <w:tblPrEx>
          <w:tblLayout w:type="fixed"/>
          <w:tblCellMar>
            <w:top w:w="0" w:type="dxa"/>
            <w:left w:w="0" w:type="dxa"/>
            <w:bottom w:w="0" w:type="dxa"/>
            <w:right w:w="0" w:type="dxa"/>
          </w:tblCellMar>
        </w:tblPrEx>
        <w:trPr>
          <w:trHeight w:val="232" w:hRule="atLeast"/>
        </w:trPr>
        <w:tc>
          <w:tcPr>
            <w:tcW w:w="8876" w:type="dxa"/>
            <w:gridSpan w:val="4"/>
            <w:tcBorders>
              <w:top w:val="nil"/>
              <w:left w:val="nil"/>
              <w:bottom w:val="nil"/>
              <w:right w:val="nil"/>
            </w:tcBorders>
            <w:shd w:val="clear" w:color="auto" w:fill="FFFFFF" w:themeFill="background1"/>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3242"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45"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2970"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419"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shd w:val="clear" w:color="auto" w:fill="FFFFFF" w:themeFill="background1"/>
          <w:tblLayout w:type="fixed"/>
          <w:tblCellMar>
            <w:top w:w="0" w:type="dxa"/>
            <w:left w:w="0" w:type="dxa"/>
            <w:bottom w:w="0" w:type="dxa"/>
            <w:right w:w="0" w:type="dxa"/>
          </w:tblCellMar>
        </w:tblPrEx>
        <w:trPr>
          <w:trHeight w:val="232" w:hRule="atLeast"/>
        </w:trPr>
        <w:tc>
          <w:tcPr>
            <w:tcW w:w="7457" w:type="dxa"/>
            <w:gridSpan w:val="3"/>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重庆市荣昌区峰高街道</w:t>
            </w:r>
            <w:r>
              <w:rPr>
                <w:rFonts w:hint="eastAsia"/>
                <w:sz w:val="20"/>
                <w:lang w:val="en-US" w:eastAsia="zh-CN"/>
              </w:rPr>
              <w:t>退役军人服务站</w:t>
            </w:r>
          </w:p>
        </w:tc>
        <w:tc>
          <w:tcPr>
            <w:tcW w:w="1419"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448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4389" w:type="dxa"/>
            <w:gridSpan w:val="2"/>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65.43</w:t>
            </w: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0.34</w:t>
            </w: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1245" w:type="dxa"/>
            <w:tcBorders>
              <w:top w:val="nil"/>
              <w:left w:val="nil"/>
              <w:bottom w:val="nil"/>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59.72</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2.66</w:t>
            </w: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2.71</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rPr>
                <w:rFonts w:hint="default" w:cs="宋体"/>
                <w:b/>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65.43</w:t>
            </w: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65.43</w:t>
            </w: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419" w:type="dxa"/>
            <w:tcBorders>
              <w:top w:val="nil"/>
              <w:left w:val="nil"/>
              <w:bottom w:val="single" w:color="auto"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5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65.43</w:t>
            </w:r>
            <w:r>
              <w:rPr>
                <w:color w:val="000000"/>
                <w:sz w:val="20"/>
              </w:rPr>
              <w:t xml:space="preserve"> </w:t>
            </w:r>
          </w:p>
        </w:tc>
        <w:tc>
          <w:tcPr>
            <w:tcW w:w="2970" w:type="dxa"/>
            <w:tcBorders>
              <w:top w:val="nil"/>
              <w:left w:val="nil"/>
              <w:bottom w:val="single" w:color="000000"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419"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65.43</w:t>
            </w:r>
            <w:r>
              <w:rPr>
                <w:color w:val="000000"/>
                <w:sz w:val="20"/>
              </w:rPr>
              <w:t xml:space="preserve"> </w:t>
            </w:r>
          </w:p>
        </w:tc>
      </w:tr>
    </w:tbl>
    <w:p>
      <w:pPr>
        <w:spacing w:line="240" w:lineRule="exact"/>
        <w:rPr>
          <w:rFonts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spacing w:line="240" w:lineRule="exact"/>
        <w:rPr>
          <w:rFonts w:cs="宋体"/>
          <w:sz w:val="20"/>
          <w:szCs w:val="20"/>
        </w:rPr>
      </w:pPr>
    </w:p>
    <w:p>
      <w:pPr>
        <w:spacing w:line="240" w:lineRule="exact"/>
        <w:rPr>
          <w:rFonts w:cs="宋体"/>
          <w:sz w:val="20"/>
          <w:szCs w:val="20"/>
        </w:rPr>
      </w:pPr>
      <w:r>
        <w:rPr>
          <w:rFonts w:cs="宋体"/>
          <w:sz w:val="20"/>
          <w:szCs w:val="20"/>
        </w:rPr>
        <w:br w:type="textWrapping"/>
      </w: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hint="default" w:cs="宋体"/>
          <w:sz w:val="20"/>
          <w:szCs w:val="20"/>
        </w:rPr>
      </w:pP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842"/>
        <w:gridCol w:w="3270"/>
        <w:gridCol w:w="810"/>
        <w:gridCol w:w="750"/>
        <w:gridCol w:w="772"/>
        <w:gridCol w:w="300"/>
        <w:gridCol w:w="570"/>
        <w:gridCol w:w="458"/>
        <w:gridCol w:w="570"/>
        <w:gridCol w:w="534"/>
      </w:tblGrid>
      <w:tr>
        <w:tblPrEx>
          <w:tblLayout w:type="fixed"/>
          <w:tblCellMar>
            <w:top w:w="0" w:type="dxa"/>
            <w:left w:w="0" w:type="dxa"/>
            <w:bottom w:w="0" w:type="dxa"/>
            <w:right w:w="0" w:type="dxa"/>
          </w:tblCellMar>
        </w:tblPrEx>
        <w:trPr>
          <w:trHeight w:val="641" w:hRule="atLeast"/>
        </w:trPr>
        <w:tc>
          <w:tcPr>
            <w:tcW w:w="8876" w:type="dxa"/>
            <w:gridSpan w:val="10"/>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shd w:val="clear" w:color="auto" w:fill="FFFFFF" w:themeFill="background1"/>
          <w:tblLayout w:type="fixed"/>
          <w:tblCellMar>
            <w:top w:w="0" w:type="dxa"/>
            <w:left w:w="0" w:type="dxa"/>
            <w:bottom w:w="0" w:type="dxa"/>
            <w:right w:w="0" w:type="dxa"/>
          </w:tblCellMar>
        </w:tblPrEx>
        <w:trPr>
          <w:trHeight w:val="328" w:hRule="atLeast"/>
        </w:trPr>
        <w:tc>
          <w:tcPr>
            <w:tcW w:w="4922" w:type="dxa"/>
            <w:gridSpan w:val="3"/>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重庆市荣昌区峰高街道</w:t>
            </w:r>
            <w:r>
              <w:rPr>
                <w:rFonts w:hint="eastAsia"/>
                <w:sz w:val="20"/>
                <w:lang w:val="en-US" w:eastAsia="zh-CN"/>
              </w:rPr>
              <w:t>退役军人服务站</w:t>
            </w:r>
          </w:p>
        </w:tc>
        <w:tc>
          <w:tcPr>
            <w:tcW w:w="75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772"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30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57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45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04"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shd w:val="clear" w:color="auto" w:fill="FFFFFF" w:themeFill="background1"/>
          <w:tblLayout w:type="fixed"/>
          <w:tblCellMar>
            <w:top w:w="0" w:type="dxa"/>
            <w:left w:w="0" w:type="dxa"/>
            <w:bottom w:w="0" w:type="dxa"/>
            <w:right w:w="0" w:type="dxa"/>
          </w:tblCellMar>
        </w:tblPrEx>
        <w:trPr>
          <w:trHeight w:val="328" w:hRule="atLeast"/>
        </w:trPr>
        <w:tc>
          <w:tcPr>
            <w:tcW w:w="4922" w:type="dxa"/>
            <w:gridSpan w:val="3"/>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75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772"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30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57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45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04"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112" w:type="dxa"/>
            <w:gridSpan w:val="2"/>
            <w:tcBorders>
              <w:top w:val="single" w:color="000000" w:sz="4" w:space="0"/>
              <w:left w:val="single" w:color="000000" w:sz="4" w:space="0"/>
              <w:bottom w:val="single" w:color="000000" w:sz="4" w:space="0"/>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5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shd w:val="clear" w:color="auto" w:fill="FFFFFF" w:themeFill="background1"/>
          <w:tblLayout w:type="fixed"/>
          <w:tblCellMar>
            <w:top w:w="0" w:type="dxa"/>
            <w:left w:w="0" w:type="dxa"/>
            <w:bottom w:w="0" w:type="dxa"/>
            <w:right w:w="0" w:type="dxa"/>
          </w:tblCellMar>
        </w:tblPrEx>
        <w:trPr>
          <w:trHeight w:val="334" w:hRule="atLeast"/>
        </w:trPr>
        <w:tc>
          <w:tcPr>
            <w:tcW w:w="842" w:type="dxa"/>
            <w:vMerge w:val="restar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70" w:type="dxa"/>
            <w:vMerge w:val="restar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0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842"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3270"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34" w:hRule="atLeast"/>
        </w:trPr>
        <w:tc>
          <w:tcPr>
            <w:tcW w:w="842"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3270"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34" w:hRule="atLeast"/>
        </w:trPr>
        <w:tc>
          <w:tcPr>
            <w:tcW w:w="842"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3270"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11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8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65.43</w:t>
            </w:r>
            <w:r>
              <w:rPr>
                <w:b/>
                <w:color w:val="000000"/>
                <w:sz w:val="20"/>
              </w:rPr>
              <w:t xml:space="preserve"> </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65.43</w:t>
            </w:r>
            <w:r>
              <w:rPr>
                <w:b/>
                <w:color w:val="000000"/>
                <w:sz w:val="20"/>
              </w:rPr>
              <w:t xml:space="preserve"> </w:t>
            </w:r>
          </w:p>
        </w:tc>
        <w:tc>
          <w:tcPr>
            <w:tcW w:w="77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3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0.34</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0.34</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0.34</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0.34</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0.34</w:t>
            </w:r>
            <w:r>
              <w:rPr>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0.34</w:t>
            </w: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59.72</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59.72</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5.44</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5.44</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3.63</w:t>
            </w:r>
            <w:r>
              <w:rPr>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3.63</w:t>
            </w: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1.81</w:t>
            </w:r>
            <w:r>
              <w:rPr>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1.81</w:t>
            </w: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54.28</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54.28</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54.28</w:t>
            </w:r>
            <w:r>
              <w:rPr>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54.28</w:t>
            </w: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2.66</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2.66</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2.66</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2.66</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1.85</w:t>
            </w:r>
            <w:r>
              <w:rPr>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1.85</w:t>
            </w: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0.81</w:t>
            </w:r>
            <w:r>
              <w:rPr>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0.81</w:t>
            </w: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2.71</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2.71</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2.71</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2.71</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2.71</w:t>
            </w:r>
            <w:r>
              <w:rPr>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2.71</w:t>
            </w: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857"/>
        <w:gridCol w:w="6"/>
        <w:gridCol w:w="3354"/>
        <w:gridCol w:w="825"/>
        <w:gridCol w:w="915"/>
        <w:gridCol w:w="555"/>
        <w:gridCol w:w="727"/>
        <w:gridCol w:w="518"/>
        <w:gridCol w:w="1119"/>
      </w:tblGrid>
      <w:tr>
        <w:tblPrEx>
          <w:shd w:val="clear" w:color="auto" w:fill="FFFFFF" w:themeFill="background1"/>
          <w:tblLayout w:type="fixed"/>
          <w:tblCellMar>
            <w:top w:w="0" w:type="dxa"/>
            <w:left w:w="0" w:type="dxa"/>
            <w:bottom w:w="0" w:type="dxa"/>
            <w:right w:w="0" w:type="dxa"/>
          </w:tblCellMar>
        </w:tblPrEx>
        <w:trPr>
          <w:trHeight w:val="654" w:hRule="atLeast"/>
        </w:trPr>
        <w:tc>
          <w:tcPr>
            <w:tcW w:w="8876" w:type="dxa"/>
            <w:gridSpan w:val="9"/>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shd w:val="clear" w:color="auto" w:fill="FFFFFF" w:themeFill="background1"/>
          <w:tblLayout w:type="fixed"/>
          <w:tblCellMar>
            <w:top w:w="0" w:type="dxa"/>
            <w:left w:w="0" w:type="dxa"/>
            <w:bottom w:w="0" w:type="dxa"/>
            <w:right w:w="0" w:type="dxa"/>
          </w:tblCellMar>
        </w:tblPrEx>
        <w:trPr>
          <w:trHeight w:val="342" w:hRule="atLeast"/>
        </w:trPr>
        <w:tc>
          <w:tcPr>
            <w:tcW w:w="5042" w:type="dxa"/>
            <w:gridSpan w:val="4"/>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sz w:val="20"/>
              </w:rPr>
              <w:t>重庆市荣昌区峰高街道</w:t>
            </w:r>
            <w:r>
              <w:rPr>
                <w:rFonts w:hint="eastAsia"/>
                <w:sz w:val="20"/>
                <w:lang w:val="en-US" w:eastAsia="zh-CN"/>
              </w:rPr>
              <w:t>退役军人服务站</w:t>
            </w:r>
          </w:p>
        </w:tc>
        <w:tc>
          <w:tcPr>
            <w:tcW w:w="91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55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727"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51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19"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shd w:val="clear" w:color="auto" w:fill="FFFFFF" w:themeFill="background1"/>
          <w:tblLayout w:type="fixed"/>
          <w:tblCellMar>
            <w:top w:w="0" w:type="dxa"/>
            <w:left w:w="0" w:type="dxa"/>
            <w:bottom w:w="0" w:type="dxa"/>
            <w:right w:w="0" w:type="dxa"/>
          </w:tblCellMar>
        </w:tblPrEx>
        <w:trPr>
          <w:trHeight w:val="342" w:hRule="atLeast"/>
        </w:trPr>
        <w:tc>
          <w:tcPr>
            <w:tcW w:w="5042" w:type="dxa"/>
            <w:gridSpan w:val="4"/>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91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55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727"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51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19"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FFFFFF" w:themeFill="background1"/>
          <w:tblLayout w:type="fixed"/>
          <w:tblCellMar>
            <w:top w:w="0" w:type="dxa"/>
            <w:left w:w="0" w:type="dxa"/>
            <w:bottom w:w="0" w:type="dxa"/>
            <w:right w:w="0" w:type="dxa"/>
          </w:tblCellMar>
        </w:tblPrEx>
        <w:trPr>
          <w:trHeight w:val="362" w:hRule="atLeast"/>
        </w:trPr>
        <w:tc>
          <w:tcPr>
            <w:tcW w:w="421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shd w:val="clear" w:color="auto" w:fill="FFFFFF" w:themeFill="background1"/>
          <w:tblLayout w:type="fixed"/>
          <w:tblCellMar>
            <w:top w:w="0" w:type="dxa"/>
            <w:left w:w="0" w:type="dxa"/>
            <w:bottom w:w="0" w:type="dxa"/>
            <w:right w:w="0" w:type="dxa"/>
          </w:tblCellMar>
        </w:tblPrEx>
        <w:trPr>
          <w:trHeight w:val="338" w:hRule="atLeast"/>
        </w:trPr>
        <w:tc>
          <w:tcPr>
            <w:tcW w:w="857" w:type="dxa"/>
            <w:vMerge w:val="restar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60" w:type="dxa"/>
            <w:gridSpan w:val="2"/>
            <w:vMerge w:val="restar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38" w:hRule="atLeast"/>
        </w:trPr>
        <w:tc>
          <w:tcPr>
            <w:tcW w:w="857"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3360" w:type="dxa"/>
            <w:gridSpan w:val="2"/>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38" w:hRule="atLeast"/>
        </w:trPr>
        <w:tc>
          <w:tcPr>
            <w:tcW w:w="857"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3360" w:type="dxa"/>
            <w:gridSpan w:val="2"/>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38" w:hRule="atLeast"/>
        </w:trPr>
        <w:tc>
          <w:tcPr>
            <w:tcW w:w="857"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3360" w:type="dxa"/>
            <w:gridSpan w:val="2"/>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62" w:hRule="atLeast"/>
        </w:trPr>
        <w:tc>
          <w:tcPr>
            <w:tcW w:w="421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65.43</w:t>
            </w:r>
            <w:r>
              <w:rPr>
                <w:b/>
                <w:color w:val="000000"/>
                <w:sz w:val="20"/>
              </w:rPr>
              <w:t xml:space="preserve"> </w:t>
            </w: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65.43</w:t>
            </w:r>
            <w:r>
              <w:rPr>
                <w:b/>
                <w:color w:val="000000"/>
                <w:sz w:val="20"/>
              </w:rPr>
              <w:t xml:space="preserve"> </w:t>
            </w:r>
          </w:p>
        </w:tc>
        <w:tc>
          <w:tcPr>
            <w:tcW w:w="5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1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0.34</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0.34</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0.34</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0.34</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0.34</w:t>
            </w:r>
            <w:r>
              <w:rPr>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0.34</w:t>
            </w:r>
            <w:r>
              <w:rPr>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59.72</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59.72</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5.44</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5.44</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3.63</w:t>
            </w:r>
            <w:r>
              <w:rPr>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3.63</w:t>
            </w:r>
            <w:r>
              <w:rPr>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1.81</w:t>
            </w:r>
            <w:r>
              <w:rPr>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1.81</w:t>
            </w:r>
            <w:r>
              <w:rPr>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54.28</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54.28</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54.28</w:t>
            </w:r>
            <w:r>
              <w:rPr>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54.28</w:t>
            </w:r>
            <w:r>
              <w:rPr>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2.66</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2.66</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2.66</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2.66</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1.85</w:t>
            </w:r>
            <w:r>
              <w:rPr>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1.85</w:t>
            </w:r>
            <w:r>
              <w:rPr>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0.81</w:t>
            </w:r>
            <w:r>
              <w:rPr>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0.81</w:t>
            </w:r>
            <w:r>
              <w:rPr>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2.71</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2.71</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2.71</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2.71</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2.71</w:t>
            </w:r>
            <w:r>
              <w:rPr>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2.71</w:t>
            </w:r>
            <w:r>
              <w:rPr>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2552"/>
        <w:gridCol w:w="720"/>
        <w:gridCol w:w="2670"/>
        <w:gridCol w:w="720"/>
        <w:gridCol w:w="765"/>
        <w:gridCol w:w="585"/>
        <w:gridCol w:w="864"/>
      </w:tblGrid>
      <w:tr>
        <w:tblPrEx>
          <w:shd w:val="clear" w:color="auto" w:fill="FFFFFF" w:themeFill="background1"/>
          <w:tblLayout w:type="fixed"/>
          <w:tblCellMar>
            <w:top w:w="0" w:type="dxa"/>
            <w:left w:w="0" w:type="dxa"/>
            <w:bottom w:w="0" w:type="dxa"/>
            <w:right w:w="0" w:type="dxa"/>
          </w:tblCellMar>
        </w:tblPrEx>
        <w:trPr>
          <w:trHeight w:val="400" w:hRule="atLeast"/>
        </w:trPr>
        <w:tc>
          <w:tcPr>
            <w:tcW w:w="8876" w:type="dxa"/>
            <w:gridSpan w:val="7"/>
            <w:tcBorders>
              <w:top w:val="nil"/>
              <w:left w:val="nil"/>
              <w:bottom w:val="nil"/>
              <w:right w:val="nil"/>
            </w:tcBorders>
            <w:shd w:val="clear" w:color="auto" w:fill="FFFFFF" w:themeFill="background1"/>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shd w:val="clear" w:color="auto" w:fill="FFFFFF" w:themeFill="background1"/>
          <w:tblLayout w:type="fixed"/>
          <w:tblCellMar>
            <w:top w:w="0" w:type="dxa"/>
            <w:left w:w="0" w:type="dxa"/>
            <w:bottom w:w="0" w:type="dxa"/>
            <w:right w:w="0" w:type="dxa"/>
          </w:tblCellMar>
        </w:tblPrEx>
        <w:trPr>
          <w:trHeight w:val="246" w:hRule="atLeast"/>
        </w:trPr>
        <w:tc>
          <w:tcPr>
            <w:tcW w:w="5942" w:type="dxa"/>
            <w:gridSpan w:val="3"/>
            <w:vMerge w:val="restart"/>
            <w:tcBorders>
              <w:top w:val="nil"/>
              <w:left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sz w:val="20"/>
              </w:rPr>
              <w:t>重庆市荣昌区峰高街道</w:t>
            </w:r>
            <w:r>
              <w:rPr>
                <w:rFonts w:hint="eastAsia"/>
                <w:sz w:val="20"/>
                <w:lang w:val="en-US" w:eastAsia="zh-CN"/>
              </w:rPr>
              <w:t>退役军人服务站</w:t>
            </w:r>
          </w:p>
        </w:tc>
        <w:tc>
          <w:tcPr>
            <w:tcW w:w="720"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449"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284" w:hRule="atLeast"/>
        </w:trPr>
        <w:tc>
          <w:tcPr>
            <w:tcW w:w="5942" w:type="dxa"/>
            <w:gridSpan w:val="3"/>
            <w:vMerge w:val="continue"/>
            <w:tcBorders>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20"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449"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28" w:hRule="atLeast"/>
        </w:trPr>
        <w:tc>
          <w:tcPr>
            <w:tcW w:w="327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收     入</w:t>
            </w:r>
          </w:p>
        </w:tc>
        <w:tc>
          <w:tcPr>
            <w:tcW w:w="5604"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228" w:hRule="atLeast"/>
        </w:trPr>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项目</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决算数</w:t>
            </w:r>
          </w:p>
        </w:tc>
        <w:tc>
          <w:tcPr>
            <w:tcW w:w="267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功能分类科目</w:t>
            </w:r>
          </w:p>
        </w:tc>
        <w:tc>
          <w:tcPr>
            <w:tcW w:w="2934"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410" w:hRule="atLeast"/>
        </w:trPr>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cs="宋体"/>
                <w:b/>
                <w:color w:val="000000"/>
                <w:sz w:val="18"/>
                <w:szCs w:val="18"/>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cs="宋体"/>
                <w:b/>
                <w:color w:val="000000"/>
                <w:sz w:val="18"/>
                <w:szCs w:val="18"/>
              </w:rPr>
            </w:pPr>
          </w:p>
        </w:tc>
        <w:tc>
          <w:tcPr>
            <w:tcW w:w="267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cs="宋体"/>
                <w:b/>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小计</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一般公共预算财政拨款</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政府性基金预算财政拨款</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260"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一、一般公共预算财政拨款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65.43</w:t>
            </w: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一、一般公共服务支出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5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二、外交支出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70"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三、国有资本经营预算财政拨款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三、国防支出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1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四、公共安全支出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5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五、教育支出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0.34</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0.34</w:t>
            </w: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六、科学技术支出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8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七、文化旅游体育与传媒支出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6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八、社会保障和就业支出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59.72</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59.72</w:t>
            </w: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7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九、卫生健康支出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2.66</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2.66</w:t>
            </w: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5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十、节能环保支出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75"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十一、城乡社区支出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十二、农林水支出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7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十三、交通运输支出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7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十四、资源勘探工业信息等支出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十五、商业服务业等支出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7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十六、金融支出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6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十七、援助其他地区支出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十八、自然资源海洋气象等支出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十九、住房保障支出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2.71</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2.71</w:t>
            </w: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二十、粮油物资储备支出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二十一、国有资本经营预算支出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6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二十二、灾害防治及应急管理支出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二十三、其他支出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二十四、债务还本支出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二十五、债务付息支出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7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二十六、抗疫特别国债安排的支出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410"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本年收入合计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65.43</w:t>
            </w: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本年支出合计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65.43</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65.43</w:t>
            </w: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9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年初财政拨款结转和结余</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年末财政拨款结转和结余</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6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 xml:space="preserve">  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r>
      <w:tr>
        <w:tblPrEx>
          <w:shd w:val="clear" w:color="auto" w:fill="FFFFFF" w:themeFill="background1"/>
          <w:tblLayout w:type="fixed"/>
          <w:tblCellMar>
            <w:top w:w="0" w:type="dxa"/>
            <w:left w:w="0" w:type="dxa"/>
            <w:bottom w:w="0" w:type="dxa"/>
            <w:right w:w="0" w:type="dxa"/>
          </w:tblCellMar>
        </w:tblPrEx>
        <w:trPr>
          <w:trHeight w:val="27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 xml:space="preserve">  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cs="宋体"/>
                <w:b/>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r>
      <w:tr>
        <w:tblPrEx>
          <w:shd w:val="clear" w:color="auto" w:fill="FFFFFF" w:themeFill="background1"/>
          <w:tblLayout w:type="fixed"/>
          <w:tblCellMar>
            <w:top w:w="0" w:type="dxa"/>
            <w:left w:w="0" w:type="dxa"/>
            <w:bottom w:w="0" w:type="dxa"/>
            <w:right w:w="0" w:type="dxa"/>
          </w:tblCellMar>
        </w:tblPrEx>
        <w:trPr>
          <w:trHeight w:val="295"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 xml:space="preserve">  国有资本经营预算财政拨款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cs="宋体"/>
                <w:b/>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r>
      <w:tr>
        <w:tblPrEx>
          <w:shd w:val="clear" w:color="auto" w:fill="FFFFFF" w:themeFill="background1"/>
          <w:tblLayout w:type="fixed"/>
          <w:tblCellMar>
            <w:top w:w="0" w:type="dxa"/>
            <w:left w:w="0" w:type="dxa"/>
            <w:bottom w:w="0" w:type="dxa"/>
            <w:right w:w="0" w:type="dxa"/>
          </w:tblCellMar>
        </w:tblPrEx>
        <w:trPr>
          <w:trHeight w:val="299"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总计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65.43</w:t>
            </w: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总计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65.43</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65.43</w:t>
            </w: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1"/>
          <w:szCs w:val="21"/>
        </w:rPr>
        <w:br w:type="page"/>
      </w: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887"/>
        <w:gridCol w:w="31"/>
        <w:gridCol w:w="3569"/>
        <w:gridCol w:w="1320"/>
        <w:gridCol w:w="143"/>
        <w:gridCol w:w="1463"/>
        <w:gridCol w:w="45"/>
        <w:gridCol w:w="1418"/>
      </w:tblGrid>
      <w:tr>
        <w:tblPrEx>
          <w:tblLayout w:type="fixed"/>
          <w:tblCellMar>
            <w:top w:w="0" w:type="dxa"/>
            <w:left w:w="0" w:type="dxa"/>
            <w:bottom w:w="0" w:type="dxa"/>
            <w:right w:w="0" w:type="dxa"/>
          </w:tblCellMar>
        </w:tblPrEx>
        <w:trPr>
          <w:trHeight w:val="510" w:hRule="atLeast"/>
        </w:trPr>
        <w:tc>
          <w:tcPr>
            <w:tcW w:w="8876" w:type="dxa"/>
            <w:gridSpan w:val="8"/>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807" w:type="dxa"/>
            <w:gridSpan w:val="4"/>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sz w:val="20"/>
              </w:rPr>
              <w:t>重庆市荣昌区峰高街道</w:t>
            </w:r>
            <w:r>
              <w:rPr>
                <w:rFonts w:hint="eastAsia"/>
                <w:sz w:val="20"/>
                <w:lang w:val="en-US" w:eastAsia="zh-CN"/>
              </w:rPr>
              <w:t>退役军人服务站</w:t>
            </w:r>
          </w:p>
        </w:tc>
        <w:tc>
          <w:tcPr>
            <w:tcW w:w="1651" w:type="dxa"/>
            <w:gridSpan w:val="3"/>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418"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shd w:val="clear" w:color="auto" w:fill="FFFFFF" w:themeFill="background1"/>
          <w:tblLayout w:type="fixed"/>
          <w:tblCellMar>
            <w:top w:w="0" w:type="dxa"/>
            <w:left w:w="0" w:type="dxa"/>
            <w:bottom w:w="0" w:type="dxa"/>
            <w:right w:w="0" w:type="dxa"/>
          </w:tblCellMar>
        </w:tblPrEx>
        <w:trPr>
          <w:trHeight w:val="285" w:hRule="atLeast"/>
        </w:trPr>
        <w:tc>
          <w:tcPr>
            <w:tcW w:w="5807" w:type="dxa"/>
            <w:gridSpan w:val="4"/>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651" w:type="dxa"/>
            <w:gridSpan w:val="3"/>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418"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448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4389" w:type="dxa"/>
            <w:gridSpan w:val="5"/>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shd w:val="clear" w:color="auto" w:fill="FFFFFF" w:themeFill="background1"/>
          <w:tblLayout w:type="fixed"/>
          <w:tblCellMar>
            <w:top w:w="0" w:type="dxa"/>
            <w:left w:w="0" w:type="dxa"/>
            <w:bottom w:w="0" w:type="dxa"/>
            <w:right w:w="0" w:type="dxa"/>
          </w:tblCellMar>
        </w:tblPrEx>
        <w:trPr>
          <w:trHeight w:val="326" w:hRule="atLeast"/>
        </w:trPr>
        <w:tc>
          <w:tcPr>
            <w:tcW w:w="887"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0" w:type="dxa"/>
            <w:gridSpan w:val="2"/>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463" w:type="dxa"/>
            <w:gridSpan w:val="2"/>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463"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463" w:type="dxa"/>
            <w:gridSpan w:val="2"/>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shd w:val="clear" w:color="auto" w:fill="FFFFFF" w:themeFill="background1"/>
          <w:tblLayout w:type="fixed"/>
          <w:tblCellMar>
            <w:top w:w="0" w:type="dxa"/>
            <w:left w:w="0" w:type="dxa"/>
            <w:bottom w:w="0" w:type="dxa"/>
            <w:right w:w="0" w:type="dxa"/>
          </w:tblCellMar>
        </w:tblPrEx>
        <w:trPr>
          <w:trHeight w:val="326" w:hRule="atLeast"/>
        </w:trPr>
        <w:tc>
          <w:tcPr>
            <w:tcW w:w="887"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600"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463"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463"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463"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887"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600"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463"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463"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463"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4487" w:type="dxa"/>
            <w:gridSpan w:val="3"/>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65.43</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65.43</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918"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0.34</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0.34</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18"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0.34</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0.34</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18"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0.34</w:t>
            </w:r>
            <w:r>
              <w:rPr>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0.34</w:t>
            </w:r>
            <w:r>
              <w:rPr>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18"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59.72</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59.72</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918"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5.44</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5.44</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918"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3.63</w:t>
            </w:r>
            <w:r>
              <w:rPr>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3.63</w:t>
            </w:r>
            <w:r>
              <w:rPr>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18"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1.81</w:t>
            </w:r>
            <w:r>
              <w:rPr>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1.81</w:t>
            </w:r>
            <w:r>
              <w:rPr>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18"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54.28</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54.28</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18"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54.28</w:t>
            </w:r>
            <w:r>
              <w:rPr>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54.28</w:t>
            </w:r>
            <w:r>
              <w:rPr>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18"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2.66</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2.66</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918"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2.66</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2.66</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918"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1.85</w:t>
            </w:r>
            <w:r>
              <w:rPr>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1.85</w:t>
            </w:r>
            <w:r>
              <w:rPr>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18"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0.81</w:t>
            </w:r>
            <w:r>
              <w:rPr>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0.81</w:t>
            </w:r>
            <w:r>
              <w:rPr>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18"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2.71</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2.71</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918"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2.71</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2.71</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18"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2.71</w:t>
            </w:r>
            <w:r>
              <w:rPr>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2.71</w:t>
            </w:r>
            <w:r>
              <w:rPr>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0500" w:type="dxa"/>
        <w:jc w:val="center"/>
        <w:tblInd w:w="0" w:type="dxa"/>
        <w:shd w:val="clear" w:color="auto" w:fill="FFFFFF" w:themeFill="background1"/>
        <w:tblLayout w:type="fixed"/>
        <w:tblCellMar>
          <w:top w:w="0" w:type="dxa"/>
          <w:left w:w="0" w:type="dxa"/>
          <w:bottom w:w="0" w:type="dxa"/>
          <w:right w:w="0" w:type="dxa"/>
        </w:tblCellMar>
      </w:tblPr>
      <w:tblGrid>
        <w:gridCol w:w="799"/>
        <w:gridCol w:w="1965"/>
        <w:gridCol w:w="750"/>
        <w:gridCol w:w="765"/>
        <w:gridCol w:w="1995"/>
        <w:gridCol w:w="684"/>
        <w:gridCol w:w="1"/>
        <w:gridCol w:w="843"/>
        <w:gridCol w:w="2057"/>
        <w:gridCol w:w="641"/>
      </w:tblGrid>
      <w:tr>
        <w:tblPrEx>
          <w:tblLayout w:type="fixed"/>
          <w:tblCellMar>
            <w:top w:w="0" w:type="dxa"/>
            <w:left w:w="0" w:type="dxa"/>
            <w:bottom w:w="0" w:type="dxa"/>
            <w:right w:w="0" w:type="dxa"/>
          </w:tblCellMar>
        </w:tblPrEx>
        <w:trPr>
          <w:trHeight w:val="629" w:hRule="atLeast"/>
          <w:jc w:val="center"/>
        </w:trPr>
        <w:tc>
          <w:tcPr>
            <w:tcW w:w="10500" w:type="dxa"/>
            <w:gridSpan w:val="10"/>
            <w:tcBorders>
              <w:top w:val="nil"/>
              <w:left w:val="nil"/>
              <w:bottom w:val="nil"/>
              <w:right w:val="nil"/>
            </w:tcBorders>
            <w:shd w:val="clear" w:color="auto" w:fill="FFFFFF" w:themeFill="background1"/>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424" w:hRule="atLeast"/>
          <w:jc w:val="center"/>
        </w:trPr>
        <w:tc>
          <w:tcPr>
            <w:tcW w:w="6274" w:type="dxa"/>
            <w:gridSpan w:val="5"/>
            <w:vMerge w:val="restart"/>
            <w:tcBorders>
              <w:top w:val="nil"/>
              <w:left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sz w:val="20"/>
              </w:rPr>
              <w:t>重庆市荣昌区峰高街道</w:t>
            </w:r>
            <w:r>
              <w:rPr>
                <w:rFonts w:hint="eastAsia"/>
                <w:sz w:val="20"/>
                <w:lang w:val="en-US" w:eastAsia="zh-CN"/>
              </w:rPr>
              <w:t>退役军人服务站</w:t>
            </w:r>
          </w:p>
        </w:tc>
        <w:tc>
          <w:tcPr>
            <w:tcW w:w="684"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844"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698"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424" w:hRule="atLeast"/>
          <w:jc w:val="center"/>
        </w:trPr>
        <w:tc>
          <w:tcPr>
            <w:tcW w:w="6274" w:type="dxa"/>
            <w:gridSpan w:val="5"/>
            <w:vMerge w:val="continue"/>
            <w:tcBorders>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684"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844"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698"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FFFFFF" w:themeFill="background1"/>
          <w:tblLayout w:type="fixed"/>
          <w:tblCellMar>
            <w:top w:w="0" w:type="dxa"/>
            <w:left w:w="0" w:type="dxa"/>
            <w:bottom w:w="0" w:type="dxa"/>
            <w:right w:w="0" w:type="dxa"/>
          </w:tblCellMar>
        </w:tblPrEx>
        <w:trPr>
          <w:trHeight w:val="180" w:hRule="atLeast"/>
          <w:jc w:val="center"/>
        </w:trPr>
        <w:tc>
          <w:tcPr>
            <w:tcW w:w="351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6986" w:type="dxa"/>
            <w:gridSpan w:val="7"/>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shd w:val="clear" w:color="auto" w:fill="FFFFFF" w:themeFill="background1"/>
          <w:tblLayout w:type="fixed"/>
          <w:tblCellMar>
            <w:top w:w="0" w:type="dxa"/>
            <w:left w:w="0" w:type="dxa"/>
            <w:bottom w:w="0" w:type="dxa"/>
            <w:right w:w="0" w:type="dxa"/>
          </w:tblCellMar>
        </w:tblPrEx>
        <w:trPr>
          <w:trHeight w:val="510" w:hRule="atLeast"/>
          <w:jc w:val="center"/>
        </w:trPr>
        <w:tc>
          <w:tcPr>
            <w:tcW w:w="799"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6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75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765"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9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85" w:type="dxa"/>
            <w:gridSpan w:val="2"/>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43"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57"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41"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jc w:val="center"/>
        </w:trPr>
        <w:tc>
          <w:tcPr>
            <w:tcW w:w="799"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196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75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765"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199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685"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843"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2057"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641"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22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55.35</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10.08</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1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12.54</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3.30</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4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0.46</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4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4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4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30.95</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0.03</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33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3.63</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0.31</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3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1.81</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36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1.85</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0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2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3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2.71</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18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0.48</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2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0.41</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4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1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0.34</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37"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18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3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1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4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16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17"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4.40</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5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3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42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42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11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1.65</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4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9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FFFFFF" w:themeFill="background1"/>
          <w:tblLayout w:type="fixed"/>
          <w:tblCellMar>
            <w:top w:w="0" w:type="dxa"/>
            <w:left w:w="0" w:type="dxa"/>
            <w:bottom w:w="0" w:type="dxa"/>
            <w:right w:w="0" w:type="dxa"/>
          </w:tblCellMar>
        </w:tblPrEx>
        <w:trPr>
          <w:trHeight w:val="187"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24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317" w:hRule="atLeast"/>
          <w:jc w:val="center"/>
        </w:trPr>
        <w:tc>
          <w:tcPr>
            <w:tcW w:w="2764"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7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55.35</w:t>
            </w:r>
            <w:r>
              <w:rPr>
                <w:color w:val="000000"/>
                <w:sz w:val="18"/>
              </w:rPr>
              <w:t xml:space="preserve"> </w:t>
            </w:r>
          </w:p>
        </w:tc>
        <w:tc>
          <w:tcPr>
            <w:tcW w:w="6345" w:type="dxa"/>
            <w:gridSpan w:val="6"/>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10.08</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1070"/>
        <w:gridCol w:w="1782"/>
        <w:gridCol w:w="986"/>
        <w:gridCol w:w="985"/>
        <w:gridCol w:w="985"/>
        <w:gridCol w:w="986"/>
        <w:gridCol w:w="1022"/>
        <w:gridCol w:w="1060"/>
      </w:tblGrid>
      <w:tr>
        <w:tblPrEx>
          <w:tblLayout w:type="fixed"/>
          <w:tblCellMar>
            <w:top w:w="0" w:type="dxa"/>
            <w:left w:w="0" w:type="dxa"/>
            <w:bottom w:w="0" w:type="dxa"/>
            <w:right w:w="0" w:type="dxa"/>
          </w:tblCellMar>
        </w:tblPrEx>
        <w:trPr>
          <w:trHeight w:val="644" w:hRule="atLeast"/>
        </w:trPr>
        <w:tc>
          <w:tcPr>
            <w:tcW w:w="8876" w:type="dxa"/>
            <w:gridSpan w:val="8"/>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823" w:type="dxa"/>
            <w:gridSpan w:val="4"/>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sz w:val="20"/>
              </w:rPr>
              <w:t>重庆市荣昌区峰高街道</w:t>
            </w:r>
            <w:r>
              <w:rPr>
                <w:rFonts w:hint="eastAsia"/>
                <w:sz w:val="20"/>
                <w:lang w:val="en-US" w:eastAsia="zh-CN"/>
              </w:rPr>
              <w:t>退役军人服务站</w:t>
            </w:r>
          </w:p>
        </w:tc>
        <w:tc>
          <w:tcPr>
            <w:tcW w:w="98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986"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022"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060"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shd w:val="clear" w:color="auto" w:fill="FFFFFF" w:themeFill="background1"/>
          <w:tblLayout w:type="fixed"/>
          <w:tblCellMar>
            <w:top w:w="0" w:type="dxa"/>
            <w:left w:w="0" w:type="dxa"/>
            <w:bottom w:w="0" w:type="dxa"/>
            <w:right w:w="0" w:type="dxa"/>
          </w:tblCellMar>
        </w:tblPrEx>
        <w:trPr>
          <w:trHeight w:val="329" w:hRule="atLeast"/>
        </w:trPr>
        <w:tc>
          <w:tcPr>
            <w:tcW w:w="4823" w:type="dxa"/>
            <w:gridSpan w:val="4"/>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98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986"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022"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060"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28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86"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2993" w:type="dxa"/>
            <w:gridSpan w:val="3"/>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07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78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986"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986"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22"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78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6"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22"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78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6"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22"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852" w:type="dxa"/>
            <w:gridSpan w:val="2"/>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9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9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9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9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0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0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1086"/>
        <w:gridCol w:w="1766"/>
        <w:gridCol w:w="1891"/>
        <w:gridCol w:w="116"/>
        <w:gridCol w:w="2005"/>
        <w:gridCol w:w="45"/>
        <w:gridCol w:w="1967"/>
      </w:tblGrid>
      <w:tr>
        <w:tblPrEx>
          <w:tblLayout w:type="fixed"/>
          <w:tblCellMar>
            <w:top w:w="0" w:type="dxa"/>
            <w:left w:w="0" w:type="dxa"/>
            <w:bottom w:w="0" w:type="dxa"/>
            <w:right w:w="0" w:type="dxa"/>
          </w:tblCellMar>
        </w:tblPrEx>
        <w:trPr>
          <w:trHeight w:val="650" w:hRule="atLeast"/>
        </w:trPr>
        <w:tc>
          <w:tcPr>
            <w:tcW w:w="8876" w:type="dxa"/>
            <w:gridSpan w:val="7"/>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shd w:val="clear" w:color="auto" w:fill="FFFFFF" w:themeFill="background1"/>
          <w:tblLayout w:type="fixed"/>
          <w:tblCellMar>
            <w:top w:w="0" w:type="dxa"/>
            <w:left w:w="0" w:type="dxa"/>
            <w:bottom w:w="0" w:type="dxa"/>
            <w:right w:w="0" w:type="dxa"/>
          </w:tblCellMar>
        </w:tblPrEx>
        <w:trPr>
          <w:trHeight w:val="332" w:hRule="atLeast"/>
        </w:trPr>
        <w:tc>
          <w:tcPr>
            <w:tcW w:w="4743" w:type="dxa"/>
            <w:gridSpan w:val="3"/>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sz w:val="20"/>
              </w:rPr>
              <w:t>重庆市荣昌区峰高街道</w:t>
            </w:r>
            <w:r>
              <w:rPr>
                <w:rFonts w:hint="eastAsia"/>
                <w:sz w:val="20"/>
                <w:lang w:val="en-US" w:eastAsia="zh-CN"/>
              </w:rPr>
              <w:t>退役军人服务站</w:t>
            </w:r>
          </w:p>
        </w:tc>
        <w:tc>
          <w:tcPr>
            <w:tcW w:w="2166" w:type="dxa"/>
            <w:gridSpan w:val="3"/>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967"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743" w:type="dxa"/>
            <w:gridSpan w:val="3"/>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2166" w:type="dxa"/>
            <w:gridSpan w:val="3"/>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967"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FFFFFF" w:themeFill="background1"/>
          <w:tblLayout w:type="fixed"/>
          <w:tblCellMar>
            <w:top w:w="0" w:type="dxa"/>
            <w:left w:w="0" w:type="dxa"/>
            <w:bottom w:w="0" w:type="dxa"/>
            <w:right w:w="0" w:type="dxa"/>
          </w:tblCellMar>
        </w:tblPrEx>
        <w:trPr>
          <w:trHeight w:val="422" w:hRule="atLeast"/>
        </w:trPr>
        <w:tc>
          <w:tcPr>
            <w:tcW w:w="28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24"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shd w:val="clear" w:color="auto" w:fill="FFFFFF" w:themeFill="background1"/>
          <w:tblLayout w:type="fixed"/>
          <w:tblCellMar>
            <w:top w:w="0" w:type="dxa"/>
            <w:left w:w="0" w:type="dxa"/>
            <w:bottom w:w="0" w:type="dxa"/>
            <w:right w:w="0" w:type="dxa"/>
          </w:tblCellMar>
        </w:tblPrEx>
        <w:trPr>
          <w:trHeight w:val="339" w:hRule="atLeast"/>
        </w:trPr>
        <w:tc>
          <w:tcPr>
            <w:tcW w:w="1086"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766"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2007" w:type="dxa"/>
            <w:gridSpan w:val="2"/>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00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012" w:type="dxa"/>
            <w:gridSpan w:val="2"/>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shd w:val="clear" w:color="auto" w:fill="FFFFFF" w:themeFill="background1"/>
          <w:tblLayout w:type="fixed"/>
          <w:tblCellMar>
            <w:top w:w="0" w:type="dxa"/>
            <w:left w:w="0" w:type="dxa"/>
            <w:bottom w:w="0" w:type="dxa"/>
            <w:right w:w="0" w:type="dxa"/>
          </w:tblCellMar>
        </w:tblPrEx>
        <w:trPr>
          <w:trHeight w:val="339" w:hRule="atLeast"/>
        </w:trPr>
        <w:tc>
          <w:tcPr>
            <w:tcW w:w="1086"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76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07" w:type="dxa"/>
            <w:gridSpan w:val="2"/>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0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12"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086"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76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07" w:type="dxa"/>
            <w:gridSpan w:val="2"/>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0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12"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26" w:hRule="atLeast"/>
        </w:trPr>
        <w:tc>
          <w:tcPr>
            <w:tcW w:w="1086"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76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07" w:type="dxa"/>
            <w:gridSpan w:val="2"/>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0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12"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611" w:hRule="atLeast"/>
        </w:trPr>
        <w:tc>
          <w:tcPr>
            <w:tcW w:w="28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007"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2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default" w:cs="宋体"/>
                <w:b/>
                <w:color w:val="000000"/>
                <w:sz w:val="20"/>
                <w:szCs w:val="20"/>
              </w:rPr>
            </w:pPr>
          </w:p>
        </w:tc>
        <w:tc>
          <w:tcPr>
            <w:tcW w:w="201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3542"/>
        <w:gridCol w:w="690"/>
        <w:gridCol w:w="735"/>
        <w:gridCol w:w="3225"/>
        <w:gridCol w:w="684"/>
      </w:tblGrid>
      <w:tr>
        <w:tblPrEx>
          <w:tblLayout w:type="fixed"/>
          <w:tblCellMar>
            <w:top w:w="0" w:type="dxa"/>
            <w:left w:w="0" w:type="dxa"/>
            <w:bottom w:w="0" w:type="dxa"/>
            <w:right w:w="0" w:type="dxa"/>
          </w:tblCellMar>
        </w:tblPrEx>
        <w:trPr>
          <w:trHeight w:val="175" w:hRule="atLeast"/>
        </w:trPr>
        <w:tc>
          <w:tcPr>
            <w:tcW w:w="8876" w:type="dxa"/>
            <w:gridSpan w:val="5"/>
            <w:tcBorders>
              <w:top w:val="nil"/>
              <w:left w:val="nil"/>
              <w:bottom w:val="nil"/>
              <w:right w:val="nil"/>
            </w:tcBorders>
            <w:shd w:val="clear" w:color="auto" w:fill="FFFFFF" w:themeFill="background1"/>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shd w:val="clear" w:color="auto" w:fill="FFFFFF" w:themeFill="background1"/>
          <w:tblLayout w:type="fixed"/>
          <w:tblCellMar>
            <w:top w:w="0" w:type="dxa"/>
            <w:left w:w="0" w:type="dxa"/>
            <w:bottom w:w="0" w:type="dxa"/>
            <w:right w:w="0" w:type="dxa"/>
          </w:tblCellMar>
        </w:tblPrEx>
        <w:trPr>
          <w:trHeight w:val="175" w:hRule="atLeast"/>
        </w:trPr>
        <w:tc>
          <w:tcPr>
            <w:tcW w:w="3542"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rPr>
                <w:rFonts w:hint="default" w:cs="宋体"/>
                <w:color w:val="000000"/>
                <w:sz w:val="20"/>
                <w:szCs w:val="20"/>
              </w:rPr>
            </w:pPr>
          </w:p>
        </w:tc>
        <w:tc>
          <w:tcPr>
            <w:tcW w:w="690"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center"/>
              <w:rPr>
                <w:rFonts w:hint="default" w:cs="宋体"/>
                <w:color w:val="000000"/>
                <w:sz w:val="20"/>
                <w:szCs w:val="20"/>
              </w:rPr>
            </w:pPr>
          </w:p>
        </w:tc>
        <w:tc>
          <w:tcPr>
            <w:tcW w:w="735"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rPr>
                <w:rFonts w:hint="default" w:cs="宋体"/>
                <w:color w:val="000000"/>
                <w:sz w:val="20"/>
                <w:szCs w:val="20"/>
              </w:rPr>
            </w:pPr>
          </w:p>
        </w:tc>
        <w:tc>
          <w:tcPr>
            <w:tcW w:w="3909"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967" w:type="dxa"/>
            <w:gridSpan w:val="3"/>
            <w:tcBorders>
              <w:top w:val="nil"/>
              <w:left w:val="nil"/>
              <w:bottom w:val="single" w:color="auto" w:sz="4" w:space="0"/>
              <w:right w:val="nil"/>
            </w:tcBorders>
            <w:shd w:val="clear" w:color="auto" w:fill="FFFFFF" w:themeFill="background1"/>
            <w:noWrap/>
            <w:tcMar>
              <w:top w:w="15" w:type="dxa"/>
              <w:left w:w="15" w:type="dxa"/>
              <w:right w:w="15" w:type="dxa"/>
            </w:tcMar>
            <w:vAlign w:val="bottom"/>
          </w:tcPr>
          <w:p>
            <w:pPr>
              <w:spacing w:line="280" w:lineRule="exact"/>
              <w:jc w:val="both"/>
              <w:rPr>
                <w:rFonts w:hint="default" w:cs="宋体"/>
                <w:color w:val="000000"/>
                <w:sz w:val="20"/>
                <w:szCs w:val="20"/>
              </w:rPr>
            </w:pPr>
            <w:r>
              <w:rPr>
                <w:rFonts w:cs="宋体"/>
                <w:sz w:val="20"/>
                <w:szCs w:val="20"/>
              </w:rPr>
              <w:t>公开单位</w:t>
            </w:r>
            <w:r>
              <w:rPr>
                <w:rFonts w:cs="宋体"/>
                <w:color w:val="000000"/>
                <w:sz w:val="20"/>
                <w:szCs w:val="20"/>
              </w:rPr>
              <w:t xml:space="preserve">： </w:t>
            </w:r>
            <w:r>
              <w:rPr>
                <w:sz w:val="20"/>
              </w:rPr>
              <w:t>重庆市荣昌区峰高街道</w:t>
            </w:r>
            <w:r>
              <w:rPr>
                <w:rFonts w:hint="eastAsia"/>
                <w:sz w:val="20"/>
                <w:lang w:val="en-US" w:eastAsia="zh-CN"/>
              </w:rPr>
              <w:t>退役军人服务站</w:t>
            </w:r>
          </w:p>
        </w:tc>
        <w:tc>
          <w:tcPr>
            <w:tcW w:w="3909" w:type="dxa"/>
            <w:gridSpan w:val="2"/>
            <w:tcBorders>
              <w:top w:val="nil"/>
              <w:left w:val="nil"/>
              <w:bottom w:val="single" w:color="auto" w:sz="4" w:space="0"/>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FFFFFF" w:themeFill="background1"/>
          <w:tblLayout w:type="fixed"/>
          <w:tblCellMar>
            <w:top w:w="0" w:type="dxa"/>
            <w:left w:w="0" w:type="dxa"/>
            <w:bottom w:w="0" w:type="dxa"/>
            <w:right w:w="0" w:type="dxa"/>
          </w:tblCellMar>
        </w:tblPrEx>
        <w:trPr>
          <w:trHeight w:val="184"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69"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rPr>
                <w:rFonts w:hint="default" w:cs="宋体"/>
                <w:color w:val="000000"/>
                <w:sz w:val="20"/>
                <w:szCs w:val="20"/>
              </w:rPr>
            </w:pPr>
          </w:p>
        </w:tc>
      </w:tr>
      <w:tr>
        <w:tblPrEx>
          <w:tblLayout w:type="fixed"/>
          <w:tblCellMar>
            <w:top w:w="0" w:type="dxa"/>
            <w:left w:w="0" w:type="dxa"/>
            <w:bottom w:w="0" w:type="dxa"/>
            <w:right w:w="0" w:type="dxa"/>
          </w:tblCellMar>
        </w:tblPrEx>
        <w:trPr>
          <w:trHeight w:val="244"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0.34</w:t>
            </w: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rPr>
                <w:rFonts w:hint="default" w:cs="宋体"/>
                <w:color w:val="000000"/>
                <w:sz w:val="20"/>
                <w:szCs w:val="20"/>
              </w:rPr>
            </w:pPr>
          </w:p>
        </w:tc>
      </w:tr>
    </w:tbl>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left="0" w:leftChars="0" w:firstLine="0" w:firstLineChars="0"/>
        <w:jc w:val="both"/>
        <w:textAlignment w:val="auto"/>
        <w:rPr>
          <w:rFonts w:hint="eastAsia" w:ascii="方正仿宋_GBK" w:hAnsi="方正仿宋_GBK" w:eastAsia="方正仿宋_GBK" w:cs="方正仿宋_GBK"/>
          <w:b w:val="0"/>
          <w:bCs w:val="0"/>
          <w:color w:val="auto"/>
          <w:sz w:val="32"/>
          <w:szCs w:val="32"/>
          <w:lang w:val="en-US" w:eastAsia="zh-CN"/>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sectPr>
      <w:headerReference r:id="rId3" w:type="default"/>
      <w:footerReference r:id="rId4" w:type="default"/>
      <w:pgSz w:w="11907" w:h="16839"/>
      <w:pgMar w:top="2098" w:right="1474" w:bottom="1984" w:left="158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2AA4705"/>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0323D4"/>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091CC1"/>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2B0DED"/>
    <w:rsid w:val="1B6F15B6"/>
    <w:rsid w:val="1BAA2EDC"/>
    <w:rsid w:val="1CA55E64"/>
    <w:rsid w:val="1CD75563"/>
    <w:rsid w:val="1D014A01"/>
    <w:rsid w:val="1D022362"/>
    <w:rsid w:val="1D1B04B0"/>
    <w:rsid w:val="1DA52501"/>
    <w:rsid w:val="1DA60E8A"/>
    <w:rsid w:val="1DBD6767"/>
    <w:rsid w:val="1DC52125"/>
    <w:rsid w:val="1DD26311"/>
    <w:rsid w:val="1E374ACB"/>
    <w:rsid w:val="1ECF0A66"/>
    <w:rsid w:val="1EF67CA4"/>
    <w:rsid w:val="1F020D3A"/>
    <w:rsid w:val="1F1B12B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D267DB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167FCA"/>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EDA7FE3"/>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7F159D"/>
    <w:rsid w:val="5AD134D8"/>
    <w:rsid w:val="5C263CE4"/>
    <w:rsid w:val="5C5D2777"/>
    <w:rsid w:val="5CF66BF3"/>
    <w:rsid w:val="5D290C69"/>
    <w:rsid w:val="5DB439A6"/>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AD7244E"/>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5E08B1"/>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0</TotalTime>
  <ScaleCrop>false</ScaleCrop>
  <LinksUpToDate>false</LinksUpToDate>
  <CharactersWithSpaces>26776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2024-09-12T01:05:10Z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BB46EABDBB2749749395447164B066B3_12</vt:lpwstr>
  </property>
</Properties>
</file>