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重庆市荣昌区峰高街道劳动就业和社会保障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jc w:val="center"/>
        <w:textAlignment w:val="auto"/>
        <w:rPr>
          <w:rFonts w:hint="eastAsia" w:ascii="方正小标宋_GBK" w:hAnsi="方正小标宋_GBK" w:eastAsia="方正小标宋_GBK" w:cs="方正小标宋_GBK"/>
          <w:b w:val="0"/>
          <w:bCs w:val="0"/>
          <w:color w:val="auto"/>
          <w:sz w:val="44"/>
          <w:szCs w:val="44"/>
          <w:shd w:val="clear" w:color="auto" w:fill="FFFFFF"/>
          <w:lang w:eastAsia="zh-CN"/>
        </w:rPr>
      </w:pPr>
      <w:r>
        <w:rPr>
          <w:rFonts w:hint="eastAsia" w:ascii="方正小标宋_GBK" w:hAnsi="方正小标宋_GBK" w:eastAsia="方正小标宋_GBK" w:cs="方正小标宋_GBK"/>
          <w:b w:val="0"/>
          <w:bCs w:val="0"/>
          <w:color w:val="auto"/>
          <w:sz w:val="44"/>
          <w:szCs w:val="44"/>
        </w:rPr>
        <w:t>服务所</w:t>
      </w:r>
      <w:r>
        <w:rPr>
          <w:rFonts w:hint="eastAsia" w:ascii="方正小标宋_GBK" w:hAnsi="方正小标宋_GBK" w:eastAsia="方正小标宋_GBK" w:cs="方正小标宋_GBK"/>
          <w:b w:val="0"/>
          <w:bCs w:val="0"/>
          <w:color w:val="auto"/>
          <w:sz w:val="44"/>
          <w:szCs w:val="44"/>
          <w:shd w:val="clear" w:color="auto" w:fill="FFFFFF"/>
        </w:rPr>
        <w:t>2023年度</w:t>
      </w:r>
      <w:r>
        <w:rPr>
          <w:rFonts w:hint="eastAsia" w:ascii="方正小标宋_GBK" w:hAnsi="方正小标宋_GBK" w:eastAsia="方正小标宋_GBK" w:cs="方正小标宋_GBK"/>
          <w:b w:val="0"/>
          <w:bCs w:val="0"/>
          <w:color w:val="auto"/>
          <w:sz w:val="44"/>
          <w:szCs w:val="44"/>
          <w:shd w:val="clear" w:color="auto" w:fill="FFFFFF"/>
          <w:lang w:val="en-US" w:eastAsia="zh-CN"/>
        </w:rPr>
        <w:t>部门</w:t>
      </w:r>
      <w:r>
        <w:rPr>
          <w:rFonts w:hint="eastAsia" w:ascii="方正小标宋_GBK" w:hAnsi="方正小标宋_GBK" w:eastAsia="方正小标宋_GBK" w:cs="方正小标宋_GBK"/>
          <w:b w:val="0"/>
          <w:bCs w:val="0"/>
          <w:color w:val="auto"/>
          <w:sz w:val="44"/>
          <w:szCs w:val="44"/>
          <w:shd w:val="clear" w:color="auto" w:fill="FFFFFF"/>
        </w:rPr>
        <w:t>决算公开</w:t>
      </w:r>
      <w:r>
        <w:rPr>
          <w:rFonts w:hint="eastAsia" w:ascii="方正小标宋_GBK" w:hAnsi="方正小标宋_GBK" w:eastAsia="方正小标宋_GBK" w:cs="方正小标宋_GBK"/>
          <w:b w:val="0"/>
          <w:bCs w:val="0"/>
          <w:color w:val="auto"/>
          <w:sz w:val="44"/>
          <w:szCs w:val="44"/>
          <w:shd w:val="clear" w:color="auto" w:fill="FFFFFF"/>
          <w:lang w:val="en-US" w:eastAsia="zh-CN"/>
        </w:rPr>
        <w:t>报告</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仿宋_GBK" w:hAnsi="方正仿宋_GBK" w:eastAsia="方正仿宋_GBK" w:cs="方正仿宋_GBK"/>
          <w:b w:val="0"/>
          <w:bCs w:val="0"/>
          <w:color w:val="auto"/>
          <w:sz w:val="32"/>
          <w:szCs w:val="32"/>
          <w:shd w:val="clear" w:color="auto" w:fill="FFFFFF"/>
        </w:rPr>
      </w:pPr>
    </w:p>
    <w:p>
      <w:pPr>
        <w:pStyle w:val="6"/>
        <w:keepNext w:val="0"/>
        <w:keepLines w:val="0"/>
        <w:pageBreakBefore w:val="0"/>
        <w:widowControl/>
        <w:numPr>
          <w:ilvl w:val="0"/>
          <w:numId w:val="1"/>
        </w:numPr>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单位基本情况</w:t>
      </w:r>
    </w:p>
    <w:p>
      <w:pPr>
        <w:pStyle w:val="6"/>
        <w:keepNext w:val="0"/>
        <w:keepLines w:val="0"/>
        <w:pageBreakBefore w:val="0"/>
        <w:widowControl/>
        <w:numPr>
          <w:ilvl w:val="0"/>
          <w:numId w:val="0"/>
        </w:numPr>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lang w:eastAsia="zh-CN"/>
        </w:rPr>
      </w:pPr>
      <w:r>
        <w:rPr>
          <w:rStyle w:val="10"/>
          <w:rFonts w:hint="eastAsia" w:ascii="方正楷体_GBK" w:hAnsi="方正楷体_GBK" w:eastAsia="方正楷体_GBK" w:cs="方正楷体_GBK"/>
          <w:b w:val="0"/>
          <w:bCs w:val="0"/>
          <w:color w:val="auto"/>
          <w:sz w:val="32"/>
          <w:szCs w:val="32"/>
          <w:shd w:val="clear" w:color="auto" w:fill="FFFFFF"/>
        </w:rPr>
        <w:t>（一）职能职责</w:t>
      </w:r>
      <w:r>
        <w:rPr>
          <w:rStyle w:val="10"/>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为辖区劳动就业和社会保障提供服务。承担就业、再就业、农村富余劳动力转移、劳动和社会保障、社会救助等方面的事务性服务工作。</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lang w:eastAsia="zh-CN"/>
        </w:rPr>
      </w:pPr>
      <w:r>
        <w:rPr>
          <w:rStyle w:val="10"/>
          <w:rFonts w:hint="eastAsia" w:ascii="方正楷体_GBK" w:hAnsi="方正楷体_GBK" w:eastAsia="方正楷体_GBK" w:cs="方正楷体_GBK"/>
          <w:b w:val="0"/>
          <w:bCs w:val="0"/>
          <w:color w:val="auto"/>
          <w:sz w:val="32"/>
          <w:szCs w:val="32"/>
          <w:shd w:val="clear" w:color="auto" w:fill="FFFFFF"/>
        </w:rPr>
        <w:t>（二）机构设置</w:t>
      </w:r>
      <w:r>
        <w:rPr>
          <w:rStyle w:val="10"/>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本单位为重庆市荣昌区人民政府峰高街道办事处下属二级预算单位，无内设机构，</w:t>
      </w:r>
      <w:bookmarkStart w:id="0" w:name="_GoBack"/>
      <w:bookmarkEnd w:id="0"/>
      <w:r>
        <w:rPr>
          <w:rFonts w:hint="eastAsia" w:ascii="方正仿宋_GBK" w:hAnsi="方正仿宋_GBK" w:eastAsia="方正仿宋_GBK" w:cs="方正仿宋_GBK"/>
          <w:color w:val="auto"/>
          <w:sz w:val="32"/>
          <w:szCs w:val="32"/>
          <w:lang w:val="en-US" w:eastAsia="zh-CN"/>
        </w:rPr>
        <w:t>2023年末实有在职人员5人。</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1.总体情况。</w:t>
      </w:r>
      <w:r>
        <w:rPr>
          <w:rFonts w:hint="eastAsia" w:ascii="方正仿宋_GBK" w:hAnsi="方正仿宋_GBK" w:eastAsia="方正仿宋_GBK" w:cs="方正仿宋_GBK"/>
          <w:b w:val="0"/>
          <w:bCs w:val="0"/>
          <w:color w:val="auto"/>
          <w:sz w:val="32"/>
          <w:szCs w:val="32"/>
          <w:shd w:val="clear" w:color="auto" w:fill="FFFFFF"/>
        </w:rPr>
        <w:t>2023年度收入总计116.91万元，支出总计</w:t>
      </w:r>
      <w:r>
        <w:rPr>
          <w:rFonts w:hint="eastAsia" w:ascii="方正仿宋_GBK" w:hAnsi="方正仿宋_GBK" w:eastAsia="方正仿宋_GBK" w:cs="方正仿宋_GBK"/>
          <w:b w:val="0"/>
          <w:bCs w:val="0"/>
          <w:color w:val="auto"/>
          <w:sz w:val="32"/>
          <w:szCs w:val="32"/>
        </w:rPr>
        <w:t>116.91</w:t>
      </w:r>
      <w:r>
        <w:rPr>
          <w:rFonts w:hint="eastAsia" w:ascii="方正仿宋_GBK" w:hAnsi="方正仿宋_GBK" w:eastAsia="方正仿宋_GBK" w:cs="方正仿宋_GBK"/>
          <w:b w:val="0"/>
          <w:bCs w:val="0"/>
          <w:color w:val="auto"/>
          <w:sz w:val="32"/>
          <w:szCs w:val="32"/>
          <w:shd w:val="clear" w:color="auto" w:fill="FFFFFF"/>
        </w:rPr>
        <w:t>万元。收支较上年决算数增加26.04万元，增长28.66%，主要原因是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职工工资福利和社会保障增加</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2.收入情况。</w:t>
      </w:r>
      <w:r>
        <w:rPr>
          <w:rFonts w:hint="eastAsia" w:ascii="方正仿宋_GBK" w:hAnsi="方正仿宋_GBK" w:eastAsia="方正仿宋_GBK" w:cs="方正仿宋_GBK"/>
          <w:b w:val="0"/>
          <w:bCs w:val="0"/>
          <w:color w:val="auto"/>
          <w:sz w:val="32"/>
          <w:szCs w:val="32"/>
          <w:shd w:val="clear" w:color="auto" w:fill="FFFFFF"/>
        </w:rPr>
        <w:t>2023年度收入合计116.91万元，较上年决算数增加26.04万元，增长28.66%，主要原因是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职工工资福利和社会保障增加</w:t>
      </w:r>
      <w:r>
        <w:rPr>
          <w:rFonts w:hint="eastAsia" w:ascii="方正仿宋_GBK" w:hAnsi="方正仿宋_GBK" w:eastAsia="方正仿宋_GBK" w:cs="方正仿宋_GBK"/>
          <w:b w:val="0"/>
          <w:bCs w:val="0"/>
          <w:color w:val="auto"/>
          <w:sz w:val="32"/>
          <w:szCs w:val="32"/>
          <w:shd w:val="clear" w:color="auto" w:fill="FFFFFF"/>
        </w:rPr>
        <w:t>。其中：财政拨款收入</w:t>
      </w:r>
      <w:r>
        <w:rPr>
          <w:rFonts w:hint="eastAsia" w:ascii="方正仿宋_GBK" w:hAnsi="方正仿宋_GBK" w:eastAsia="方正仿宋_GBK" w:cs="方正仿宋_GBK"/>
          <w:b w:val="0"/>
          <w:bCs w:val="0"/>
          <w:color w:val="auto"/>
          <w:sz w:val="32"/>
          <w:szCs w:val="32"/>
        </w:rPr>
        <w:t>116.91</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100.00</w:t>
      </w:r>
      <w:r>
        <w:rPr>
          <w:rFonts w:hint="eastAsia" w:ascii="方正仿宋_GBK" w:hAnsi="方正仿宋_GBK" w:eastAsia="方正仿宋_GBK" w:cs="方正仿宋_GBK"/>
          <w:b w:val="0"/>
          <w:bCs w:val="0"/>
          <w:color w:val="auto"/>
          <w:sz w:val="32"/>
          <w:szCs w:val="32"/>
          <w:shd w:val="clear" w:color="auto" w:fill="FFFFFF"/>
        </w:rPr>
        <w:t>%；事业收入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万元，占0.00%；经营收入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万元，占0.00%；其他收入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万元，占0.00%。此外，使用非财政拨款结余和专用结余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万元，年初结转和结余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3.支出情况。</w:t>
      </w:r>
      <w:r>
        <w:rPr>
          <w:rFonts w:hint="eastAsia" w:ascii="方正仿宋_GBK" w:hAnsi="方正仿宋_GBK" w:eastAsia="方正仿宋_GBK" w:cs="方正仿宋_GBK"/>
          <w:b w:val="0"/>
          <w:bCs w:val="0"/>
          <w:color w:val="auto"/>
          <w:sz w:val="32"/>
          <w:szCs w:val="32"/>
          <w:shd w:val="clear" w:color="auto" w:fill="FFFFFF"/>
        </w:rPr>
        <w:t>2023年度支出合计</w:t>
      </w:r>
      <w:r>
        <w:rPr>
          <w:rFonts w:hint="eastAsia" w:ascii="方正仿宋_GBK" w:hAnsi="方正仿宋_GBK" w:eastAsia="方正仿宋_GBK" w:cs="方正仿宋_GBK"/>
          <w:b w:val="0"/>
          <w:bCs w:val="0"/>
          <w:color w:val="auto"/>
          <w:sz w:val="32"/>
          <w:szCs w:val="32"/>
        </w:rPr>
        <w:t>116.91</w:t>
      </w:r>
      <w:r>
        <w:rPr>
          <w:rFonts w:hint="eastAsia" w:ascii="方正仿宋_GBK" w:hAnsi="方正仿宋_GBK" w:eastAsia="方正仿宋_GBK" w:cs="方正仿宋_GBK"/>
          <w:b w:val="0"/>
          <w:bCs w:val="0"/>
          <w:color w:val="auto"/>
          <w:sz w:val="32"/>
          <w:szCs w:val="32"/>
          <w:shd w:val="clear" w:color="auto" w:fill="FFFFFF"/>
        </w:rPr>
        <w:t>万元，较上年决算数增加26.04万元，增长28.66%，主要原因是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职工工资福利和社会保障增加</w:t>
      </w:r>
      <w:r>
        <w:rPr>
          <w:rFonts w:hint="eastAsia" w:ascii="方正仿宋_GBK" w:hAnsi="方正仿宋_GBK" w:eastAsia="方正仿宋_GBK" w:cs="方正仿宋_GBK"/>
          <w:b w:val="0"/>
          <w:bCs w:val="0"/>
          <w:color w:val="auto"/>
          <w:sz w:val="32"/>
          <w:szCs w:val="32"/>
          <w:shd w:val="clear" w:color="auto" w:fill="FFFFFF"/>
        </w:rPr>
        <w:t>。其中：基本支出</w:t>
      </w:r>
      <w:r>
        <w:rPr>
          <w:rFonts w:hint="eastAsia" w:ascii="方正仿宋_GBK" w:hAnsi="方正仿宋_GBK" w:eastAsia="方正仿宋_GBK" w:cs="方正仿宋_GBK"/>
          <w:b w:val="0"/>
          <w:bCs w:val="0"/>
          <w:color w:val="auto"/>
          <w:sz w:val="32"/>
          <w:szCs w:val="32"/>
        </w:rPr>
        <w:t>116.91</w:t>
      </w:r>
      <w:r>
        <w:rPr>
          <w:rFonts w:hint="eastAsia" w:ascii="方正仿宋_GBK" w:hAnsi="方正仿宋_GBK" w:eastAsia="方正仿宋_GBK" w:cs="方正仿宋_GBK"/>
          <w:b w:val="0"/>
          <w:bCs w:val="0"/>
          <w:color w:val="auto"/>
          <w:sz w:val="32"/>
          <w:szCs w:val="32"/>
          <w:shd w:val="clear" w:color="auto" w:fill="FFFFFF"/>
        </w:rPr>
        <w:t>万元，占100.00%；项目支出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万元，占0.00%；经营支出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万元，占0.00%。此外，结余分配</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4.结转结余情况。</w:t>
      </w:r>
      <w:r>
        <w:rPr>
          <w:rFonts w:hint="eastAsia" w:ascii="方正仿宋_GBK" w:hAnsi="方正仿宋_GBK" w:eastAsia="方正仿宋_GBK" w:cs="方正仿宋_GBK"/>
          <w:b w:val="0"/>
          <w:bCs w:val="0"/>
          <w:color w:val="auto"/>
          <w:sz w:val="32"/>
          <w:szCs w:val="32"/>
          <w:shd w:val="clear" w:color="auto" w:fill="FFFFFF"/>
        </w:rPr>
        <w:t>2023年度年末结转和结余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rPr>
        <w:t>，与上年持平。</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（二）财政拨款收入支出决算总体情况说明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2023年度财政拨款收、支总计116.91万元。与2022年相比，财政拨款收、支总计各增加26.04万元，增长28.66%。主要原因是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职工工资福利和社会保障增加</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（三）一般公共预算财政拨款收入支出决算情况说明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1.收入情况。</w:t>
      </w:r>
      <w:r>
        <w:rPr>
          <w:rFonts w:hint="eastAsia" w:ascii="方正仿宋_GBK" w:hAnsi="方正仿宋_GBK" w:eastAsia="方正仿宋_GBK" w:cs="方正仿宋_GBK"/>
          <w:b w:val="0"/>
          <w:bCs w:val="0"/>
          <w:color w:val="auto"/>
          <w:sz w:val="32"/>
          <w:szCs w:val="32"/>
          <w:shd w:val="clear" w:color="auto" w:fill="FFFFFF"/>
        </w:rPr>
        <w:t>2023年度一般公共预算财政拨款收入</w:t>
      </w:r>
      <w:r>
        <w:rPr>
          <w:rFonts w:hint="eastAsia" w:ascii="方正仿宋_GBK" w:hAnsi="方正仿宋_GBK" w:eastAsia="方正仿宋_GBK" w:cs="方正仿宋_GBK"/>
          <w:b w:val="0"/>
          <w:bCs w:val="0"/>
          <w:color w:val="auto"/>
          <w:sz w:val="32"/>
          <w:szCs w:val="32"/>
        </w:rPr>
        <w:t>116.91</w:t>
      </w:r>
      <w:r>
        <w:rPr>
          <w:rFonts w:hint="eastAsia" w:ascii="方正仿宋_GBK" w:hAnsi="方正仿宋_GBK" w:eastAsia="方正仿宋_GBK" w:cs="方正仿宋_GBK"/>
          <w:b w:val="0"/>
          <w:bCs w:val="0"/>
          <w:color w:val="auto"/>
          <w:sz w:val="32"/>
          <w:szCs w:val="32"/>
          <w:shd w:val="clear" w:color="auto" w:fill="FFFFFF"/>
        </w:rPr>
        <w:t>万元，较上年决算数增加26.04万元，增长28.66%。主要原因是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职工工资福利和社会保障增加</w:t>
      </w:r>
      <w:r>
        <w:rPr>
          <w:rFonts w:hint="eastAsia" w:ascii="方正仿宋_GBK" w:hAnsi="方正仿宋_GBK" w:eastAsia="方正仿宋_GBK" w:cs="方正仿宋_GBK"/>
          <w:b w:val="0"/>
          <w:bCs w:val="0"/>
          <w:color w:val="auto"/>
          <w:sz w:val="32"/>
          <w:szCs w:val="32"/>
          <w:shd w:val="clear" w:color="auto" w:fill="FFFFFF"/>
        </w:rPr>
        <w:t>。较年初预算数增加5.00万元，增长4.47%。主要原因是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职工工资福利增加</w:t>
      </w:r>
      <w:r>
        <w:rPr>
          <w:rFonts w:hint="eastAsia" w:ascii="方正仿宋_GBK" w:hAnsi="方正仿宋_GBK" w:eastAsia="方正仿宋_GBK" w:cs="方正仿宋_GBK"/>
          <w:b w:val="0"/>
          <w:bCs w:val="0"/>
          <w:color w:val="auto"/>
          <w:sz w:val="32"/>
          <w:szCs w:val="32"/>
          <w:shd w:val="clear" w:color="auto" w:fill="FFFFFF"/>
        </w:rPr>
        <w:t>。此外，年初财政拨款结转和结余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2.支出情况。</w:t>
      </w:r>
      <w:r>
        <w:rPr>
          <w:rFonts w:hint="eastAsia" w:ascii="方正仿宋_GBK" w:hAnsi="方正仿宋_GBK" w:eastAsia="方正仿宋_GBK" w:cs="方正仿宋_GBK"/>
          <w:b w:val="0"/>
          <w:bCs w:val="0"/>
          <w:color w:val="auto"/>
          <w:sz w:val="32"/>
          <w:szCs w:val="32"/>
          <w:shd w:val="clear" w:color="auto" w:fill="FFFFFF"/>
        </w:rPr>
        <w:t>2023年度一般公共预算财政拨款支出</w:t>
      </w:r>
      <w:r>
        <w:rPr>
          <w:rFonts w:hint="eastAsia" w:ascii="方正仿宋_GBK" w:hAnsi="方正仿宋_GBK" w:eastAsia="方正仿宋_GBK" w:cs="方正仿宋_GBK"/>
          <w:b w:val="0"/>
          <w:bCs w:val="0"/>
          <w:color w:val="auto"/>
          <w:sz w:val="32"/>
          <w:szCs w:val="32"/>
        </w:rPr>
        <w:t>116.91</w:t>
      </w:r>
      <w:r>
        <w:rPr>
          <w:rFonts w:hint="eastAsia" w:ascii="方正仿宋_GBK" w:hAnsi="方正仿宋_GBK" w:eastAsia="方正仿宋_GBK" w:cs="方正仿宋_GBK"/>
          <w:b w:val="0"/>
          <w:bCs w:val="0"/>
          <w:color w:val="auto"/>
          <w:sz w:val="32"/>
          <w:szCs w:val="32"/>
          <w:shd w:val="clear" w:color="auto" w:fill="FFFFFF"/>
        </w:rPr>
        <w:t>万元，较上年决算数增加26.04万元，增长28.66%。主要原因是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职工工资福利和社会保障增加</w:t>
      </w:r>
      <w:r>
        <w:rPr>
          <w:rFonts w:hint="eastAsia" w:ascii="方正仿宋_GBK" w:hAnsi="方正仿宋_GBK" w:eastAsia="方正仿宋_GBK" w:cs="方正仿宋_GBK"/>
          <w:b w:val="0"/>
          <w:bCs w:val="0"/>
          <w:color w:val="auto"/>
          <w:sz w:val="32"/>
          <w:szCs w:val="32"/>
          <w:shd w:val="clear" w:color="auto" w:fill="FFFFFF"/>
        </w:rPr>
        <w:t>。较年初预算数增加5.00万元，增长4.47%。主要原因是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职工工资福利增加</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3.结转结余情况。</w:t>
      </w:r>
      <w:r>
        <w:rPr>
          <w:rFonts w:hint="eastAsia" w:ascii="方正仿宋_GBK" w:hAnsi="方正仿宋_GBK" w:eastAsia="方正仿宋_GBK" w:cs="方正仿宋_GBK"/>
          <w:b w:val="0"/>
          <w:bCs w:val="0"/>
          <w:color w:val="auto"/>
          <w:sz w:val="32"/>
          <w:szCs w:val="32"/>
          <w:shd w:val="clear" w:color="auto" w:fill="FFFFFF"/>
        </w:rPr>
        <w:t>2023年度年末一般公共预算财政拨款结转和结余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rPr>
        <w:t>与上年持平。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4.比较情况。</w:t>
      </w:r>
      <w:r>
        <w:rPr>
          <w:rFonts w:hint="eastAsia" w:ascii="方正仿宋_GBK" w:hAnsi="方正仿宋_GBK" w:eastAsia="方正仿宋_GBK" w:cs="方正仿宋_GBK"/>
          <w:b w:val="0"/>
          <w:bCs w:val="0"/>
          <w:color w:val="auto"/>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（1）教育支出</w:t>
      </w:r>
      <w:r>
        <w:rPr>
          <w:rFonts w:hint="eastAsia" w:ascii="方正仿宋_GBK" w:hAnsi="方正仿宋_GBK" w:eastAsia="方正仿宋_GBK" w:cs="方正仿宋_GBK"/>
          <w:b w:val="0"/>
          <w:bCs w:val="0"/>
          <w:color w:val="auto"/>
          <w:sz w:val="32"/>
          <w:szCs w:val="32"/>
        </w:rPr>
        <w:t>0.57</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0.49</w:t>
      </w:r>
      <w:r>
        <w:rPr>
          <w:rFonts w:hint="eastAsia" w:ascii="方正仿宋_GBK" w:hAnsi="方正仿宋_GBK" w:eastAsia="方正仿宋_GBK" w:cs="方正仿宋_GBK"/>
          <w:b w:val="0"/>
          <w:bCs w:val="0"/>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lang w:val="en-US" w:eastAsia="zh-CN"/>
        </w:rPr>
        <w:t>准确预算经费</w:t>
      </w:r>
      <w:r>
        <w:rPr>
          <w:rFonts w:hint="eastAsia" w:ascii="方正仿宋_GBK" w:hAnsi="方正仿宋_GBK" w:eastAsia="方正仿宋_GBK" w:cs="方正仿宋_GBK"/>
          <w:color w:val="auto"/>
          <w:sz w:val="32"/>
          <w:szCs w:val="32"/>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（2）社会保障与就业支出</w:t>
      </w:r>
      <w:r>
        <w:rPr>
          <w:rFonts w:hint="eastAsia" w:ascii="方正仿宋_GBK" w:hAnsi="方正仿宋_GBK" w:eastAsia="方正仿宋_GBK" w:cs="方正仿宋_GBK"/>
          <w:b w:val="0"/>
          <w:bCs w:val="0"/>
          <w:color w:val="auto"/>
          <w:sz w:val="32"/>
          <w:szCs w:val="32"/>
        </w:rPr>
        <w:t>107.33</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91.80</w:t>
      </w:r>
      <w:r>
        <w:rPr>
          <w:rFonts w:hint="eastAsia" w:ascii="方正仿宋_GBK" w:hAnsi="方正仿宋_GBK" w:eastAsia="方正仿宋_GBK" w:cs="方正仿宋_GBK"/>
          <w:b w:val="0"/>
          <w:bCs w:val="0"/>
          <w:color w:val="auto"/>
          <w:sz w:val="32"/>
          <w:szCs w:val="32"/>
          <w:shd w:val="clear" w:color="auto" w:fill="FFFFFF"/>
        </w:rPr>
        <w:t>%，较年初预算数增加5.23万元，增长5.12%，主要原因是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职工工资福利增加</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rPr>
        <w:t>（3）卫生健康支出</w:t>
      </w:r>
      <w:r>
        <w:rPr>
          <w:rFonts w:hint="eastAsia" w:ascii="方正仿宋_GBK" w:hAnsi="方正仿宋_GBK" w:eastAsia="方正仿宋_GBK" w:cs="方正仿宋_GBK"/>
          <w:b w:val="0"/>
          <w:bCs w:val="0"/>
          <w:color w:val="auto"/>
          <w:sz w:val="32"/>
          <w:szCs w:val="32"/>
        </w:rPr>
        <w:t>4.41</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3.77</w:t>
      </w:r>
      <w:r>
        <w:rPr>
          <w:rFonts w:hint="eastAsia" w:ascii="方正仿宋_GBK" w:hAnsi="方正仿宋_GBK" w:eastAsia="方正仿宋_GBK" w:cs="方正仿宋_GBK"/>
          <w:b w:val="0"/>
          <w:bCs w:val="0"/>
          <w:color w:val="auto"/>
          <w:sz w:val="32"/>
          <w:szCs w:val="32"/>
          <w:shd w:val="clear" w:color="auto" w:fill="FFFFFF"/>
        </w:rPr>
        <w:t>%，较年初预算数减少0.22万元，下降4.75%，主要原因是</w:t>
      </w:r>
      <w:r>
        <w:rPr>
          <w:rFonts w:hint="eastAsia" w:ascii="方正仿宋_GBK" w:hAnsi="方正仿宋_GBK" w:eastAsia="方正仿宋_GBK" w:cs="方正仿宋_GBK"/>
          <w:b w:val="0"/>
          <w:bCs w:val="0"/>
          <w:color w:val="auto"/>
          <w:sz w:val="32"/>
          <w:szCs w:val="32"/>
          <w:shd w:val="clear" w:color="auto" w:fill="FFFFFF"/>
          <w:lang w:val="en-US" w:eastAsia="zh-CN"/>
        </w:rPr>
        <w:t>在职大额医疗和生育保险缴费减少。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（4）</w:t>
      </w:r>
      <w:r>
        <w:rPr>
          <w:rFonts w:hint="eastAsia" w:ascii="方正仿宋_GBK" w:hAnsi="方正仿宋_GBK" w:eastAsia="方正仿宋_GBK" w:cs="方正仿宋_GBK"/>
          <w:b w:val="0"/>
          <w:bCs w:val="0"/>
          <w:color w:val="auto"/>
          <w:sz w:val="32"/>
          <w:szCs w:val="32"/>
        </w:rPr>
        <w:t>住房保障支出4.60</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3.93</w:t>
      </w:r>
      <w:r>
        <w:rPr>
          <w:rFonts w:hint="eastAsia" w:ascii="方正仿宋_GBK" w:hAnsi="方正仿宋_GBK" w:eastAsia="方正仿宋_GBK" w:cs="方正仿宋_GBK"/>
          <w:b w:val="0"/>
          <w:bCs w:val="0"/>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lang w:val="en-US" w:eastAsia="zh-CN"/>
        </w:rPr>
        <w:t>准确预算经费</w:t>
      </w:r>
      <w:r>
        <w:rPr>
          <w:rFonts w:hint="eastAsia" w:ascii="方正仿宋_GBK" w:hAnsi="方正仿宋_GBK" w:eastAsia="方正仿宋_GBK" w:cs="方正仿宋_GBK"/>
          <w:color w:val="auto"/>
          <w:sz w:val="32"/>
          <w:szCs w:val="32"/>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（四）一般公共预算财政拨款基本支出决算情况说明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 2023年度一般公共财政拨款基本支出</w:t>
      </w:r>
      <w:r>
        <w:rPr>
          <w:rFonts w:hint="eastAsia" w:ascii="方正仿宋_GBK" w:hAnsi="方正仿宋_GBK" w:eastAsia="方正仿宋_GBK" w:cs="方正仿宋_GBK"/>
          <w:b w:val="0"/>
          <w:bCs w:val="0"/>
          <w:color w:val="auto"/>
          <w:sz w:val="32"/>
          <w:szCs w:val="32"/>
        </w:rPr>
        <w:t>116.91</w:t>
      </w:r>
      <w:r>
        <w:rPr>
          <w:rFonts w:hint="eastAsia" w:ascii="方正仿宋_GBK" w:hAnsi="方正仿宋_GBK" w:eastAsia="方正仿宋_GBK" w:cs="方正仿宋_GBK"/>
          <w:b w:val="0"/>
          <w:bCs w:val="0"/>
          <w:color w:val="auto"/>
          <w:sz w:val="32"/>
          <w:szCs w:val="32"/>
          <w:shd w:val="clear" w:color="auto" w:fill="FFFFFF"/>
        </w:rPr>
        <w:t>万元。其中：人员经费</w:t>
      </w:r>
      <w:r>
        <w:rPr>
          <w:rFonts w:hint="eastAsia" w:ascii="方正仿宋_GBK" w:hAnsi="方正仿宋_GBK" w:eastAsia="方正仿宋_GBK" w:cs="方正仿宋_GBK"/>
          <w:b w:val="0"/>
          <w:bCs w:val="0"/>
          <w:color w:val="auto"/>
          <w:sz w:val="32"/>
          <w:szCs w:val="32"/>
        </w:rPr>
        <w:t>100.39</w:t>
      </w:r>
      <w:r>
        <w:rPr>
          <w:rFonts w:hint="eastAsia" w:ascii="方正仿宋_GBK" w:hAnsi="方正仿宋_GBK" w:eastAsia="方正仿宋_GBK" w:cs="方正仿宋_GBK"/>
          <w:b w:val="0"/>
          <w:bCs w:val="0"/>
          <w:color w:val="auto"/>
          <w:sz w:val="32"/>
          <w:szCs w:val="32"/>
          <w:shd w:val="clear" w:color="auto" w:fill="FFFFFF"/>
        </w:rPr>
        <w:t>万元，较上年决算数增加18.39万元，增长22.43%，主要原因是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职工工资福利和社会保障增加</w:t>
      </w:r>
      <w:r>
        <w:rPr>
          <w:rFonts w:hint="eastAsia" w:ascii="方正仿宋_GBK" w:hAnsi="方正仿宋_GBK" w:eastAsia="方正仿宋_GBK" w:cs="方正仿宋_GBK"/>
          <w:b w:val="0"/>
          <w:bCs w:val="0"/>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rPr>
        <w:t>基本工资、津贴补贴、绩效工资、社会保障缴费、住房公积金</w:t>
      </w:r>
      <w:r>
        <w:rPr>
          <w:rFonts w:hint="eastAsia" w:ascii="方正仿宋_GBK" w:hAnsi="方正仿宋_GBK" w:eastAsia="方正仿宋_GBK" w:cs="方正仿宋_GBK"/>
          <w:b w:val="0"/>
          <w:bCs w:val="0"/>
          <w:color w:val="auto"/>
          <w:sz w:val="32"/>
          <w:szCs w:val="32"/>
          <w:shd w:val="clear" w:color="auto" w:fill="FFFFFF"/>
        </w:rPr>
        <w:t>。公用经费</w:t>
      </w:r>
      <w:r>
        <w:rPr>
          <w:rFonts w:hint="eastAsia" w:ascii="方正仿宋_GBK" w:hAnsi="方正仿宋_GBK" w:eastAsia="方正仿宋_GBK" w:cs="方正仿宋_GBK"/>
          <w:b w:val="0"/>
          <w:bCs w:val="0"/>
          <w:color w:val="auto"/>
          <w:sz w:val="32"/>
          <w:szCs w:val="32"/>
        </w:rPr>
        <w:t>16.52</w:t>
      </w:r>
      <w:r>
        <w:rPr>
          <w:rFonts w:hint="eastAsia" w:ascii="方正仿宋_GBK" w:hAnsi="方正仿宋_GBK" w:eastAsia="方正仿宋_GBK" w:cs="方正仿宋_GBK"/>
          <w:b w:val="0"/>
          <w:bCs w:val="0"/>
          <w:color w:val="auto"/>
          <w:sz w:val="32"/>
          <w:szCs w:val="32"/>
          <w:shd w:val="clear" w:color="auto" w:fill="FFFFFF"/>
        </w:rPr>
        <w:t>万元，较上年决算数增加7.65万元，增长86.25%，主要原因是</w:t>
      </w:r>
      <w:r>
        <w:rPr>
          <w:rFonts w:hint="eastAsia" w:ascii="方正仿宋_GBK" w:hAnsi="方正仿宋_GBK" w:eastAsia="方正仿宋_GBK" w:cs="方正仿宋_GBK"/>
          <w:b w:val="0"/>
          <w:bCs w:val="0"/>
          <w:color w:val="auto"/>
          <w:sz w:val="32"/>
          <w:szCs w:val="32"/>
          <w:shd w:val="clear" w:color="auto" w:fill="FFFFFF"/>
          <w:lang w:val="en-US" w:eastAsia="zh-CN"/>
        </w:rPr>
        <w:t>办公费、培训费和工会经费增加</w:t>
      </w:r>
      <w:r>
        <w:rPr>
          <w:rFonts w:hint="eastAsia" w:ascii="方正仿宋_GBK" w:hAnsi="方正仿宋_GBK" w:eastAsia="方正仿宋_GBK" w:cs="方正仿宋_GBK"/>
          <w:b w:val="0"/>
          <w:bCs w:val="0"/>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rPr>
        <w:t>办公费、水电费、培训费、工会经费、其他商品和服务支出。</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（五）政府性基金预算收支决算情况说明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本单位2023年度无政府性基金预算财政拨款收支。</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（六）国有资本经营预算财政拨款支出决算情况说明</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（一）“三公”经费支出总体情况说明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2023年度“三公”经费支出共计</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lang w:val="en-US" w:eastAsia="zh-CN"/>
        </w:rPr>
        <w:t>未发生“三公”经费支出。</w:t>
      </w:r>
      <w:r>
        <w:rPr>
          <w:rFonts w:hint="eastAsia" w:ascii="方正仿宋_GBK" w:hAnsi="方正仿宋_GBK" w:eastAsia="方正仿宋_GBK" w:cs="方正仿宋_GBK"/>
          <w:b w:val="0"/>
          <w:bCs w:val="0"/>
          <w:color w:val="auto"/>
          <w:sz w:val="32"/>
          <w:szCs w:val="32"/>
          <w:shd w:val="clear" w:color="auto" w:fill="FFFFFF"/>
        </w:rPr>
        <w:t>较年初预算数无增减。较上年支出数无增减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与上年持平。</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（二）“三公”经费分项支出情况</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2023年度本单位因公出国（境）费用0.00万元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未发生</w:t>
      </w:r>
      <w:r>
        <w:rPr>
          <w:rFonts w:hint="eastAsia" w:ascii="方正仿宋_GBK" w:hAnsi="方正仿宋_GBK" w:eastAsia="方正仿宋_GBK" w:cs="方正仿宋_GBK"/>
          <w:color w:val="auto"/>
          <w:sz w:val="32"/>
          <w:szCs w:val="32"/>
        </w:rPr>
        <w:t>因公出国（境）</w:t>
      </w:r>
      <w:r>
        <w:rPr>
          <w:rFonts w:hint="eastAsia" w:ascii="方正仿宋_GBK" w:hAnsi="方正仿宋_GBK" w:eastAsia="方正仿宋_GBK" w:cs="方正仿宋_GBK"/>
          <w:color w:val="auto"/>
          <w:sz w:val="32"/>
          <w:szCs w:val="32"/>
          <w:lang w:val="en-US" w:eastAsia="zh-CN"/>
        </w:rPr>
        <w:t>支出</w:t>
      </w:r>
      <w:r>
        <w:rPr>
          <w:rFonts w:hint="eastAsia" w:ascii="方正仿宋_GBK" w:hAnsi="方正仿宋_GBK" w:eastAsia="方正仿宋_GBK" w:cs="方正仿宋_GBK"/>
          <w:color w:val="auto"/>
          <w:sz w:val="32"/>
          <w:szCs w:val="32"/>
        </w:rPr>
        <w:t>。费用支出较年初预算数无增减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较上年支出数无增减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与上年持平。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公务车购置费</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color w:val="auto"/>
          <w:sz w:val="32"/>
          <w:szCs w:val="32"/>
          <w:lang w:val="en-US" w:eastAsia="zh-CN"/>
        </w:rPr>
        <w:t>未发生公务车购置支出</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val="0"/>
          <w:bCs w:val="0"/>
          <w:color w:val="auto"/>
          <w:sz w:val="32"/>
          <w:szCs w:val="32"/>
          <w:shd w:val="clear" w:color="auto" w:fill="FFFFFF"/>
        </w:rPr>
        <w:t>费用支出较年初预算数无增减。较上年支出数无增减，</w:t>
      </w:r>
      <w:r>
        <w:rPr>
          <w:rFonts w:hint="eastAsia" w:ascii="方正仿宋_GBK" w:hAnsi="方正仿宋_GBK" w:eastAsia="方正仿宋_GBK" w:cs="方正仿宋_GBK"/>
          <w:color w:val="auto"/>
          <w:sz w:val="32"/>
          <w:szCs w:val="32"/>
        </w:rPr>
        <w:t>与上年持平。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公务车运行维护费</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lang w:val="en-US" w:eastAsia="zh-CN"/>
        </w:rPr>
        <w:t>未发生公务车运行维护费支出</w:t>
      </w:r>
      <w:r>
        <w:rPr>
          <w:rFonts w:hint="eastAsia" w:ascii="方正仿宋_GBK" w:hAnsi="方正仿宋_GBK" w:eastAsia="方正仿宋_GBK" w:cs="方正仿宋_GBK"/>
          <w:b w:val="0"/>
          <w:bCs w:val="0"/>
          <w:color w:val="auto"/>
          <w:sz w:val="32"/>
          <w:szCs w:val="32"/>
          <w:shd w:val="clear" w:color="auto" w:fill="FFFFFF"/>
        </w:rPr>
        <w:t>。费用支出较年初预算数无增减。较上年支出数无增减，</w:t>
      </w:r>
      <w:r>
        <w:rPr>
          <w:rFonts w:hint="eastAsia" w:ascii="方正仿宋_GBK" w:hAnsi="方正仿宋_GBK" w:eastAsia="方正仿宋_GBK" w:cs="方正仿宋_GBK"/>
          <w:color w:val="auto"/>
          <w:sz w:val="32"/>
          <w:szCs w:val="32"/>
        </w:rPr>
        <w:t>与上年持平。</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公务接待费0.00万元，</w:t>
      </w:r>
      <w:r>
        <w:rPr>
          <w:rFonts w:hint="eastAsia" w:ascii="方正仿宋_GBK" w:hAnsi="方正仿宋_GBK" w:eastAsia="方正仿宋_GBK" w:cs="方正仿宋_GBK"/>
          <w:color w:val="auto"/>
          <w:sz w:val="32"/>
          <w:szCs w:val="32"/>
          <w:lang w:val="en-US" w:eastAsia="zh-CN"/>
        </w:rPr>
        <w:t>未发生公务接待费支出</w:t>
      </w:r>
      <w:r>
        <w:rPr>
          <w:rFonts w:hint="eastAsia" w:ascii="方正仿宋_GBK" w:hAnsi="方正仿宋_GBK" w:eastAsia="方正仿宋_GBK" w:cs="方正仿宋_GBK"/>
          <w:color w:val="auto"/>
          <w:sz w:val="32"/>
          <w:szCs w:val="32"/>
        </w:rPr>
        <w:t>。费用支出较年初预算数无增减。较上年支出数无增减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与上年持平。</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（三）“三公”经费实物量情况</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2023年度本单位因公出国（境）共计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个团组，</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人；公务用车购置</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辆，公务车保有量为</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辆；国内公务接待</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人，其中：国内外事接待</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人；国（境）外公务接待</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人。2023年本单位人均接待费</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元，车均购置费</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万元，车均维护费</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（一）财政拨款会议费和培训费情况说明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本年度会议费支出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rPr>
        <w:t>与上年持平。</w:t>
      </w:r>
      <w:r>
        <w:rPr>
          <w:rFonts w:hint="eastAsia" w:ascii="方正仿宋_GBK" w:hAnsi="方正仿宋_GBK" w:eastAsia="方正仿宋_GBK" w:cs="方正仿宋_GBK"/>
          <w:b w:val="0"/>
          <w:bCs w:val="0"/>
          <w:color w:val="auto"/>
          <w:sz w:val="32"/>
          <w:szCs w:val="32"/>
          <w:shd w:val="clear" w:color="auto" w:fill="FFFFFF"/>
        </w:rPr>
        <w:t>本年度培训费支出</w:t>
      </w:r>
      <w:r>
        <w:rPr>
          <w:rFonts w:hint="eastAsia" w:ascii="方正仿宋_GBK" w:hAnsi="方正仿宋_GBK" w:eastAsia="方正仿宋_GBK" w:cs="方正仿宋_GBK"/>
          <w:b w:val="0"/>
          <w:bCs w:val="0"/>
          <w:color w:val="auto"/>
          <w:sz w:val="32"/>
          <w:szCs w:val="32"/>
        </w:rPr>
        <w:t>0.57</w:t>
      </w:r>
      <w:r>
        <w:rPr>
          <w:rFonts w:hint="eastAsia" w:ascii="方正仿宋_GBK" w:hAnsi="方正仿宋_GBK" w:eastAsia="方正仿宋_GBK" w:cs="方正仿宋_GBK"/>
          <w:b w:val="0"/>
          <w:bCs w:val="0"/>
          <w:color w:val="auto"/>
          <w:sz w:val="32"/>
          <w:szCs w:val="32"/>
          <w:shd w:val="clear" w:color="auto" w:fill="FFFFFF"/>
        </w:rPr>
        <w:t>万元，较上年决算数增加0.57万元，增长100.00%，主要原因是</w:t>
      </w:r>
      <w:r>
        <w:rPr>
          <w:rFonts w:hint="eastAsia" w:ascii="方正仿宋_GBK" w:hAnsi="方正仿宋_GBK" w:eastAsia="方正仿宋_GBK" w:cs="方正仿宋_GBK"/>
          <w:b w:val="0"/>
          <w:bCs w:val="0"/>
          <w:color w:val="auto"/>
          <w:sz w:val="32"/>
          <w:szCs w:val="32"/>
          <w:shd w:val="clear" w:color="auto" w:fill="FFFFFF"/>
          <w:lang w:val="en-US" w:eastAsia="zh-CN"/>
        </w:rPr>
        <w:t>新增预算</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（二）机关运行经费情况说明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（三）国有资产占用情况说明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截至2023年12月31日，本单位共有车辆</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辆，其中，副部（省）级及以上领导用车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辆、主要负责人用车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辆、机要通信用车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辆、应急保障用车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辆、执法执勤用车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辆，特种专业技术用车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辆，离退休干部用车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辆。单价100万元（含）以上专用设备</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（四）政府采购支出情况说明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2023年度我单位未发生政府采购事项，无相关经费支出。</w:t>
      </w:r>
    </w:p>
    <w:p>
      <w:pPr>
        <w:pStyle w:val="6"/>
        <w:keepNext w:val="0"/>
        <w:keepLines w:val="0"/>
        <w:pageBreakBefore w:val="0"/>
        <w:widowControl/>
        <w:numPr>
          <w:ilvl w:val="0"/>
          <w:numId w:val="0"/>
        </w:numPr>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lang w:val="en-US" w:eastAsia="zh-CN"/>
        </w:rPr>
        <w:t>五、</w:t>
      </w:r>
      <w:r>
        <w:rPr>
          <w:rStyle w:val="10"/>
          <w:rFonts w:hint="eastAsia" w:ascii="方正黑体_GBK" w:hAnsi="方正黑体_GBK" w:eastAsia="方正黑体_GBK" w:cs="方正黑体_GBK"/>
          <w:b w:val="0"/>
          <w:bCs w:val="0"/>
          <w:color w:val="auto"/>
          <w:sz w:val="32"/>
          <w:szCs w:val="32"/>
          <w:shd w:val="clear" w:color="auto" w:fill="FFFFFF"/>
        </w:rPr>
        <w:t>预算绩效管理情况说明</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（一）单位自评情况</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我单位未组织开展绩效评价。</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（二）单位绩效评价情况</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我单位未组织开展绩效评价。</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rPr>
        <w:t>（三）财政绩效评价情况</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区财政局未委托第三方对我单位开展绩效评价。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shd w:val="clear" w:color="auto" w:fill="FFFFFF"/>
        </w:rPr>
        <w:t>（一）财政拨款收入：</w:t>
      </w:r>
      <w:r>
        <w:rPr>
          <w:rFonts w:hint="eastAsia" w:ascii="方正仿宋_GBK" w:hAnsi="方正仿宋_GBK" w:eastAsia="方正仿宋_GBK" w:cs="方正仿宋_GBK"/>
          <w:b w:val="0"/>
          <w:bCs w:val="0"/>
          <w:color w:val="auto"/>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（二）事业收入</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（三）经营收入</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（四）其他收入</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（五）使用非财政拨款结余</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（六）年初结转和结余</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（七）结余分配</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（八）年末结转和结余</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（九）基本支出</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（十）项目支出</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（十一）经营支出</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（十二）“三公”经费</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（十三）机关运行经费</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（十四）工资福利支出（支出经济分类科目类级）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（十五）商品和服务支出（支出经济分类科目类级）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（十六）对个人和家庭的补助（支出经济分类科目类级）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（十七）其他资本性支出（支出经济分类科目类级）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shd w:val="clear" w:color="auto" w:fill="FFFFFF"/>
        </w:rPr>
        <w:t>本单位决算公开信息反馈和联系方式：</w:t>
      </w:r>
      <w:r>
        <w:rPr>
          <w:rFonts w:hint="eastAsia" w:ascii="方正仿宋_GBK" w:hAnsi="方正仿宋_GBK" w:eastAsia="方正仿宋_GBK" w:cs="方正仿宋_GBK"/>
          <w:b w:val="0"/>
          <w:bCs w:val="0"/>
          <w:color w:val="auto"/>
          <w:sz w:val="32"/>
          <w:szCs w:val="32"/>
          <w:shd w:val="clear" w:color="auto" w:fill="FFFFFF"/>
          <w:lang w:val="en-US" w:eastAsia="zh-CN"/>
        </w:rPr>
        <w:t>张莲，023-46212076</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附件：重庆市荣昌区峰高街道劳动就业和社会保障服务所2023年度部门决算公开报表</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3242"/>
        <w:gridCol w:w="1245"/>
        <w:gridCol w:w="2970"/>
        <w:gridCol w:w="1419"/>
      </w:tblGrid>
      <w:tr>
        <w:tblPrEx>
          <w:tblLayout w:type="fixed"/>
          <w:tblCellMar>
            <w:top w:w="0" w:type="dxa"/>
            <w:left w:w="0" w:type="dxa"/>
            <w:bottom w:w="0" w:type="dxa"/>
            <w:right w:w="0" w:type="dxa"/>
          </w:tblCellMar>
        </w:tblPrEx>
        <w:trPr>
          <w:trHeight w:val="232" w:hRule="atLeast"/>
        </w:trPr>
        <w:tc>
          <w:tcPr>
            <w:tcW w:w="8876" w:type="dxa"/>
            <w:gridSpan w:val="4"/>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4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297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419"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shd w:val="clear" w:color="auto" w:fill="FFFFFF" w:themeFill="background1"/>
          <w:tblLayout w:type="fixed"/>
          <w:tblCellMar>
            <w:top w:w="0" w:type="dxa"/>
            <w:left w:w="0" w:type="dxa"/>
            <w:bottom w:w="0" w:type="dxa"/>
            <w:right w:w="0" w:type="dxa"/>
          </w:tblCellMar>
        </w:tblPrEx>
        <w:trPr>
          <w:trHeight w:val="232" w:hRule="atLeast"/>
        </w:trPr>
        <w:tc>
          <w:tcPr>
            <w:tcW w:w="7457"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重庆市荣昌区峰高街道</w:t>
            </w:r>
            <w:r>
              <w:rPr>
                <w:rFonts w:hint="eastAsia"/>
                <w:sz w:val="20"/>
                <w:lang w:val="en-US" w:eastAsia="zh-CN"/>
              </w:rPr>
              <w:t>劳动就业和社会保障服务所</w:t>
            </w:r>
          </w:p>
        </w:tc>
        <w:tc>
          <w:tcPr>
            <w:tcW w:w="1419"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4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4389" w:type="dxa"/>
            <w:gridSpan w:val="2"/>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116.91</w:t>
            </w: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0.57</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245"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107.33</w:t>
            </w: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4.41</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rPr>
                <w:rFonts w:hint="default" w:cs="宋体"/>
                <w:b/>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116.91</w:t>
            </w: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116.91</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419" w:type="dxa"/>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5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116.91</w:t>
            </w:r>
            <w:r>
              <w:rPr>
                <w:color w:val="000000"/>
                <w:sz w:val="20"/>
              </w:rPr>
              <w:t xml:space="preserve"> </w:t>
            </w:r>
          </w:p>
        </w:tc>
        <w:tc>
          <w:tcPr>
            <w:tcW w:w="2970" w:type="dxa"/>
            <w:tcBorders>
              <w:top w:val="nil"/>
              <w:left w:val="nil"/>
              <w:bottom w:val="single" w:color="000000"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116.91</w:t>
            </w:r>
            <w:r>
              <w:rPr>
                <w:color w:val="000000"/>
                <w:sz w:val="20"/>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pacing w:line="240" w:lineRule="exact"/>
        <w:rPr>
          <w:rFonts w:cs="宋体"/>
          <w:sz w:val="20"/>
          <w:szCs w:val="20"/>
        </w:rPr>
      </w:pPr>
    </w:p>
    <w:p>
      <w:pPr>
        <w:spacing w:line="240" w:lineRule="exact"/>
        <w:rPr>
          <w:rFonts w:cs="宋体"/>
          <w:sz w:val="20"/>
          <w:szCs w:val="20"/>
        </w:rPr>
      </w:pPr>
      <w:r>
        <w:rPr>
          <w:rFonts w:cs="宋体"/>
          <w:sz w:val="20"/>
          <w:szCs w:val="20"/>
        </w:rPr>
        <w:br w:type="textWrapping"/>
      </w: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842"/>
        <w:gridCol w:w="3270"/>
        <w:gridCol w:w="810"/>
        <w:gridCol w:w="750"/>
        <w:gridCol w:w="772"/>
        <w:gridCol w:w="300"/>
        <w:gridCol w:w="570"/>
        <w:gridCol w:w="458"/>
        <w:gridCol w:w="570"/>
        <w:gridCol w:w="534"/>
      </w:tblGrid>
      <w:tr>
        <w:tblPrEx>
          <w:shd w:val="clear" w:color="auto" w:fill="FFFFFF" w:themeFill="background1"/>
          <w:tblLayout w:type="fixed"/>
          <w:tblCellMar>
            <w:top w:w="0" w:type="dxa"/>
            <w:left w:w="0" w:type="dxa"/>
            <w:bottom w:w="0" w:type="dxa"/>
            <w:right w:w="0" w:type="dxa"/>
          </w:tblCellMar>
        </w:tblPrEx>
        <w:trPr>
          <w:trHeight w:val="641" w:hRule="atLeast"/>
        </w:trPr>
        <w:tc>
          <w:tcPr>
            <w:tcW w:w="8876"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shd w:val="clear" w:color="auto" w:fill="FFFFFF" w:themeFill="background1"/>
          <w:tblLayout w:type="fixed"/>
          <w:tblCellMar>
            <w:top w:w="0" w:type="dxa"/>
            <w:left w:w="0" w:type="dxa"/>
            <w:bottom w:w="0" w:type="dxa"/>
            <w:right w:w="0" w:type="dxa"/>
          </w:tblCellMar>
        </w:tblPrEx>
        <w:trPr>
          <w:trHeight w:val="328" w:hRule="atLeast"/>
        </w:trPr>
        <w:tc>
          <w:tcPr>
            <w:tcW w:w="5672" w:type="dxa"/>
            <w:gridSpan w:val="4"/>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重庆市荣昌区峰高街道</w:t>
            </w:r>
            <w:r>
              <w:rPr>
                <w:rFonts w:hint="eastAsia"/>
                <w:sz w:val="20"/>
                <w:lang w:val="en-US" w:eastAsia="zh-CN"/>
              </w:rPr>
              <w:t>劳动就业和社会保障服务所</w:t>
            </w:r>
          </w:p>
        </w:tc>
        <w:tc>
          <w:tcPr>
            <w:tcW w:w="77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30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7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4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0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shd w:val="clear" w:color="auto" w:fill="FFFFFF" w:themeFill="background1"/>
          <w:tblLayout w:type="fixed"/>
          <w:tblCellMar>
            <w:top w:w="0" w:type="dxa"/>
            <w:left w:w="0" w:type="dxa"/>
            <w:bottom w:w="0" w:type="dxa"/>
            <w:right w:w="0" w:type="dxa"/>
          </w:tblCellMar>
        </w:tblPrEx>
        <w:trPr>
          <w:trHeight w:val="328" w:hRule="atLeast"/>
        </w:trPr>
        <w:tc>
          <w:tcPr>
            <w:tcW w:w="5672" w:type="dxa"/>
            <w:gridSpan w:val="4"/>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7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30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7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4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0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431" w:hRule="atLeast"/>
        </w:trPr>
        <w:tc>
          <w:tcPr>
            <w:tcW w:w="4112" w:type="dxa"/>
            <w:gridSpan w:val="2"/>
            <w:tcBorders>
              <w:top w:val="single" w:color="000000" w:sz="4" w:space="0"/>
              <w:left w:val="single" w:color="000000" w:sz="4" w:space="0"/>
              <w:bottom w:val="single" w:color="000000" w:sz="4" w:space="0"/>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shd w:val="clear" w:color="auto" w:fill="FFFFFF" w:themeFill="background1"/>
          <w:tblLayout w:type="fixed"/>
          <w:tblCellMar>
            <w:top w:w="0" w:type="dxa"/>
            <w:left w:w="0" w:type="dxa"/>
            <w:bottom w:w="0" w:type="dxa"/>
            <w:right w:w="0" w:type="dxa"/>
          </w:tblCellMar>
        </w:tblPrEx>
        <w:trPr>
          <w:trHeight w:val="334" w:hRule="atLeast"/>
        </w:trPr>
        <w:tc>
          <w:tcPr>
            <w:tcW w:w="842"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70" w:type="dxa"/>
            <w:vMerge w:val="restar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4" w:hRule="atLeast"/>
        </w:trPr>
        <w:tc>
          <w:tcPr>
            <w:tcW w:w="84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27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4" w:hRule="atLeast"/>
        </w:trPr>
        <w:tc>
          <w:tcPr>
            <w:tcW w:w="84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27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4" w:hRule="atLeast"/>
        </w:trPr>
        <w:tc>
          <w:tcPr>
            <w:tcW w:w="84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27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8" w:hRule="atLeast"/>
        </w:trPr>
        <w:tc>
          <w:tcPr>
            <w:tcW w:w="411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8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116.91</w:t>
            </w:r>
            <w:r>
              <w:rPr>
                <w:b/>
                <w:color w:val="000000"/>
                <w:sz w:val="20"/>
              </w:rPr>
              <w:t xml:space="preserve"> </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116.91</w:t>
            </w:r>
            <w:r>
              <w:rPr>
                <w:b/>
                <w:color w:val="000000"/>
                <w:sz w:val="20"/>
              </w:rPr>
              <w:t xml:space="preserve"> </w:t>
            </w:r>
          </w:p>
        </w:tc>
        <w:tc>
          <w:tcPr>
            <w:tcW w:w="77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0.57</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0.57</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0.57</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0.57</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0.57</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0.57</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107.33</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107.33</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91.66</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91.66</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91.66</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91.66</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15.67</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15.67</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6.13</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6.13</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9.54</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9.54</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3.07</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3.07</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857"/>
        <w:gridCol w:w="6"/>
        <w:gridCol w:w="3354"/>
        <w:gridCol w:w="825"/>
        <w:gridCol w:w="915"/>
        <w:gridCol w:w="555"/>
        <w:gridCol w:w="727"/>
        <w:gridCol w:w="518"/>
        <w:gridCol w:w="1119"/>
      </w:tblGrid>
      <w:tr>
        <w:tblPrEx>
          <w:shd w:val="clear" w:color="auto" w:fill="FFFFFF" w:themeFill="background1"/>
          <w:tblLayout w:type="fixed"/>
          <w:tblCellMar>
            <w:top w:w="0" w:type="dxa"/>
            <w:left w:w="0" w:type="dxa"/>
            <w:bottom w:w="0" w:type="dxa"/>
            <w:right w:w="0" w:type="dxa"/>
          </w:tblCellMar>
        </w:tblPrEx>
        <w:trPr>
          <w:trHeight w:val="654" w:hRule="atLeast"/>
        </w:trPr>
        <w:tc>
          <w:tcPr>
            <w:tcW w:w="8876" w:type="dxa"/>
            <w:gridSpan w:val="9"/>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shd w:val="clear" w:color="auto" w:fill="FFFFFF" w:themeFill="background1"/>
          <w:tblLayout w:type="fixed"/>
          <w:tblCellMar>
            <w:top w:w="0" w:type="dxa"/>
            <w:left w:w="0" w:type="dxa"/>
            <w:bottom w:w="0" w:type="dxa"/>
            <w:right w:w="0" w:type="dxa"/>
          </w:tblCellMar>
        </w:tblPrEx>
        <w:trPr>
          <w:trHeight w:val="342" w:hRule="atLeast"/>
        </w:trPr>
        <w:tc>
          <w:tcPr>
            <w:tcW w:w="5957" w:type="dxa"/>
            <w:gridSpan w:val="5"/>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劳动就业和社会保障服务所</w:t>
            </w:r>
          </w:p>
        </w:tc>
        <w:tc>
          <w:tcPr>
            <w:tcW w:w="55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2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1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19"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shd w:val="clear" w:color="auto" w:fill="FFFFFF" w:themeFill="background1"/>
          <w:tblLayout w:type="fixed"/>
          <w:tblCellMar>
            <w:top w:w="0" w:type="dxa"/>
            <w:left w:w="0" w:type="dxa"/>
            <w:bottom w:w="0" w:type="dxa"/>
            <w:right w:w="0" w:type="dxa"/>
          </w:tblCellMar>
        </w:tblPrEx>
        <w:trPr>
          <w:trHeight w:val="342" w:hRule="atLeast"/>
        </w:trPr>
        <w:tc>
          <w:tcPr>
            <w:tcW w:w="5957" w:type="dxa"/>
            <w:gridSpan w:val="5"/>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5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2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1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19"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362" w:hRule="atLeast"/>
        </w:trPr>
        <w:tc>
          <w:tcPr>
            <w:tcW w:w="421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shd w:val="clear" w:color="auto" w:fill="FFFFFF" w:themeFill="background1"/>
          <w:tblLayout w:type="fixed"/>
          <w:tblCellMar>
            <w:top w:w="0" w:type="dxa"/>
            <w:left w:w="0" w:type="dxa"/>
            <w:bottom w:w="0" w:type="dxa"/>
            <w:right w:w="0" w:type="dxa"/>
          </w:tblCellMar>
        </w:tblPrEx>
        <w:trPr>
          <w:trHeight w:val="338" w:hRule="atLeast"/>
        </w:trPr>
        <w:tc>
          <w:tcPr>
            <w:tcW w:w="857"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60" w:type="dxa"/>
            <w:gridSpan w:val="2"/>
            <w:vMerge w:val="restar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8" w:hRule="atLeast"/>
        </w:trPr>
        <w:tc>
          <w:tcPr>
            <w:tcW w:w="85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360" w:type="dxa"/>
            <w:gridSpan w:val="2"/>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8" w:hRule="atLeast"/>
        </w:trPr>
        <w:tc>
          <w:tcPr>
            <w:tcW w:w="85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360" w:type="dxa"/>
            <w:gridSpan w:val="2"/>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8" w:hRule="atLeast"/>
        </w:trPr>
        <w:tc>
          <w:tcPr>
            <w:tcW w:w="85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360" w:type="dxa"/>
            <w:gridSpan w:val="2"/>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62" w:hRule="atLeast"/>
        </w:trPr>
        <w:tc>
          <w:tcPr>
            <w:tcW w:w="421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116.91</w:t>
            </w:r>
            <w:r>
              <w:rPr>
                <w:b/>
                <w:color w:val="000000"/>
                <w:sz w:val="20"/>
              </w:rPr>
              <w:t xml:space="preserve"> </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116.91</w:t>
            </w:r>
            <w:r>
              <w:rPr>
                <w:b/>
                <w:color w:val="000000"/>
                <w:sz w:val="20"/>
              </w:rPr>
              <w:t xml:space="preserve"> </w:t>
            </w:r>
          </w:p>
        </w:tc>
        <w:tc>
          <w:tcPr>
            <w:tcW w:w="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0.57</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0.57</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0.57</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0.57</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0.57</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0.57</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107.33</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107.33</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91.66</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91.66</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91.66</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91.66</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15.67</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15.67</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6.13</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6.13</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9.54</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9.54</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3.07</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3.07</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2552"/>
        <w:gridCol w:w="720"/>
        <w:gridCol w:w="2670"/>
        <w:gridCol w:w="720"/>
        <w:gridCol w:w="765"/>
        <w:gridCol w:w="585"/>
        <w:gridCol w:w="864"/>
      </w:tblGrid>
      <w:tr>
        <w:tblPrEx>
          <w:shd w:val="clear" w:color="auto" w:fill="FFFFFF" w:themeFill="background1"/>
          <w:tblLayout w:type="fixed"/>
          <w:tblCellMar>
            <w:top w:w="0" w:type="dxa"/>
            <w:left w:w="0" w:type="dxa"/>
            <w:bottom w:w="0" w:type="dxa"/>
            <w:right w:w="0" w:type="dxa"/>
          </w:tblCellMar>
        </w:tblPrEx>
        <w:trPr>
          <w:trHeight w:val="400" w:hRule="atLeast"/>
        </w:trPr>
        <w:tc>
          <w:tcPr>
            <w:tcW w:w="8876"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shd w:val="clear" w:color="auto" w:fill="FFFFFF" w:themeFill="background1"/>
          <w:tblLayout w:type="fixed"/>
          <w:tblCellMar>
            <w:top w:w="0" w:type="dxa"/>
            <w:left w:w="0" w:type="dxa"/>
            <w:bottom w:w="0" w:type="dxa"/>
            <w:right w:w="0" w:type="dxa"/>
          </w:tblCellMar>
        </w:tblPrEx>
        <w:trPr>
          <w:trHeight w:val="246" w:hRule="atLeast"/>
        </w:trPr>
        <w:tc>
          <w:tcPr>
            <w:tcW w:w="5942"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劳动就业和社会保障服务所</w:t>
            </w:r>
          </w:p>
        </w:tc>
        <w:tc>
          <w:tcPr>
            <w:tcW w:w="72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44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shd w:val="clear" w:color="auto" w:fill="FFFFFF" w:themeFill="background1"/>
          <w:tblLayout w:type="fixed"/>
          <w:tblCellMar>
            <w:top w:w="0" w:type="dxa"/>
            <w:left w:w="0" w:type="dxa"/>
            <w:bottom w:w="0" w:type="dxa"/>
            <w:right w:w="0" w:type="dxa"/>
          </w:tblCellMar>
        </w:tblPrEx>
        <w:trPr>
          <w:trHeight w:val="284" w:hRule="atLeast"/>
        </w:trPr>
        <w:tc>
          <w:tcPr>
            <w:tcW w:w="5942"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2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44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28" w:hRule="atLeast"/>
        </w:trPr>
        <w:tc>
          <w:tcPr>
            <w:tcW w:w="327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收     入</w:t>
            </w:r>
          </w:p>
        </w:tc>
        <w:tc>
          <w:tcPr>
            <w:tcW w:w="560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228" w:hRule="atLeast"/>
        </w:trPr>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项目</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决算数</w:t>
            </w:r>
          </w:p>
        </w:tc>
        <w:tc>
          <w:tcPr>
            <w:tcW w:w="267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功能分类科目</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410" w:hRule="atLeast"/>
        </w:trPr>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267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小计</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一般公共预算财政拨款</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政府性基金预算财政拨款</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国有资本经营预算财政拨款</w:t>
            </w:r>
          </w:p>
        </w:tc>
      </w:tr>
      <w:tr>
        <w:tblPrEx>
          <w:shd w:val="clear" w:color="auto" w:fill="FFFFFF" w:themeFill="background1"/>
          <w:tblLayout w:type="fixed"/>
          <w:tblCellMar>
            <w:top w:w="0" w:type="dxa"/>
            <w:left w:w="0" w:type="dxa"/>
            <w:bottom w:w="0" w:type="dxa"/>
            <w:right w:w="0" w:type="dxa"/>
          </w:tblCellMar>
        </w:tblPrEx>
        <w:trPr>
          <w:trHeight w:val="26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116.91</w:t>
            </w: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一、一般公共服务支出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5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二、外交支出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三、国有资本经营预算财政拨款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三、国防支出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1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四、公共安全支出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5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五、教育支出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0.57</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0.57</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六、科学技术支出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七、文化旅游体育与传媒支出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八、社会保障和就业支出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107.33</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107.33</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九、卫生健康支出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4.41</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4.41</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5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十、节能环保支出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75"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十一、城乡社区支出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十二、农林水支出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十三、交通运输支出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十四、资源勘探工业信息等支出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十五、商业服务业等支出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十六、金融支出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十七、援助其他地区支出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十八、自然资源海洋气象等支出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十九、住房保障支出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4.60</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4.60</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二十、粮油物资储备支出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二十一、国有资本经营预算支出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二十二、灾害防治及应急管理支出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二十三、其他支出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二十四、债务还本支出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二十五、债务付息支出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二十六、抗疫特别国债安排的支出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41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116.91</w:t>
            </w: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本年支出合计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116.91</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116.91</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9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年末财政拨款结转和结余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r>
      <w:tr>
        <w:tblPrEx>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95"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国有资本经营预算财政拨款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299"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116.91</w:t>
            </w: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116.91</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116.91</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887"/>
        <w:gridCol w:w="31"/>
        <w:gridCol w:w="3569"/>
        <w:gridCol w:w="1320"/>
        <w:gridCol w:w="143"/>
        <w:gridCol w:w="1463"/>
        <w:gridCol w:w="45"/>
        <w:gridCol w:w="1418"/>
      </w:tblGrid>
      <w:tr>
        <w:tblPrEx>
          <w:tblLayout w:type="fixed"/>
          <w:tblCellMar>
            <w:top w:w="0" w:type="dxa"/>
            <w:left w:w="0" w:type="dxa"/>
            <w:bottom w:w="0" w:type="dxa"/>
            <w:right w:w="0" w:type="dxa"/>
          </w:tblCellMar>
        </w:tblPrEx>
        <w:trPr>
          <w:trHeight w:val="510" w:hRule="atLeast"/>
        </w:trPr>
        <w:tc>
          <w:tcPr>
            <w:tcW w:w="8876"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shd w:val="clear" w:color="auto" w:fill="FFFFFF" w:themeFill="background1"/>
          <w:tblLayout w:type="fixed"/>
          <w:tblCellMar>
            <w:top w:w="0" w:type="dxa"/>
            <w:left w:w="0" w:type="dxa"/>
            <w:bottom w:w="0" w:type="dxa"/>
            <w:right w:w="0" w:type="dxa"/>
          </w:tblCellMar>
        </w:tblPrEx>
        <w:trPr>
          <w:trHeight w:val="255" w:hRule="atLeast"/>
        </w:trPr>
        <w:tc>
          <w:tcPr>
            <w:tcW w:w="5807" w:type="dxa"/>
            <w:gridSpan w:val="4"/>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劳动就业和社会保障服务所</w:t>
            </w:r>
          </w:p>
        </w:tc>
        <w:tc>
          <w:tcPr>
            <w:tcW w:w="1651"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418"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shd w:val="clear" w:color="auto" w:fill="FFFFFF" w:themeFill="background1"/>
          <w:tblLayout w:type="fixed"/>
          <w:tblCellMar>
            <w:top w:w="0" w:type="dxa"/>
            <w:left w:w="0" w:type="dxa"/>
            <w:bottom w:w="0" w:type="dxa"/>
            <w:right w:w="0" w:type="dxa"/>
          </w:tblCellMar>
        </w:tblPrEx>
        <w:trPr>
          <w:trHeight w:val="285" w:hRule="atLeast"/>
        </w:trPr>
        <w:tc>
          <w:tcPr>
            <w:tcW w:w="5807" w:type="dxa"/>
            <w:gridSpan w:val="4"/>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651"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418"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44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4389" w:type="dxa"/>
            <w:gridSpan w:val="5"/>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887"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0"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63"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6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463"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88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600"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88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600"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116.91</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116.91</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0.57</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0.57</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0.57</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0.57</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0.57</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0.57</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107.33</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107.33</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91.66</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91.66</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91.66</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91.66</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15.67</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15.67</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6.13</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6.13</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9.54</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9.54</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4.41</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4.41</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4.41</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4.41</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3.07</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3.07</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918"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4.60</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4.60</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0500" w:type="dxa"/>
        <w:jc w:val="center"/>
        <w:tblInd w:w="0" w:type="dxa"/>
        <w:shd w:val="clear" w:color="auto" w:fill="FFFFFF" w:themeFill="background1"/>
        <w:tblLayout w:type="fixed"/>
        <w:tblCellMar>
          <w:top w:w="0" w:type="dxa"/>
          <w:left w:w="0" w:type="dxa"/>
          <w:bottom w:w="0" w:type="dxa"/>
          <w:right w:w="0" w:type="dxa"/>
        </w:tblCellMar>
      </w:tblPr>
      <w:tblGrid>
        <w:gridCol w:w="799"/>
        <w:gridCol w:w="1965"/>
        <w:gridCol w:w="750"/>
        <w:gridCol w:w="765"/>
        <w:gridCol w:w="1995"/>
        <w:gridCol w:w="684"/>
        <w:gridCol w:w="1"/>
        <w:gridCol w:w="843"/>
        <w:gridCol w:w="2057"/>
        <w:gridCol w:w="641"/>
      </w:tblGrid>
      <w:tr>
        <w:tblPrEx>
          <w:tblLayout w:type="fixed"/>
          <w:tblCellMar>
            <w:top w:w="0" w:type="dxa"/>
            <w:left w:w="0" w:type="dxa"/>
            <w:bottom w:w="0" w:type="dxa"/>
            <w:right w:w="0" w:type="dxa"/>
          </w:tblCellMar>
        </w:tblPrEx>
        <w:trPr>
          <w:trHeight w:val="629" w:hRule="atLeast"/>
          <w:jc w:val="center"/>
        </w:trPr>
        <w:tc>
          <w:tcPr>
            <w:tcW w:w="10500"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424" w:hRule="atLeast"/>
          <w:jc w:val="center"/>
        </w:trPr>
        <w:tc>
          <w:tcPr>
            <w:tcW w:w="6274" w:type="dxa"/>
            <w:gridSpan w:val="5"/>
            <w:vMerge w:val="restart"/>
            <w:tcBorders>
              <w:top w:val="nil"/>
              <w:left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劳动就业和社会保障服务所</w:t>
            </w:r>
          </w:p>
        </w:tc>
        <w:tc>
          <w:tcPr>
            <w:tcW w:w="684"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84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98"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424" w:hRule="atLeast"/>
          <w:jc w:val="center"/>
        </w:trPr>
        <w:tc>
          <w:tcPr>
            <w:tcW w:w="6274" w:type="dxa"/>
            <w:gridSpan w:val="5"/>
            <w:vMerge w:val="continue"/>
            <w:tcBorders>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684"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84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98"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180" w:hRule="atLeast"/>
          <w:jc w:val="center"/>
        </w:trPr>
        <w:tc>
          <w:tcPr>
            <w:tcW w:w="351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6986" w:type="dxa"/>
            <w:gridSpan w:val="7"/>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510" w:hRule="atLeast"/>
          <w:jc w:val="center"/>
        </w:trPr>
        <w:tc>
          <w:tcPr>
            <w:tcW w:w="799"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6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75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765"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9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85"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43"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5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4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jc w:val="center"/>
        </w:trPr>
        <w:tc>
          <w:tcPr>
            <w:tcW w:w="799"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96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75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765"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99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685"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843"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205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64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22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100.39</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16.52</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21.49</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4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0.88</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52.44</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33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6.13</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3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9.54</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36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3.07</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0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0.83</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3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4.60</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18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0.61</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4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1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0.57</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3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18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3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16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1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10.40</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5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3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42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42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1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3.41</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4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9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18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24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317" w:hRule="atLeast"/>
          <w:jc w:val="center"/>
        </w:trPr>
        <w:tc>
          <w:tcPr>
            <w:tcW w:w="2764"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7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100.39</w:t>
            </w:r>
            <w:r>
              <w:rPr>
                <w:color w:val="000000"/>
                <w:sz w:val="18"/>
              </w:rPr>
              <w:t xml:space="preserve"> </w:t>
            </w:r>
          </w:p>
        </w:tc>
        <w:tc>
          <w:tcPr>
            <w:tcW w:w="6345"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16.52</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1070"/>
        <w:gridCol w:w="1782"/>
        <w:gridCol w:w="986"/>
        <w:gridCol w:w="985"/>
        <w:gridCol w:w="985"/>
        <w:gridCol w:w="986"/>
        <w:gridCol w:w="1022"/>
        <w:gridCol w:w="1060"/>
      </w:tblGrid>
      <w:tr>
        <w:tblPrEx>
          <w:shd w:val="clear" w:color="auto" w:fill="FFFFFF" w:themeFill="background1"/>
          <w:tblLayout w:type="fixed"/>
          <w:tblCellMar>
            <w:top w:w="0" w:type="dxa"/>
            <w:left w:w="0" w:type="dxa"/>
            <w:bottom w:w="0" w:type="dxa"/>
            <w:right w:w="0" w:type="dxa"/>
          </w:tblCellMar>
        </w:tblPrEx>
        <w:trPr>
          <w:trHeight w:val="644" w:hRule="atLeast"/>
        </w:trPr>
        <w:tc>
          <w:tcPr>
            <w:tcW w:w="8876"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5808" w:type="dxa"/>
            <w:gridSpan w:val="5"/>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劳动就业和社会保障服务所</w:t>
            </w:r>
          </w:p>
        </w:tc>
        <w:tc>
          <w:tcPr>
            <w:tcW w:w="98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2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60"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5808" w:type="dxa"/>
            <w:gridSpan w:val="5"/>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8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2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60"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339"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86"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2993" w:type="dxa"/>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shd w:val="clear" w:color="auto" w:fill="FFFFFF" w:themeFill="background1"/>
          <w:tblLayout w:type="fixed"/>
          <w:tblCellMar>
            <w:top w:w="0" w:type="dxa"/>
            <w:left w:w="0" w:type="dxa"/>
            <w:bottom w:w="0" w:type="dxa"/>
            <w:right w:w="0" w:type="dxa"/>
          </w:tblCellMar>
        </w:tblPrEx>
        <w:trPr>
          <w:trHeight w:val="335" w:hRule="atLeast"/>
        </w:trPr>
        <w:tc>
          <w:tcPr>
            <w:tcW w:w="10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78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8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8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22"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2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2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852" w:type="dxa"/>
            <w:gridSpan w:val="2"/>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1086"/>
        <w:gridCol w:w="1766"/>
        <w:gridCol w:w="2007"/>
        <w:gridCol w:w="2005"/>
        <w:gridCol w:w="45"/>
        <w:gridCol w:w="1967"/>
      </w:tblGrid>
      <w:tr>
        <w:tblPrEx>
          <w:tblLayout w:type="fixed"/>
          <w:tblCellMar>
            <w:top w:w="0" w:type="dxa"/>
            <w:left w:w="0" w:type="dxa"/>
            <w:bottom w:w="0" w:type="dxa"/>
            <w:right w:w="0" w:type="dxa"/>
          </w:tblCellMar>
        </w:tblPrEx>
        <w:trPr>
          <w:trHeight w:val="650" w:hRule="atLeast"/>
        </w:trPr>
        <w:tc>
          <w:tcPr>
            <w:tcW w:w="8876" w:type="dxa"/>
            <w:gridSpan w:val="6"/>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shd w:val="clear" w:color="auto" w:fill="FFFFFF" w:themeFill="background1"/>
          <w:tblLayout w:type="fixed"/>
          <w:tblCellMar>
            <w:top w:w="0" w:type="dxa"/>
            <w:left w:w="0" w:type="dxa"/>
            <w:bottom w:w="0" w:type="dxa"/>
            <w:right w:w="0" w:type="dxa"/>
          </w:tblCellMar>
        </w:tblPrEx>
        <w:trPr>
          <w:trHeight w:val="332" w:hRule="atLeast"/>
        </w:trPr>
        <w:tc>
          <w:tcPr>
            <w:tcW w:w="6909" w:type="dxa"/>
            <w:gridSpan w:val="5"/>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劳动就业和社会保障服务所</w:t>
            </w:r>
          </w:p>
        </w:tc>
        <w:tc>
          <w:tcPr>
            <w:tcW w:w="1967"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shd w:val="clear" w:color="auto" w:fill="FFFFFF" w:themeFill="background1"/>
          <w:tblLayout w:type="fixed"/>
          <w:tblCellMar>
            <w:top w:w="0" w:type="dxa"/>
            <w:left w:w="0" w:type="dxa"/>
            <w:bottom w:w="0" w:type="dxa"/>
            <w:right w:w="0" w:type="dxa"/>
          </w:tblCellMar>
        </w:tblPrEx>
        <w:trPr>
          <w:trHeight w:val="332" w:hRule="atLeast"/>
        </w:trPr>
        <w:tc>
          <w:tcPr>
            <w:tcW w:w="6909" w:type="dxa"/>
            <w:gridSpan w:val="5"/>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967"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shd w:val="clear" w:color="auto" w:fill="FFFFFF" w:themeFill="background1"/>
          <w:tblLayout w:type="fixed"/>
          <w:tblCellMar>
            <w:top w:w="0" w:type="dxa"/>
            <w:left w:w="0" w:type="dxa"/>
            <w:bottom w:w="0" w:type="dxa"/>
            <w:right w:w="0" w:type="dxa"/>
          </w:tblCellMar>
        </w:tblPrEx>
        <w:trPr>
          <w:trHeight w:val="339" w:hRule="atLeast"/>
        </w:trPr>
        <w:tc>
          <w:tcPr>
            <w:tcW w:w="1086"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76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2007"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00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012"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08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12"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9" w:hRule="atLeast"/>
        </w:trPr>
        <w:tc>
          <w:tcPr>
            <w:tcW w:w="108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12"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08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12"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0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2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default" w:cs="宋体"/>
                <w:b/>
                <w:color w:val="000000"/>
                <w:sz w:val="20"/>
                <w:szCs w:val="20"/>
              </w:rPr>
            </w:pPr>
          </w:p>
        </w:tc>
        <w:tc>
          <w:tcPr>
            <w:tcW w:w="201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3542"/>
        <w:gridCol w:w="690"/>
        <w:gridCol w:w="735"/>
        <w:gridCol w:w="3225"/>
        <w:gridCol w:w="684"/>
      </w:tblGrid>
      <w:tr>
        <w:tblPrEx>
          <w:shd w:val="clear" w:color="auto" w:fill="FFFFFF" w:themeFill="background1"/>
          <w:tblLayout w:type="fixed"/>
          <w:tblCellMar>
            <w:top w:w="0" w:type="dxa"/>
            <w:left w:w="0" w:type="dxa"/>
            <w:bottom w:w="0" w:type="dxa"/>
            <w:right w:w="0" w:type="dxa"/>
          </w:tblCellMar>
        </w:tblPrEx>
        <w:trPr>
          <w:trHeight w:val="175" w:hRule="atLeast"/>
        </w:trPr>
        <w:tc>
          <w:tcPr>
            <w:tcW w:w="8876"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shd w:val="clear" w:color="auto" w:fill="FFFFFF" w:themeFill="background1"/>
          <w:tblLayout w:type="fixed"/>
          <w:tblCellMar>
            <w:top w:w="0" w:type="dxa"/>
            <w:left w:w="0" w:type="dxa"/>
            <w:bottom w:w="0" w:type="dxa"/>
            <w:right w:w="0" w:type="dxa"/>
          </w:tblCellMar>
        </w:tblPrEx>
        <w:trPr>
          <w:trHeight w:val="175" w:hRule="atLeast"/>
        </w:trPr>
        <w:tc>
          <w:tcPr>
            <w:tcW w:w="3542"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rPr>
                <w:rFonts w:hint="default" w:cs="宋体"/>
                <w:color w:val="000000"/>
                <w:sz w:val="20"/>
                <w:szCs w:val="20"/>
              </w:rPr>
            </w:pPr>
          </w:p>
        </w:tc>
        <w:tc>
          <w:tcPr>
            <w:tcW w:w="69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center"/>
              <w:rPr>
                <w:rFonts w:hint="default" w:cs="宋体"/>
                <w:color w:val="000000"/>
                <w:sz w:val="20"/>
                <w:szCs w:val="20"/>
              </w:rPr>
            </w:pPr>
          </w:p>
        </w:tc>
        <w:tc>
          <w:tcPr>
            <w:tcW w:w="73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rPr>
                <w:rFonts w:hint="default" w:cs="宋体"/>
                <w:color w:val="000000"/>
                <w:sz w:val="20"/>
                <w:szCs w:val="20"/>
              </w:rPr>
            </w:pPr>
          </w:p>
        </w:tc>
        <w:tc>
          <w:tcPr>
            <w:tcW w:w="390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shd w:val="clear" w:color="auto" w:fill="FFFFFF" w:themeFill="background1"/>
          <w:tblLayout w:type="fixed"/>
          <w:tblCellMar>
            <w:top w:w="0" w:type="dxa"/>
            <w:left w:w="0" w:type="dxa"/>
            <w:bottom w:w="0" w:type="dxa"/>
            <w:right w:w="0" w:type="dxa"/>
          </w:tblCellMar>
        </w:tblPrEx>
        <w:trPr>
          <w:trHeight w:val="175" w:hRule="atLeast"/>
        </w:trPr>
        <w:tc>
          <w:tcPr>
            <w:tcW w:w="8876" w:type="dxa"/>
            <w:gridSpan w:val="5"/>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jc w:val="both"/>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 xml:space="preserve">劳动就业和社会保障服务所                        </w:t>
            </w: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18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69"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0.57</w:t>
            </w: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rPr>
                <w:rFonts w:hint="default" w:cs="宋体"/>
                <w:color w:val="000000"/>
                <w:sz w:val="20"/>
                <w:szCs w:val="20"/>
              </w:rPr>
            </w:pPr>
          </w:p>
        </w:tc>
      </w:tr>
    </w:tbl>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0" w:firstLineChars="0"/>
        <w:jc w:val="both"/>
        <w:textAlignment w:val="auto"/>
        <w:rPr>
          <w:rFonts w:hint="eastAsia" w:ascii="方正仿宋_GBK" w:hAnsi="方正仿宋_GBK" w:eastAsia="方正仿宋_GBK" w:cs="方正仿宋_GBK"/>
          <w:b w:val="0"/>
          <w:bCs w:val="0"/>
          <w:color w:val="auto"/>
          <w:sz w:val="32"/>
          <w:szCs w:val="32"/>
          <w:lang w:val="en-US" w:eastAsia="zh-CN"/>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3" w:type="default"/>
      <w:footerReference r:id="rId4" w:type="default"/>
      <w:pgSz w:w="11907" w:h="16839"/>
      <w:pgMar w:top="2098" w:right="1474" w:bottom="1984"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12B237"/>
    <w:multiLevelType w:val="singleLevel"/>
    <w:tmpl w:val="BA12B2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590047"/>
    <w:rsid w:val="0C7927C4"/>
    <w:rsid w:val="0C9B098C"/>
    <w:rsid w:val="0D4102B0"/>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311130"/>
    <w:rsid w:val="1DA52501"/>
    <w:rsid w:val="1DBD6767"/>
    <w:rsid w:val="1DC52125"/>
    <w:rsid w:val="1DD26311"/>
    <w:rsid w:val="1E374ACB"/>
    <w:rsid w:val="1ECF0A66"/>
    <w:rsid w:val="1EF67CA4"/>
    <w:rsid w:val="1F020D3A"/>
    <w:rsid w:val="1F2C5189"/>
    <w:rsid w:val="1F4B0B02"/>
    <w:rsid w:val="1FA71A09"/>
    <w:rsid w:val="1FBB35CD"/>
    <w:rsid w:val="1FCD26AF"/>
    <w:rsid w:val="20642787"/>
    <w:rsid w:val="20D23D6F"/>
    <w:rsid w:val="21556F04"/>
    <w:rsid w:val="22403BD3"/>
    <w:rsid w:val="22663F44"/>
    <w:rsid w:val="24B92327"/>
    <w:rsid w:val="24C14514"/>
    <w:rsid w:val="2533755C"/>
    <w:rsid w:val="25791755"/>
    <w:rsid w:val="26396DF4"/>
    <w:rsid w:val="27167136"/>
    <w:rsid w:val="271B442C"/>
    <w:rsid w:val="27B23302"/>
    <w:rsid w:val="29310A5F"/>
    <w:rsid w:val="29C37A35"/>
    <w:rsid w:val="2A076083"/>
    <w:rsid w:val="2A73162E"/>
    <w:rsid w:val="2AE665BC"/>
    <w:rsid w:val="2B167953"/>
    <w:rsid w:val="2B200583"/>
    <w:rsid w:val="2B8209DE"/>
    <w:rsid w:val="2C636760"/>
    <w:rsid w:val="2C6762A3"/>
    <w:rsid w:val="2D225444"/>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0F070A"/>
    <w:rsid w:val="37841E99"/>
    <w:rsid w:val="37BF1123"/>
    <w:rsid w:val="383C3F15"/>
    <w:rsid w:val="38551C89"/>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A43CE5"/>
    <w:rsid w:val="42E86A87"/>
    <w:rsid w:val="43294B0C"/>
    <w:rsid w:val="43307B09"/>
    <w:rsid w:val="439A3EB9"/>
    <w:rsid w:val="43BB152F"/>
    <w:rsid w:val="44C37687"/>
    <w:rsid w:val="450A20B8"/>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6976CB"/>
    <w:rsid w:val="518153AB"/>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076A88"/>
    <w:rsid w:val="5A3B59D6"/>
    <w:rsid w:val="5AD134D8"/>
    <w:rsid w:val="5C263CE4"/>
    <w:rsid w:val="5C5D2777"/>
    <w:rsid w:val="5CF66BF3"/>
    <w:rsid w:val="5D290C69"/>
    <w:rsid w:val="5F2D4A41"/>
    <w:rsid w:val="60C74F6C"/>
    <w:rsid w:val="61025A59"/>
    <w:rsid w:val="611151CA"/>
    <w:rsid w:val="613D5BBC"/>
    <w:rsid w:val="61536C39"/>
    <w:rsid w:val="626D72FB"/>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A97C35"/>
    <w:rsid w:val="6C0A5AC5"/>
    <w:rsid w:val="6C560CAE"/>
    <w:rsid w:val="6C576495"/>
    <w:rsid w:val="6D757EE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2024-09-12T01:04:24Z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BB46EABDBB2749749395447164B066B3_12</vt:lpwstr>
  </property>
</Properties>
</file>