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重庆市荣昌区峰高街道社区文化服务中心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组织群众文化活动，繁荣群众文化事业。承担辖区内文化体育阵地建设，组织开展文化体育、文化交流、全民健身活动，组织辖区内文艺培训，负责广播电视、旅游等事务性服务工作，完成文化体育事业方面的其他服务工作。</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本单位为重庆市荣昌区人民政府峰高街道办事处下属二级预算单位，无内设机构，</w:t>
      </w:r>
      <w:bookmarkStart w:id="0" w:name="_GoBack"/>
      <w:bookmarkEnd w:id="0"/>
      <w:r>
        <w:rPr>
          <w:rFonts w:hint="eastAsia" w:ascii="方正仿宋_GBK" w:hAnsi="方正仿宋_GBK" w:eastAsia="方正仿宋_GBK" w:cs="方正仿宋_GBK"/>
          <w:color w:val="auto"/>
          <w:sz w:val="32"/>
          <w:szCs w:val="32"/>
          <w:lang w:val="en-US" w:eastAsia="zh-CN"/>
        </w:rPr>
        <w:t>2023年末实有在职人员4人。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2023年度收入总计94.67万元，支出总计</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万元。收支较上年决算数增加29.72万元，增长45.76%，主要原因是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2023年度收入合计94.67万元，较上年决算数增加29.72万元，增长45.76%，主要原因是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万元，较上年决算数增加29.72万元，增长45.76%，主要原因是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2023年度财政拨款收、支总计94.67万元。与2022年相比，财政拨款收、支总计各增加29.72万元，增长45.76%。主要原因是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万元，较上年决算数增加29.72万元，增长45.76%。主要原因是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。较年初预算数增加0.60万元，增长0.64%。主要原因是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万元，较上年决算数增加29.72万元，增长45.76%。主要原因是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。较年初预算数增加0.60万元，增长0.64%。主要原因是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（1）教育支出</w:t>
      </w:r>
      <w:r>
        <w:rPr>
          <w:rFonts w:hint="eastAsia" w:ascii="方正仿宋_GBK" w:hAnsi="方正仿宋_GBK" w:eastAsia="方正仿宋_GBK" w:cs="方正仿宋_GBK"/>
          <w:b w:val="0"/>
          <w:bCs w:val="0"/>
          <w:color w:val="auto"/>
          <w:sz w:val="32"/>
          <w:szCs w:val="32"/>
        </w:rPr>
        <w:t>0.46</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0.49</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（2）文化旅游体育与传媒支出</w:t>
      </w:r>
      <w:r>
        <w:rPr>
          <w:rFonts w:hint="eastAsia" w:ascii="方正仿宋_GBK" w:hAnsi="方正仿宋_GBK" w:eastAsia="方正仿宋_GBK" w:cs="方正仿宋_GBK"/>
          <w:b w:val="0"/>
          <w:bCs w:val="0"/>
          <w:color w:val="auto"/>
          <w:sz w:val="32"/>
          <w:szCs w:val="32"/>
        </w:rPr>
        <w:t>69.14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73.03</w:t>
      </w:r>
      <w:r>
        <w:rPr>
          <w:rFonts w:hint="eastAsia" w:ascii="方正仿宋_GBK" w:hAnsi="方正仿宋_GBK" w:eastAsia="方正仿宋_GBK" w:cs="方正仿宋_GBK"/>
          <w:b w:val="0"/>
          <w:bCs w:val="0"/>
          <w:color w:val="auto"/>
          <w:sz w:val="32"/>
          <w:szCs w:val="32"/>
          <w:shd w:val="clear" w:color="auto" w:fill="FFFFFF"/>
        </w:rPr>
        <w:t>%，较年初预算数增加1.22万元，增长1.80%，主要原因是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（3）社会保障与就业支出</w:t>
      </w:r>
      <w:r>
        <w:rPr>
          <w:rFonts w:hint="eastAsia" w:ascii="方正仿宋_GBK" w:hAnsi="方正仿宋_GBK" w:eastAsia="方正仿宋_GBK" w:cs="方正仿宋_GBK"/>
          <w:b w:val="0"/>
          <w:bCs w:val="0"/>
          <w:color w:val="auto"/>
          <w:sz w:val="32"/>
          <w:szCs w:val="32"/>
        </w:rPr>
        <w:t>17.86</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18.86</w:t>
      </w:r>
      <w:r>
        <w:rPr>
          <w:rFonts w:hint="eastAsia" w:ascii="方正仿宋_GBK" w:hAnsi="方正仿宋_GBK" w:eastAsia="方正仿宋_GBK" w:cs="方正仿宋_GBK"/>
          <w:b w:val="0"/>
          <w:bCs w:val="0"/>
          <w:color w:val="auto"/>
          <w:sz w:val="32"/>
          <w:szCs w:val="32"/>
          <w:shd w:val="clear" w:color="auto" w:fill="FFFFFF"/>
        </w:rPr>
        <w:t>%，较年初预算数减少0.43万元，下降2.35%，主要原因是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职业年金缴费和退休公用经费支出减少。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（4）卫生健康支出</w:t>
      </w:r>
      <w:r>
        <w:rPr>
          <w:rFonts w:hint="eastAsia" w:ascii="方正仿宋_GBK" w:hAnsi="方正仿宋_GBK" w:eastAsia="方正仿宋_GBK" w:cs="方正仿宋_GBK"/>
          <w:b w:val="0"/>
          <w:bCs w:val="0"/>
          <w:color w:val="auto"/>
          <w:sz w:val="32"/>
          <w:szCs w:val="32"/>
        </w:rPr>
        <w:t>3.53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3.73</w:t>
      </w:r>
      <w:r>
        <w:rPr>
          <w:rFonts w:hint="eastAsia" w:ascii="方正仿宋_GBK" w:hAnsi="方正仿宋_GBK" w:eastAsia="方正仿宋_GBK" w:cs="方正仿宋_GBK"/>
          <w:b w:val="0"/>
          <w:bCs w:val="0"/>
          <w:color w:val="auto"/>
          <w:sz w:val="32"/>
          <w:szCs w:val="32"/>
          <w:shd w:val="clear" w:color="auto" w:fill="FFFFFF"/>
        </w:rPr>
        <w:t>%，较年初预算数减少0.18万元，下降4.85%，主要原因是</w:t>
      </w:r>
      <w:r>
        <w:rPr>
          <w:rFonts w:hint="eastAsia" w:ascii="方正仿宋_GBK" w:hAnsi="方正仿宋_GBK" w:eastAsia="方正仿宋_GBK" w:cs="方正仿宋_GBK"/>
          <w:b w:val="0"/>
          <w:bCs w:val="0"/>
          <w:color w:val="auto"/>
          <w:sz w:val="32"/>
          <w:szCs w:val="32"/>
          <w:shd w:val="clear" w:color="auto" w:fill="FFFFFF"/>
          <w:lang w:val="en-US" w:eastAsia="zh-CN"/>
        </w:rPr>
        <w:t>在职大额医疗和生育保险缴费减少。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（5）</w:t>
      </w:r>
      <w:r>
        <w:rPr>
          <w:rFonts w:hint="eastAsia" w:ascii="方正仿宋_GBK" w:hAnsi="方正仿宋_GBK" w:eastAsia="方正仿宋_GBK" w:cs="方正仿宋_GBK"/>
          <w:b w:val="0"/>
          <w:bCs w:val="0"/>
          <w:color w:val="auto"/>
          <w:sz w:val="32"/>
          <w:szCs w:val="32"/>
        </w:rPr>
        <w:t>住房保障支出3.69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3.89</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94.67</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80.63</w:t>
      </w:r>
      <w:r>
        <w:rPr>
          <w:rFonts w:hint="eastAsia" w:ascii="方正仿宋_GBK" w:hAnsi="方正仿宋_GBK" w:eastAsia="方正仿宋_GBK" w:cs="方正仿宋_GBK"/>
          <w:b w:val="0"/>
          <w:bCs w:val="0"/>
          <w:color w:val="auto"/>
          <w:sz w:val="32"/>
          <w:szCs w:val="32"/>
          <w:shd w:val="clear" w:color="auto" w:fill="FFFFFF"/>
        </w:rPr>
        <w:t>万元，较上年决算数增加25.60万元，增长46.52%，主要原因是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rPr>
        <w:t>基本工资、津贴补贴、绩效工资、社会保障缴费、住房公积金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对个人和家庭的补助</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14.04</w:t>
      </w:r>
      <w:r>
        <w:rPr>
          <w:rFonts w:hint="eastAsia" w:ascii="方正仿宋_GBK" w:hAnsi="方正仿宋_GBK" w:eastAsia="方正仿宋_GBK" w:cs="方正仿宋_GBK"/>
          <w:b w:val="0"/>
          <w:bCs w:val="0"/>
          <w:color w:val="auto"/>
          <w:sz w:val="32"/>
          <w:szCs w:val="32"/>
          <w:shd w:val="clear" w:color="auto" w:fill="FFFFFF"/>
        </w:rPr>
        <w:t>万元，较上年决算数增加4.12万元，增长41.53%，主要原因是</w:t>
      </w:r>
      <w:r>
        <w:rPr>
          <w:rFonts w:hint="eastAsia" w:ascii="方正仿宋_GBK" w:hAnsi="方正仿宋_GBK" w:eastAsia="方正仿宋_GBK" w:cs="方正仿宋_GBK"/>
          <w:b w:val="0"/>
          <w:bCs w:val="0"/>
          <w:color w:val="auto"/>
          <w:sz w:val="32"/>
          <w:szCs w:val="32"/>
          <w:shd w:val="clear" w:color="auto" w:fill="FFFFFF"/>
          <w:lang w:val="en-US" w:eastAsia="zh-CN"/>
        </w:rPr>
        <w:t>办公费、培训费、工会经费和其他商品和服务支出增加</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rPr>
        <w:t>办公费、水电费、培训费、工会经费、其他商品和服务支出。</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（六）国有资本经营预算财政拨款支出决算情况说明</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未发生“三公”经费支出。</w:t>
      </w:r>
      <w:r>
        <w:rPr>
          <w:rFonts w:hint="eastAsia" w:ascii="方正仿宋_GBK" w:hAnsi="方正仿宋_GBK" w:eastAsia="方正仿宋_GBK" w:cs="方正仿宋_GBK"/>
          <w:b w:val="0"/>
          <w:bCs w:val="0"/>
          <w:color w:val="auto"/>
          <w:sz w:val="32"/>
          <w:szCs w:val="32"/>
          <w:shd w:val="clear" w:color="auto" w:fill="FFFFFF"/>
        </w:rPr>
        <w:t>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未发生公务车运行维护费支出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公务接待费0.00万元，</w:t>
      </w:r>
      <w:r>
        <w:rPr>
          <w:rFonts w:hint="eastAsia" w:ascii="方正仿宋_GBK" w:hAnsi="方正仿宋_GBK" w:eastAsia="方正仿宋_GBK" w:cs="方正仿宋_GBK"/>
          <w:color w:val="auto"/>
          <w:sz w:val="32"/>
          <w:szCs w:val="32"/>
          <w:lang w:val="en-US" w:eastAsia="zh-CN"/>
        </w:rPr>
        <w:t>未发生公务接待费支出</w:t>
      </w:r>
      <w:r>
        <w:rPr>
          <w:rFonts w:hint="eastAsia" w:ascii="方正仿宋_GBK" w:hAnsi="方正仿宋_GBK" w:eastAsia="方正仿宋_GBK" w:cs="方正仿宋_GBK"/>
          <w:color w:val="auto"/>
          <w:sz w:val="32"/>
          <w:szCs w:val="32"/>
        </w:rPr>
        <w:t>。费用支出较年初预算数无增减。较上年支出数无增减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本年度会议费支出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0.46</w:t>
      </w:r>
      <w:r>
        <w:rPr>
          <w:rFonts w:hint="eastAsia" w:ascii="方正仿宋_GBK" w:hAnsi="方正仿宋_GBK" w:eastAsia="方正仿宋_GBK" w:cs="方正仿宋_GBK"/>
          <w:b w:val="0"/>
          <w:bCs w:val="0"/>
          <w:color w:val="auto"/>
          <w:sz w:val="32"/>
          <w:szCs w:val="32"/>
          <w:shd w:val="clear" w:color="auto" w:fill="FFFFFF"/>
        </w:rPr>
        <w:t>万元，较上年决算数增加0.46万元，增长100.00%，主要原因是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新增预算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（一）单位自评情况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（二）单位绩效评价情况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（三）财政绩效评价情况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（二）事业收入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张莲，023-46212076</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附件：重庆市荣昌区峰高街道社区文化服务中心2023年度部门决算公开报表</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w:t>
            </w:r>
            <w:r>
              <w:rPr>
                <w:rFonts w:hint="eastAsia"/>
                <w:sz w:val="20"/>
                <w:lang w:val="en-US" w:eastAsia="zh-CN"/>
              </w:rPr>
              <w:t>社区文化服务中心</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94.67</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69.14</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94.67</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94.67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94.67</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94.67</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92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w:t>
            </w:r>
            <w:r>
              <w:rPr>
                <w:rFonts w:hint="eastAsia"/>
                <w:sz w:val="20"/>
                <w:lang w:val="en-US" w:eastAsia="zh-CN"/>
              </w:rPr>
              <w:t>社区文化服务中心</w:t>
            </w: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92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6"/>
        <w:gridCol w:w="3354"/>
        <w:gridCol w:w="825"/>
        <w:gridCol w:w="915"/>
        <w:gridCol w:w="555"/>
        <w:gridCol w:w="727"/>
        <w:gridCol w:w="518"/>
        <w:gridCol w:w="1119"/>
      </w:tblGrid>
      <w:tr>
        <w:tblPrEx>
          <w:shd w:val="clear" w:color="auto" w:fill="FFFFFF" w:themeFill="background1"/>
          <w:tblLayout w:type="fixed"/>
          <w:tblCellMar>
            <w:top w:w="0" w:type="dxa"/>
            <w:left w:w="0" w:type="dxa"/>
            <w:bottom w:w="0" w:type="dxa"/>
            <w:right w:w="0" w:type="dxa"/>
          </w:tblCellMar>
        </w:tblPrEx>
        <w:trPr>
          <w:trHeight w:val="654" w:hRule="atLeast"/>
        </w:trPr>
        <w:tc>
          <w:tcPr>
            <w:tcW w:w="8876"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r>
              <w:rPr>
                <w:color w:val="000000"/>
                <w:sz w:val="20"/>
              </w:rPr>
              <w:t xml:space="preserve"> </w:t>
            </w: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042"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gridSpan w:val="2"/>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69.14</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94.67</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1"/>
        <w:gridCol w:w="3569"/>
        <w:gridCol w:w="1320"/>
        <w:gridCol w:w="143"/>
        <w:gridCol w:w="1463"/>
        <w:gridCol w:w="45"/>
        <w:gridCol w:w="1418"/>
      </w:tblGrid>
      <w:tr>
        <w:tblPrEx>
          <w:shd w:val="clear" w:color="auto" w:fill="FFFFFF" w:themeFill="background1"/>
          <w:tblLayout w:type="fixed"/>
          <w:tblCellMar>
            <w:top w:w="0" w:type="dxa"/>
            <w:left w:w="0" w:type="dxa"/>
            <w:bottom w:w="0" w:type="dxa"/>
            <w:right w:w="0" w:type="dxa"/>
          </w:tblCellMar>
        </w:tblPrEx>
        <w:trPr>
          <w:trHeight w:val="510"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807"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5807"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94.67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69.14</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69.14</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shd w:val="clear" w:color="auto" w:fill="FFFFFF" w:themeFill="background1"/>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FFFFFF" w:themeFill="background1"/>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32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80.63</w:t>
            </w:r>
            <w:r>
              <w:rPr>
                <w:color w:val="000000"/>
                <w:sz w:val="18"/>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1891"/>
        <w:gridCol w:w="116"/>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sz w:val="20"/>
              </w:rPr>
              <w:t>重庆市荣昌区峰高街道</w:t>
            </w:r>
            <w:r>
              <w:rPr>
                <w:rFonts w:hint="eastAsia"/>
                <w:sz w:val="20"/>
                <w:lang w:val="en-US" w:eastAsia="zh-CN"/>
              </w:rPr>
              <w:t>社区文化服务中心</w:t>
            </w: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社区文化服务中心</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0.46</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51431F"/>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4E545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46A22"/>
    <w:rsid w:val="1FBB35CD"/>
    <w:rsid w:val="1FCD26AF"/>
    <w:rsid w:val="201A7862"/>
    <w:rsid w:val="20642787"/>
    <w:rsid w:val="21556F04"/>
    <w:rsid w:val="22403BD3"/>
    <w:rsid w:val="24B92327"/>
    <w:rsid w:val="24C14514"/>
    <w:rsid w:val="2533755C"/>
    <w:rsid w:val="25791755"/>
    <w:rsid w:val="25C91CD9"/>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DD7DC0"/>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B245B"/>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3E6FC4"/>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6455A1"/>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8D3825"/>
    <w:rsid w:val="63C25DC5"/>
    <w:rsid w:val="63C62057"/>
    <w:rsid w:val="64571EF5"/>
    <w:rsid w:val="64FB113D"/>
    <w:rsid w:val="656152C6"/>
    <w:rsid w:val="6587477F"/>
    <w:rsid w:val="658C3A08"/>
    <w:rsid w:val="65C031CA"/>
    <w:rsid w:val="65CE6852"/>
    <w:rsid w:val="66267C04"/>
    <w:rsid w:val="663F505A"/>
    <w:rsid w:val="66EE5541"/>
    <w:rsid w:val="67924660"/>
    <w:rsid w:val="67DE195C"/>
    <w:rsid w:val="6823738D"/>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CE486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