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重庆市荣昌区昌元街道农业服务中心</w:t>
      </w:r>
    </w:p>
    <w:p>
      <w:pPr>
        <w:pStyle w:val="9"/>
        <w:keepNext w:val="0"/>
        <w:keepLines w:val="0"/>
        <w:pageBreakBefore w:val="0"/>
        <w:widowControl/>
        <w:kinsoku/>
        <w:wordWrap/>
        <w:overflowPunct/>
        <w:topLinePunct w:val="0"/>
        <w:autoSpaceDN/>
        <w:bidi w:val="0"/>
        <w:adjustRightIn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bidi w:val="0"/>
        <w:rPr>
          <w:rFonts w:hint="eastAsia"/>
        </w:rPr>
      </w:pPr>
      <w:r>
        <w:rPr>
          <w:rFonts w:hint="eastAsia"/>
        </w:rPr>
        <w:t>一、单位基本情况</w:t>
      </w:r>
    </w:p>
    <w:p>
      <w:pPr>
        <w:pStyle w:val="3"/>
        <w:bidi w:val="0"/>
        <w:rPr>
          <w:rFonts w:hint="default"/>
        </w:rPr>
      </w:pPr>
      <w: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农业服务中心作为重庆市荣昌区人民政府昌元街道办事处二级预算单位进行预算编制。主要负责农技、农机、林业、水利水保、水产等方面的重大技术推广、信息服务、资源环境保护、灾害防治、土地规模经营管理、农产品质量安全监管公共服务等工作。负责辖区内的水资源管理、防汛抗旱、农田水利建设和水利科技推广、水文监测、洪旱预警预报等工作；承担农村水利工程建设、管理与运行维护的技术指导；指导农民用水合作组织建设，协调农村涉水事务；实施动物疫病的防疫、强制免疫，协助做好动物、动物产品检疫、兽药、饲料等养殖业投入品及畜产品的技术服务等工作；负责动物疫情调查、监测、报告，畜牧生产指导，畜牧兽医技术推广和畜牧业生产信息统计等工作。</w:t>
      </w:r>
    </w:p>
    <w:p>
      <w:pPr>
        <w:pStyle w:val="3"/>
        <w:pageBreakBefore w:val="0"/>
        <w:widowControl/>
        <w:kinsoku/>
        <w:wordWrap/>
        <w:overflowPunct/>
        <w:topLinePunct w:val="0"/>
        <w:autoSpaceDN/>
        <w:bidi w:val="0"/>
        <w:adjustRightInd/>
        <w:spacing w:line="560" w:lineRule="exact"/>
        <w:textAlignment w:val="auto"/>
        <w:rPr>
          <w:rFonts w:hint="default"/>
          <w:color w:val="auto"/>
        </w:rPr>
      </w:pPr>
      <w:r>
        <w:rPr>
          <w:color w:val="auto"/>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2023年，昌元街道农业服务中心未设置内设机构。</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二、单位决算情况说明</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1.总体情况。</w:t>
      </w:r>
      <w:r>
        <w:rPr>
          <w:rFonts w:hint="eastAsia" w:ascii="方正仿宋_GBK" w:hAnsi="方正仿宋_GBK" w:eastAsia="方正仿宋_GBK" w:cs="方正仿宋_GBK"/>
          <w:color w:val="auto"/>
          <w:sz w:val="32"/>
          <w:szCs w:val="32"/>
          <w:shd w:val="clear" w:color="auto" w:fill="FFFFFF"/>
          <w:lang w:val="en-US" w:eastAsia="zh-CN"/>
        </w:rPr>
        <w:t>2023年度收入总计912.91万元，支出总计912.91万元。收支较上年决算数增加39.86万元，增长4.57%，主要原因是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3"/>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2023年度收入合计912.91万元，较上年决算数增加39.86万元，增长4.57%，主要原因是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3"/>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万元，较上年决算数增加39.86万元，增长4.57%，主要原因是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13"/>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区财政已于年底收回剩余指标，无结转结余。</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2023年度财政拨款收、支总计912.91万元。与2022年相比，财政拨款收、支总计各增加39.86万元，增长4.57%。主要原因是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3"/>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万元，较上年决算数增加39.86万元，增长4.57%。主要原因是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r>
        <w:rPr>
          <w:rFonts w:ascii="方正仿宋_GBK" w:hAnsi="方正仿宋_GBK" w:eastAsia="方正仿宋_GBK" w:cs="方正仿宋_GBK"/>
          <w:color w:val="auto"/>
          <w:sz w:val="32"/>
          <w:szCs w:val="32"/>
          <w:shd w:val="clear" w:color="auto" w:fill="FFFFFF"/>
        </w:rPr>
        <w:t>。较年初预算数减少10.22万元，下降1.11%。主要原因是</w:t>
      </w:r>
      <w:r>
        <w:rPr>
          <w:rFonts w:hint="eastAsia" w:ascii="方正仿宋_GBK" w:hAnsi="方正仿宋_GBK" w:eastAsia="方正仿宋_GBK" w:cs="方正仿宋_GBK"/>
          <w:color w:val="auto"/>
          <w:sz w:val="32"/>
          <w:szCs w:val="32"/>
          <w:shd w:val="clear" w:color="auto" w:fill="FFFFFF"/>
          <w:lang w:val="en-US" w:eastAsia="zh-CN"/>
        </w:rPr>
        <w:t>2023年厉行节约，各项日常支出减少，公用经费减少</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3"/>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万元，较上年决算数增加39.86万元，增长4.57%。主要原因是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r>
        <w:rPr>
          <w:rFonts w:ascii="方正仿宋_GBK" w:hAnsi="方正仿宋_GBK" w:eastAsia="方正仿宋_GBK" w:cs="方正仿宋_GBK"/>
          <w:color w:val="auto"/>
          <w:sz w:val="32"/>
          <w:szCs w:val="32"/>
          <w:shd w:val="clear" w:color="auto" w:fill="FFFFFF"/>
        </w:rPr>
        <w:t>。较年初预算数减少10.22万元，下降1.11%。主要原因是</w:t>
      </w:r>
      <w:r>
        <w:rPr>
          <w:rFonts w:hint="eastAsia" w:ascii="方正仿宋_GBK" w:hAnsi="方正仿宋_GBK" w:eastAsia="方正仿宋_GBK" w:cs="方正仿宋_GBK"/>
          <w:color w:val="auto"/>
          <w:sz w:val="32"/>
          <w:szCs w:val="32"/>
          <w:shd w:val="clear" w:color="auto" w:fill="FFFFFF"/>
          <w:lang w:val="en-US" w:eastAsia="zh-CN"/>
        </w:rPr>
        <w:t>2023年厉行节约，各项日常支出减少，公用经费减少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3"/>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区财政已于年底收回剩余指标，无结转结余。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3"/>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5.26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0.58</w:t>
      </w:r>
      <w:r>
        <w:rPr>
          <w:rFonts w:ascii="方正仿宋_GBK" w:hAnsi="方正仿宋_GBK" w:eastAsia="方正仿宋_GBK" w:cs="方正仿宋_GBK"/>
          <w:color w:val="auto"/>
          <w:sz w:val="32"/>
          <w:szCs w:val="32"/>
          <w:shd w:val="clear" w:color="auto" w:fill="FFFFFF"/>
        </w:rPr>
        <w:t>%，较年初预算数增加5.26万元，增长100.00%，主要原因是</w:t>
      </w:r>
      <w:r>
        <w:rPr>
          <w:rFonts w:hint="eastAsia" w:ascii="方正仿宋_GBK" w:hAnsi="方正仿宋_GBK" w:eastAsia="方正仿宋_GBK" w:cs="方正仿宋_GBK"/>
          <w:color w:val="auto"/>
          <w:sz w:val="32"/>
          <w:szCs w:val="32"/>
          <w:shd w:val="clear" w:color="auto" w:fill="FFFFFF"/>
          <w:lang w:eastAsia="zh-CN"/>
        </w:rPr>
        <w:t>年中预算调剂增加</w:t>
      </w:r>
      <w:r>
        <w:rPr>
          <w:rFonts w:hint="eastAsia" w:ascii="方正仿宋_GBK" w:hAnsi="方正仿宋_GBK" w:eastAsia="方正仿宋_GBK" w:cs="方正仿宋_GBK"/>
          <w:color w:val="auto"/>
          <w:sz w:val="32"/>
          <w:szCs w:val="32"/>
          <w:shd w:val="clear" w:color="auto" w:fill="FFFFFF"/>
        </w:rPr>
        <w:t>抚恤金丧葬费</w:t>
      </w:r>
      <w:r>
        <w:rPr>
          <w:rFonts w:hint="eastAsia" w:ascii="方正仿宋_GBK" w:hAnsi="方正仿宋_GBK" w:eastAsia="方正仿宋_GBK" w:cs="方正仿宋_GBK"/>
          <w:color w:val="auto"/>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189.08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20.71</w:t>
      </w:r>
      <w:r>
        <w:rPr>
          <w:rFonts w:ascii="方正仿宋_GBK" w:hAnsi="方正仿宋_GBK" w:eastAsia="方正仿宋_GBK" w:cs="方正仿宋_GBK"/>
          <w:color w:val="auto"/>
          <w:sz w:val="32"/>
          <w:szCs w:val="32"/>
          <w:shd w:val="clear" w:color="auto" w:fill="FFFFFF"/>
        </w:rPr>
        <w:t>%，较年初预算数减少0.16万元，下降0.08%，主要原因是</w:t>
      </w:r>
      <w:r>
        <w:rPr>
          <w:rFonts w:hint="eastAsia" w:ascii="方正仿宋_GBK" w:hAnsi="方正仿宋_GBK" w:eastAsia="方正仿宋_GBK" w:cs="方正仿宋_GBK"/>
          <w:color w:val="auto"/>
          <w:sz w:val="32"/>
          <w:szCs w:val="32"/>
          <w:shd w:val="clear" w:color="auto" w:fill="FFFFFF"/>
          <w:lang w:eastAsia="zh-CN"/>
        </w:rPr>
        <w:t>退休人员福利费支出减少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33.24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3.64</w:t>
      </w:r>
      <w:r>
        <w:rPr>
          <w:rFonts w:ascii="方正仿宋_GBK" w:hAnsi="方正仿宋_GBK" w:eastAsia="方正仿宋_GBK" w:cs="方正仿宋_GBK"/>
          <w:color w:val="auto"/>
          <w:sz w:val="32"/>
          <w:szCs w:val="32"/>
          <w:shd w:val="clear" w:color="auto" w:fill="FFFFFF"/>
        </w:rPr>
        <w:t>%，较年初预算数减少3.18万元，下降8.73%，主要原因是</w:t>
      </w:r>
      <w:r>
        <w:rPr>
          <w:rFonts w:hint="eastAsia" w:ascii="方正仿宋_GBK" w:hAnsi="方正仿宋_GBK" w:eastAsia="方正仿宋_GBK" w:cs="方正仿宋_GBK"/>
          <w:color w:val="auto"/>
          <w:sz w:val="32"/>
          <w:szCs w:val="32"/>
          <w:shd w:val="clear" w:color="auto" w:fill="FFFFFF"/>
          <w:lang w:eastAsia="zh-CN"/>
        </w:rPr>
        <w:t>在编人员减少，医保支出减少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652.55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71.48</w:t>
      </w:r>
      <w:r>
        <w:rPr>
          <w:rFonts w:ascii="方正仿宋_GBK" w:hAnsi="方正仿宋_GBK" w:eastAsia="方正仿宋_GBK" w:cs="方正仿宋_GBK"/>
          <w:color w:val="auto"/>
          <w:sz w:val="32"/>
          <w:szCs w:val="32"/>
          <w:shd w:val="clear" w:color="auto" w:fill="FFFFFF"/>
        </w:rPr>
        <w:t>%，较年初预算数减少7.76万元，下降1.18%，主要原因是</w:t>
      </w:r>
      <w:r>
        <w:rPr>
          <w:rFonts w:hint="eastAsia" w:ascii="方正仿宋_GBK" w:hAnsi="方正仿宋_GBK" w:eastAsia="方正仿宋_GBK" w:cs="方正仿宋_GBK"/>
          <w:color w:val="auto"/>
          <w:sz w:val="32"/>
          <w:szCs w:val="32"/>
          <w:shd w:val="clear" w:color="auto" w:fill="FFFFFF"/>
          <w:lang w:eastAsia="zh-CN"/>
        </w:rPr>
        <w:t>在编人员减少，导致人员工资、绩效支出减少、公用经费减少。</w:t>
      </w:r>
    </w:p>
    <w:p>
      <w:pPr>
        <w:keepNext w:val="0"/>
        <w:keepLines w:val="0"/>
        <w:pageBreakBefore w:val="0"/>
        <w:widowControl/>
        <w:kinsoku/>
        <w:wordWrap/>
        <w:overflowPunct/>
        <w:topLinePunct w:val="0"/>
        <w:autoSpaceDN/>
        <w:bidi w:val="0"/>
        <w:adjustRightInd/>
        <w:spacing w:beforeAutospacing="0"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住房保障支出32.78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3.59</w:t>
      </w:r>
      <w:r>
        <w:rPr>
          <w:rFonts w:ascii="方正仿宋_GBK" w:hAnsi="方正仿宋_GBK" w:eastAsia="方正仿宋_GBK" w:cs="方正仿宋_GBK"/>
          <w:color w:val="auto"/>
          <w:sz w:val="32"/>
          <w:szCs w:val="32"/>
          <w:shd w:val="clear" w:color="auto" w:fill="FFFFFF"/>
        </w:rPr>
        <w:t>%，较年初预算数减少4.39万元，下降11.81%，主要原因是</w:t>
      </w:r>
      <w:r>
        <w:rPr>
          <w:rFonts w:hint="eastAsia" w:ascii="方正仿宋_GBK" w:hAnsi="方正仿宋_GBK" w:eastAsia="方正仿宋_GBK" w:cs="方正仿宋_GBK"/>
          <w:color w:val="auto"/>
          <w:sz w:val="32"/>
          <w:szCs w:val="32"/>
          <w:shd w:val="clear" w:color="auto" w:fill="FFFFFF"/>
          <w:lang w:eastAsia="zh-CN"/>
        </w:rPr>
        <w:t>在编人员减少，导致公积金支出减少</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912.91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791.42</w:t>
      </w:r>
      <w:r>
        <w:rPr>
          <w:rFonts w:ascii="方正仿宋_GBK" w:hAnsi="方正仿宋_GBK" w:eastAsia="方正仿宋_GBK" w:cs="方正仿宋_GBK"/>
          <w:color w:val="auto"/>
          <w:sz w:val="32"/>
          <w:szCs w:val="32"/>
          <w:shd w:val="clear" w:color="auto" w:fill="FFFFFF"/>
        </w:rPr>
        <w:t>万元，较上年决算数增加61.89万元，增长8.48%，主要原因是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人员工资、绩效、津补贴、社保、公积金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121.49</w:t>
      </w:r>
      <w:r>
        <w:rPr>
          <w:rFonts w:ascii="方正仿宋_GBK" w:hAnsi="方正仿宋_GBK" w:eastAsia="方正仿宋_GBK" w:cs="方正仿宋_GBK"/>
          <w:color w:val="auto"/>
          <w:sz w:val="32"/>
          <w:szCs w:val="32"/>
          <w:shd w:val="clear" w:color="auto" w:fill="FFFFFF"/>
        </w:rPr>
        <w:t>万元，较上年决算数减少22.03万元，下降15.35%，主要原因是</w:t>
      </w:r>
      <w:r>
        <w:rPr>
          <w:rFonts w:hint="eastAsia" w:ascii="方正仿宋_GBK" w:hAnsi="方正仿宋_GBK" w:eastAsia="方正仿宋_GBK" w:cs="方正仿宋_GBK"/>
          <w:color w:val="auto"/>
          <w:sz w:val="32"/>
          <w:szCs w:val="32"/>
          <w:shd w:val="clear" w:color="auto" w:fill="FFFFFF"/>
          <w:lang w:val="en-US" w:eastAsia="zh-CN"/>
        </w:rPr>
        <w:t>2023年厉行节约，各项日常支出减少，公用经费减少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工会经费、职工教育培训费、日常水、电、办公费用</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三、“三公”经费情况说明</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lang w:val="en-US" w:eastAsia="zh-CN"/>
        </w:rPr>
        <w:t>支出。</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四、其他需要说明的事项</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（一）财政拨款会议费和培训费情况说明</w:t>
      </w:r>
    </w:p>
    <w:p>
      <w:pPr>
        <w:pStyle w:val="14"/>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2.34</w:t>
      </w:r>
      <w:r>
        <w:rPr>
          <w:rFonts w:ascii="方正仿宋_GBK" w:hAnsi="方正仿宋_GBK" w:eastAsia="方正仿宋_GBK" w:cs="方正仿宋_GBK"/>
          <w:color w:val="auto"/>
          <w:sz w:val="32"/>
          <w:szCs w:val="32"/>
          <w:shd w:val="clear" w:color="auto" w:fill="FFFFFF"/>
        </w:rPr>
        <w:t>万元，较上年决算数增加2.34万元，增长100.00%，主要原因是</w:t>
      </w:r>
      <w:r>
        <w:rPr>
          <w:rFonts w:hint="eastAsia" w:ascii="方正仿宋_GBK" w:hAnsi="方正仿宋_GBK" w:eastAsia="方正仿宋_GBK" w:cs="方正仿宋_GBK"/>
          <w:color w:val="auto"/>
          <w:sz w:val="32"/>
          <w:szCs w:val="32"/>
          <w:shd w:val="clear" w:color="auto" w:fill="FFFFFF"/>
          <w:lang w:val="en-US" w:eastAsia="zh-CN"/>
        </w:rPr>
        <w:t>2023年线下会议增多，导致培训费增加</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5.58</w:t>
      </w:r>
      <w:r>
        <w:rPr>
          <w:rFonts w:ascii="方正仿宋_GBK" w:hAnsi="方正仿宋_GBK" w:eastAsia="方正仿宋_GBK" w:cs="方正仿宋_GBK"/>
          <w:color w:val="auto"/>
          <w:sz w:val="32"/>
          <w:szCs w:val="32"/>
          <w:shd w:val="clear" w:color="auto" w:fill="FFFFFF"/>
        </w:rPr>
        <w:t>万元，较上年决算数增加5.58万元，增长100.00%，主要原因是</w:t>
      </w:r>
      <w:r>
        <w:rPr>
          <w:rFonts w:hint="eastAsia" w:ascii="方正仿宋_GBK" w:hAnsi="方正仿宋_GBK" w:eastAsia="方正仿宋_GBK" w:cs="方正仿宋_GBK"/>
          <w:color w:val="auto"/>
          <w:sz w:val="32"/>
          <w:szCs w:val="32"/>
          <w:shd w:val="clear" w:color="auto" w:fill="FFFFFF"/>
          <w:lang w:val="en-US" w:eastAsia="zh-CN"/>
        </w:rPr>
        <w:t>2023年线下培训增多，导致培训费增加。</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2023年度我单位未发生政府采购事项，无相关经费支出。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rFonts w:hint="eastAsia"/>
          <w:color w:val="auto"/>
          <w:lang w:eastAsia="zh-CN"/>
        </w:rPr>
        <w:t>五、</w:t>
      </w:r>
      <w:r>
        <w:rPr>
          <w:color w:val="auto"/>
        </w:rPr>
        <w:t>预算绩效管理情况说明</w:t>
      </w:r>
    </w:p>
    <w:p>
      <w:pPr>
        <w:pStyle w:val="3"/>
        <w:pageBreakBefore w:val="0"/>
        <w:widowControl/>
        <w:numPr>
          <w:ilvl w:val="0"/>
          <w:numId w:val="1"/>
        </w:numPr>
        <w:kinsoku/>
        <w:wordWrap/>
        <w:overflowPunct/>
        <w:topLinePunct w:val="0"/>
        <w:autoSpaceDN/>
        <w:bidi w:val="0"/>
        <w:adjustRightInd/>
        <w:spacing w:line="560" w:lineRule="exact"/>
        <w:textAlignment w:val="auto"/>
        <w:rPr>
          <w:rFonts w:hint="eastAsia"/>
          <w:color w:val="auto"/>
        </w:rPr>
      </w:pPr>
      <w:r>
        <w:rPr>
          <w:rFonts w:hint="eastAsia"/>
          <w:color w:val="auto"/>
        </w:rPr>
        <w:t>单位自评情况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rPr>
        <w:t>0个</w:t>
      </w:r>
      <w:r>
        <w:rPr>
          <w:rFonts w:hint="eastAsia" w:ascii="方正仿宋_GBK" w:hAnsi="方正仿宋_GBK" w:eastAsia="方正仿宋_GBK" w:cs="方正仿宋_GBK"/>
          <w:color w:val="auto"/>
          <w:sz w:val="32"/>
          <w:szCs w:val="32"/>
          <w:shd w:val="clear" w:color="auto" w:fill="FFFFFF"/>
        </w:rPr>
        <w:t>项目开展了绩效自评，涉及项目支出资金</w:t>
      </w:r>
      <w:r>
        <w:rPr>
          <w:rFonts w:hint="eastAsia" w:ascii="方正仿宋_GBK" w:hAnsi="方正仿宋_GBK" w:eastAsia="方正仿宋_GBK" w:cs="方正仿宋_GBK"/>
          <w:color w:val="auto"/>
          <w:sz w:val="32"/>
          <w:szCs w:val="32"/>
          <w:shd w:val="clear" w:color="auto" w:fill="FFFFFF"/>
          <w:lang w:val="en-US" w:eastAsia="zh-CN"/>
        </w:rPr>
        <w:t>0</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六、专业名词解释</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七、决算公开联系方式及信息反馈渠道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14"/>
        <w:keepNext w:val="0"/>
        <w:keepLines w:val="0"/>
        <w:pageBreakBefore w:val="0"/>
        <w:widowControl/>
        <w:kinsoku/>
        <w:wordWrap/>
        <w:overflowPunct/>
        <w:topLinePunct w:val="0"/>
        <w:autoSpaceDE w:val="0"/>
        <w:autoSpaceDN/>
        <w:bidi w:val="0"/>
        <w:adjustRightInd/>
        <w:spacing w:beforeAutospacing="0" w:line="560" w:lineRule="exact"/>
        <w:ind w:firstLine="0" w:firstLineChars="0"/>
        <w:textAlignment w:val="auto"/>
        <w:rPr>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0"/>
        <w:tblW w:w="5005" w:type="pct"/>
        <w:tblInd w:w="0" w:type="dxa"/>
        <w:shd w:val="clear" w:color="auto" w:fill="auto"/>
        <w:tblLayout w:type="autofit"/>
        <w:tblCellMar>
          <w:top w:w="0" w:type="dxa"/>
          <w:left w:w="0" w:type="dxa"/>
          <w:bottom w:w="0" w:type="dxa"/>
          <w:right w:w="0" w:type="dxa"/>
        </w:tblCellMar>
      </w:tblPr>
      <w:tblGrid>
        <w:gridCol w:w="4230"/>
        <w:gridCol w:w="633"/>
        <w:gridCol w:w="3030"/>
        <w:gridCol w:w="1030"/>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重庆市荣昌区昌元街道农业服务中心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912.91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652.55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912.91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912.91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912.91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912.91</w:t>
            </w:r>
            <w:r>
              <w:rPr>
                <w:color w:val="000000"/>
                <w:sz w:val="20"/>
                <w:u w:color="auto"/>
              </w:rPr>
              <w:t xml:space="preserve"> </w:t>
            </w:r>
          </w:p>
        </w:tc>
      </w:tr>
    </w:tbl>
    <w:p>
      <w:pPr>
        <w:spacing w:line="240" w:lineRule="exact"/>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重庆市荣昌区昌元街道农业服务中心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37"/>
        <w:gridCol w:w="3230"/>
        <w:gridCol w:w="635"/>
        <w:gridCol w:w="635"/>
        <w:gridCol w:w="332"/>
        <w:gridCol w:w="525"/>
        <w:gridCol w:w="525"/>
        <w:gridCol w:w="103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4788" w:type="pct"/>
        <w:tblInd w:w="0" w:type="dxa"/>
        <w:shd w:val="clear" w:color="auto" w:fill="auto"/>
        <w:tblLayout w:type="fixed"/>
        <w:tblCellMar>
          <w:top w:w="0" w:type="dxa"/>
          <w:left w:w="0" w:type="dxa"/>
          <w:bottom w:w="0" w:type="dxa"/>
          <w:right w:w="0" w:type="dxa"/>
        </w:tblCellMar>
      </w:tblPr>
      <w:tblGrid>
        <w:gridCol w:w="2376"/>
        <w:gridCol w:w="742"/>
        <w:gridCol w:w="2335"/>
        <w:gridCol w:w="643"/>
        <w:gridCol w:w="673"/>
        <w:gridCol w:w="653"/>
        <w:gridCol w:w="766"/>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904"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1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904"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9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09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4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4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669"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189.08</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189.08</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33.24</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33.24</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652.55</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652.55</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912.91</w:t>
            </w:r>
            <w:r>
              <w:rPr>
                <w:color w:val="000000"/>
                <w:sz w:val="18"/>
                <w:u w:color="auto"/>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488"/>
        <w:gridCol w:w="3230"/>
        <w:gridCol w:w="1274"/>
        <w:gridCol w:w="1274"/>
        <w:gridCol w:w="1284"/>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912.91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189.08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189.08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652.55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652.55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652.55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shd w:val="clear" w:color="auto" w:fill="auto"/>
        <w:tblLayout w:type="fixed"/>
        <w:tblCellMar>
          <w:top w:w="0" w:type="dxa"/>
          <w:left w:w="0" w:type="dxa"/>
          <w:bottom w:w="0" w:type="dxa"/>
          <w:right w:w="0" w:type="dxa"/>
        </w:tblCellMar>
      </w:tblPr>
      <w:tblGrid>
        <w:gridCol w:w="605"/>
        <w:gridCol w:w="1405"/>
        <w:gridCol w:w="831"/>
        <w:gridCol w:w="623"/>
        <w:gridCol w:w="1415"/>
        <w:gridCol w:w="811"/>
        <w:gridCol w:w="623"/>
        <w:gridCol w:w="1435"/>
        <w:gridCol w:w="7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176"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48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176"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6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3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5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4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35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2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4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691.98</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120.01</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160.59</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12.03</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356.29</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43.87</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47.37</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23.36</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24.07</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99.44</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29.07</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31.62</w:t>
            </w: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76"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791.42</w:t>
            </w:r>
            <w:r>
              <w:rPr>
                <w:color w:val="000000"/>
                <w:sz w:val="18"/>
                <w:u w:color="auto"/>
              </w:rPr>
              <w:t xml:space="preserve"> </w:t>
            </w:r>
          </w:p>
        </w:tc>
        <w:tc>
          <w:tcPr>
            <w:tcW w:w="2872"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121.49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bookmarkStart w:id="0" w:name="_GoBack"/>
      <w:bookmarkEnd w:id="0"/>
      <w:r>
        <w:rPr>
          <w:rFonts w:cs="宋体"/>
          <w:sz w:val="20"/>
          <w:szCs w:val="20"/>
        </w:rPr>
        <w:br w:type="textWrapping"/>
      </w:r>
      <w:r>
        <w:rPr>
          <w:rFonts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13"/>
        <w:gridCol w:w="2686"/>
        <w:gridCol w:w="641"/>
        <w:gridCol w:w="641"/>
        <w:gridCol w:w="641"/>
        <w:gridCol w:w="641"/>
        <w:gridCol w:w="664"/>
        <w:gridCol w:w="1023"/>
      </w:tblGrid>
      <w:tr>
        <w:tblPrEx>
          <w:shd w:val="clear" w:color="auto" w:fill="auto"/>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49"/>
        <w:gridCol w:w="2681"/>
        <w:gridCol w:w="1504"/>
        <w:gridCol w:w="71"/>
        <w:gridCol w:w="1339"/>
        <w:gridCol w:w="27"/>
        <w:gridCol w:w="1279"/>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重庆市荣昌区昌元街道农业服务中心</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5.58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2A5F7"/>
    <w:multiLevelType w:val="singleLevel"/>
    <w:tmpl w:val="7422A5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6C1F3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54567"/>
    <w:rsid w:val="13CE1647"/>
    <w:rsid w:val="13FD55AB"/>
    <w:rsid w:val="14200702"/>
    <w:rsid w:val="163A6CEE"/>
    <w:rsid w:val="17320815"/>
    <w:rsid w:val="173708E3"/>
    <w:rsid w:val="17C374FC"/>
    <w:rsid w:val="180E2643"/>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03788"/>
    <w:rsid w:val="1EF67CA4"/>
    <w:rsid w:val="1F020D3A"/>
    <w:rsid w:val="1F2C5189"/>
    <w:rsid w:val="1F4B0B02"/>
    <w:rsid w:val="1FBB35CD"/>
    <w:rsid w:val="1FCD26AF"/>
    <w:rsid w:val="20642787"/>
    <w:rsid w:val="21556F04"/>
    <w:rsid w:val="22403BD3"/>
    <w:rsid w:val="238C7812"/>
    <w:rsid w:val="239A0AA7"/>
    <w:rsid w:val="24B92327"/>
    <w:rsid w:val="24C14514"/>
    <w:rsid w:val="24E43196"/>
    <w:rsid w:val="2533755C"/>
    <w:rsid w:val="25791755"/>
    <w:rsid w:val="26396DF4"/>
    <w:rsid w:val="27167136"/>
    <w:rsid w:val="271B442C"/>
    <w:rsid w:val="27B23302"/>
    <w:rsid w:val="29310A5F"/>
    <w:rsid w:val="29C37A35"/>
    <w:rsid w:val="2A076083"/>
    <w:rsid w:val="2A73162E"/>
    <w:rsid w:val="2B167953"/>
    <w:rsid w:val="2B200583"/>
    <w:rsid w:val="2B8209DE"/>
    <w:rsid w:val="2BFF60E4"/>
    <w:rsid w:val="2C636760"/>
    <w:rsid w:val="2C6762A3"/>
    <w:rsid w:val="2DD04DA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405B3"/>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89753A"/>
    <w:rsid w:val="41E0734B"/>
    <w:rsid w:val="426C1EA8"/>
    <w:rsid w:val="42736402"/>
    <w:rsid w:val="42E86A87"/>
    <w:rsid w:val="43307B09"/>
    <w:rsid w:val="439A3EB9"/>
    <w:rsid w:val="43BB152F"/>
    <w:rsid w:val="444B0EBF"/>
    <w:rsid w:val="44C37687"/>
    <w:rsid w:val="45CB699A"/>
    <w:rsid w:val="465B470D"/>
    <w:rsid w:val="469D6AD4"/>
    <w:rsid w:val="471E6C84"/>
    <w:rsid w:val="47206B07"/>
    <w:rsid w:val="4748792B"/>
    <w:rsid w:val="475D719D"/>
    <w:rsid w:val="47674801"/>
    <w:rsid w:val="480A23DB"/>
    <w:rsid w:val="48225EF7"/>
    <w:rsid w:val="488F422B"/>
    <w:rsid w:val="48E36915"/>
    <w:rsid w:val="48EB6572"/>
    <w:rsid w:val="495C4A24"/>
    <w:rsid w:val="497135DF"/>
    <w:rsid w:val="4A263DF2"/>
    <w:rsid w:val="4A6F6675"/>
    <w:rsid w:val="4B135857"/>
    <w:rsid w:val="4B7951CB"/>
    <w:rsid w:val="4B7C315C"/>
    <w:rsid w:val="4C7C64F5"/>
    <w:rsid w:val="4D220461"/>
    <w:rsid w:val="4DAC4ACA"/>
    <w:rsid w:val="4DBE01D2"/>
    <w:rsid w:val="4DEB5A59"/>
    <w:rsid w:val="4F0C6BA3"/>
    <w:rsid w:val="4F186D58"/>
    <w:rsid w:val="50F06B6E"/>
    <w:rsid w:val="51D21804"/>
    <w:rsid w:val="52234D33"/>
    <w:rsid w:val="522F6E0C"/>
    <w:rsid w:val="52463BA1"/>
    <w:rsid w:val="526D339A"/>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D46CAB"/>
    <w:rsid w:val="5A3B59D6"/>
    <w:rsid w:val="5AD134D8"/>
    <w:rsid w:val="5BE36EEA"/>
    <w:rsid w:val="5C263CE4"/>
    <w:rsid w:val="5C5D2777"/>
    <w:rsid w:val="5CF66BF3"/>
    <w:rsid w:val="5D290C69"/>
    <w:rsid w:val="5F2D4A41"/>
    <w:rsid w:val="60C74F6C"/>
    <w:rsid w:val="61025A59"/>
    <w:rsid w:val="613D5BBC"/>
    <w:rsid w:val="61536C39"/>
    <w:rsid w:val="62944DD7"/>
    <w:rsid w:val="62C915CA"/>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F4594F"/>
    <w:rsid w:val="6EFD1324"/>
    <w:rsid w:val="6F5A53AC"/>
    <w:rsid w:val="6FAC003D"/>
    <w:rsid w:val="6FE55E12"/>
    <w:rsid w:val="6FFB2E76"/>
    <w:rsid w:val="702743C7"/>
    <w:rsid w:val="708F6F7F"/>
    <w:rsid w:val="70D94BD3"/>
    <w:rsid w:val="71C34D91"/>
    <w:rsid w:val="72DB435C"/>
    <w:rsid w:val="72E2613A"/>
    <w:rsid w:val="72F771F4"/>
    <w:rsid w:val="73934AD2"/>
    <w:rsid w:val="750837F0"/>
    <w:rsid w:val="754758CF"/>
    <w:rsid w:val="75D04308"/>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9"/>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character" w:customStyle="1" w:styleId="19">
    <w:name w:val="标题 2 Char"/>
    <w:link w:val="3"/>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22</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2024-10-08T08:59:56Z</cp:lastPrinted>
  <dcterms:modified xsi:type="dcterms:W3CDTF">2024-10-08T09:11:38Z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