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重庆市荣昌区昌元街道退役军人服务站</w:t>
      </w:r>
    </w:p>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2023年度单位决算公开报告</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一、单位基本情况</w:t>
      </w:r>
    </w:p>
    <w:p>
      <w:pPr>
        <w:pStyle w:val="3"/>
        <w:pageBreakBefore w:val="0"/>
        <w:widowControl/>
        <w:kinsoku/>
        <w:wordWrap/>
        <w:overflowPunct/>
        <w:topLinePunct w:val="0"/>
        <w:autoSpaceDN/>
        <w:bidi w:val="0"/>
        <w:adjustRightInd/>
        <w:spacing w:line="560" w:lineRule="exact"/>
        <w:textAlignment w:val="auto"/>
        <w:rPr>
          <w:rFonts w:hint="default"/>
          <w:color w:val="auto"/>
        </w:rPr>
      </w:pPr>
      <w:r>
        <w:rPr>
          <w:color w:val="auto"/>
        </w:rPr>
        <w:t>（一）职能职责</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退役军人服务站作为重庆市荣昌区人民政府昌元街道办事处二级预算单位进行预算编制。主要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等工作。</w:t>
      </w:r>
    </w:p>
    <w:p>
      <w:pPr>
        <w:pStyle w:val="3"/>
        <w:pageBreakBefore w:val="0"/>
        <w:widowControl/>
        <w:kinsoku/>
        <w:wordWrap/>
        <w:overflowPunct/>
        <w:topLinePunct w:val="0"/>
        <w:autoSpaceDN/>
        <w:bidi w:val="0"/>
        <w:adjustRightInd/>
        <w:spacing w:line="560" w:lineRule="exact"/>
        <w:textAlignment w:val="auto"/>
        <w:rPr>
          <w:rFonts w:hint="default"/>
          <w:color w:val="auto"/>
        </w:rPr>
      </w:pPr>
      <w:r>
        <w:rPr>
          <w:color w:val="auto"/>
        </w:rPr>
        <w:t>（二）机构设置</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方正仿宋_GBK" w:hAnsi="方正仿宋_GBK" w:eastAsia="方正仿宋_GBK" w:cs="方正仿宋_GBK"/>
          <w:color w:val="auto"/>
          <w:kern w:val="0"/>
          <w:sz w:val="32"/>
          <w:szCs w:val="32"/>
          <w:shd w:val="clear" w:color="auto" w:fill="FFFFFF"/>
          <w:lang w:val="en-US" w:eastAsia="zh-CN" w:bidi="ar"/>
        </w:rPr>
      </w:pPr>
      <w:r>
        <w:rPr>
          <w:rFonts w:hint="eastAsia" w:ascii="方正仿宋_GBK" w:hAnsi="方正仿宋_GBK" w:eastAsia="方正仿宋_GBK" w:cs="方正仿宋_GBK"/>
          <w:color w:val="auto"/>
          <w:kern w:val="0"/>
          <w:sz w:val="32"/>
          <w:szCs w:val="32"/>
          <w:shd w:val="clear" w:color="auto" w:fill="FFFFFF"/>
          <w:lang w:val="en-US" w:eastAsia="zh-CN" w:bidi="ar"/>
        </w:rPr>
        <w:t>2023年，</w:t>
      </w:r>
      <w:r>
        <w:rPr>
          <w:rFonts w:hint="eastAsia" w:ascii="方正仿宋_GBK" w:hAnsi="方正仿宋_GBK" w:eastAsia="方正仿宋_GBK" w:cs="方正仿宋_GBK"/>
          <w:color w:val="auto"/>
          <w:kern w:val="0"/>
          <w:sz w:val="32"/>
          <w:szCs w:val="32"/>
          <w:shd w:val="clear" w:color="auto" w:fill="FFFFFF"/>
          <w:lang w:val="en" w:eastAsia="zh-CN" w:bidi="ar"/>
        </w:rPr>
        <w:t>昌元街道退役军人服务站未设置内设机构。</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二、单位决算情况说明</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（一）收入支出决算总体情况说明。</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1"/>
        <w:rPr>
          <w:rFonts w:hint="default" w:ascii="方正仿宋_GBK" w:hAnsi="方正仿宋_GBK" w:eastAsia="方正仿宋_GBK" w:cs="方正仿宋_GBK"/>
          <w:color w:val="auto"/>
          <w:kern w:val="0"/>
          <w:sz w:val="32"/>
          <w:szCs w:val="32"/>
          <w:shd w:val="clear" w:color="auto" w:fill="FFFFFF"/>
          <w:lang w:val="en-US" w:eastAsia="zh-CN" w:bidi="ar"/>
        </w:rPr>
      </w:pPr>
      <w:bookmarkStart w:id="0" w:name="_GoBack"/>
      <w:r>
        <w:rPr>
          <w:rFonts w:hint="eastAsia" w:ascii="方正仿宋_GBK" w:hAnsi="方正仿宋_GBK" w:eastAsia="方正仿宋_GBK" w:cs="方正仿宋_GBK"/>
          <w:b/>
          <w:bCs/>
          <w:color w:val="auto"/>
          <w:kern w:val="0"/>
          <w:sz w:val="32"/>
          <w:szCs w:val="32"/>
          <w:shd w:val="clear" w:color="auto" w:fill="FFFFFF"/>
          <w:lang w:val="en-US" w:eastAsia="zh-CN" w:bidi="ar"/>
        </w:rPr>
        <w:t>1.总体情况。</w:t>
      </w:r>
      <w:bookmarkEnd w:id="0"/>
      <w:r>
        <w:rPr>
          <w:rFonts w:hint="eastAsia" w:ascii="方正仿宋_GBK" w:hAnsi="方正仿宋_GBK" w:eastAsia="方正仿宋_GBK" w:cs="方正仿宋_GBK"/>
          <w:color w:val="auto"/>
          <w:kern w:val="0"/>
          <w:sz w:val="32"/>
          <w:szCs w:val="32"/>
          <w:shd w:val="clear" w:color="auto" w:fill="FFFFFF"/>
          <w:lang w:val="en-US" w:eastAsia="zh-CN" w:bidi="ar"/>
        </w:rPr>
        <w:t>2023年度收入总计58.29万元，支出总计58.29万元。收支较上年决算数增加1.51万元，增长2.66%，主要原因是人员工资调标、社保基数调整。</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2023年度收入合计58.29万元，较上年决算数增加1.51万元，增长2.66%，主要原因是</w:t>
      </w:r>
      <w:r>
        <w:rPr>
          <w:rFonts w:hint="eastAsia" w:ascii="方正仿宋_GBK" w:hAnsi="方正仿宋_GBK" w:eastAsia="方正仿宋_GBK" w:cs="方正仿宋_GBK"/>
          <w:color w:val="auto"/>
          <w:sz w:val="32"/>
          <w:szCs w:val="32"/>
          <w:shd w:val="clear" w:color="auto" w:fill="FFFFFF"/>
          <w:lang w:val="en-US" w:eastAsia="zh-CN"/>
        </w:rPr>
        <w:t>人员工资调标、社保基数调整</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58.29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58.29</w:t>
      </w:r>
      <w:r>
        <w:rPr>
          <w:rFonts w:ascii="方正仿宋_GBK" w:hAnsi="方正仿宋_GBK" w:eastAsia="方正仿宋_GBK" w:cs="方正仿宋_GBK"/>
          <w:color w:val="auto"/>
          <w:sz w:val="32"/>
          <w:szCs w:val="32"/>
          <w:shd w:val="clear" w:color="auto" w:fill="FFFFFF"/>
        </w:rPr>
        <w:t>万元，较上年决算数增加1.51万元，增长2.66%，主要原因是</w:t>
      </w:r>
      <w:r>
        <w:rPr>
          <w:rFonts w:hint="eastAsia" w:ascii="方正仿宋_GBK" w:hAnsi="方正仿宋_GBK" w:eastAsia="方正仿宋_GBK" w:cs="方正仿宋_GBK"/>
          <w:color w:val="auto"/>
          <w:sz w:val="32"/>
          <w:szCs w:val="32"/>
          <w:shd w:val="clear" w:color="auto" w:fill="FFFFFF"/>
          <w:lang w:val="en-US" w:eastAsia="zh-CN"/>
        </w:rPr>
        <w:t>人员工资调标、社保基数调整</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58.29</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财政已收回年底剩余指标，无结转结余。</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（二）财政拨款收入支出决算总体情况说明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2023年度财政拨款收、支总计58.29万元。与2022年相比，财政拨款收、支总计各增加1.51万元，增长2.66%。主要原因是</w:t>
      </w:r>
      <w:r>
        <w:rPr>
          <w:rFonts w:hint="eastAsia" w:ascii="方正仿宋_GBK" w:hAnsi="方正仿宋_GBK" w:eastAsia="方正仿宋_GBK" w:cs="方正仿宋_GBK"/>
          <w:color w:val="auto"/>
          <w:sz w:val="32"/>
          <w:szCs w:val="32"/>
          <w:shd w:val="clear" w:color="auto" w:fill="FFFFFF"/>
          <w:lang w:val="en-US" w:eastAsia="zh-CN"/>
        </w:rPr>
        <w:t>人员工资调标、社保基数调整</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（三）一般公共预算财政拨款收入支出决算情况说明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Style w:val="12"/>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1.收入情况</w:t>
      </w:r>
      <w:r>
        <w:rPr>
          <w:rStyle w:val="12"/>
          <w:rFonts w:hint="eastAsia" w:ascii="方正仿宋_GBK" w:hAnsi="方正仿宋_GBK" w:eastAsia="方正仿宋_GBK" w:cs="方正仿宋_GBK"/>
          <w:color w:val="auto"/>
          <w:sz w:val="32"/>
          <w:szCs w:val="32"/>
          <w:shd w:val="clear" w:color="auto" w:fill="FFFFFF"/>
          <w:lang w:eastAsia="zh-CN"/>
        </w:rPr>
        <w:t>。</w:t>
      </w:r>
      <w:r>
        <w:rPr>
          <w:rStyle w:val="12"/>
          <w:rFonts w:ascii="方正仿宋_GBK" w:hAnsi="方正仿宋_GBK" w:eastAsia="方正仿宋_GBK" w:cs="方正仿宋_GBK"/>
          <w:b w:val="0"/>
          <w:bCs/>
          <w:color w:val="auto"/>
          <w:sz w:val="32"/>
          <w:szCs w:val="32"/>
          <w:shd w:val="clear" w:color="auto" w:fill="FFFFFF"/>
        </w:rPr>
        <w:t>2023年度一般公共预算财政拨款收入</w:t>
      </w:r>
      <w:r>
        <w:rPr>
          <w:rStyle w:val="12"/>
          <w:rFonts w:hint="eastAsia" w:ascii="方正仿宋_GBK" w:hAnsi="方正仿宋_GBK" w:eastAsia="方正仿宋_GBK" w:cs="方正仿宋_GBK"/>
          <w:b w:val="0"/>
          <w:bCs/>
          <w:color w:val="auto"/>
          <w:sz w:val="32"/>
          <w:szCs w:val="32"/>
          <w:shd w:val="clear" w:color="auto" w:fill="FFFFFF"/>
          <w:lang w:val="en-US" w:eastAsia="zh-CN"/>
        </w:rPr>
        <w:t xml:space="preserve"> </w:t>
      </w:r>
      <w:r>
        <w:rPr>
          <w:rStyle w:val="12"/>
          <w:rFonts w:ascii="方正仿宋_GBK" w:hAnsi="方正仿宋_GBK" w:eastAsia="方正仿宋_GBK" w:cs="方正仿宋_GBK"/>
          <w:b w:val="0"/>
          <w:bCs/>
          <w:color w:val="auto"/>
          <w:sz w:val="32"/>
          <w:szCs w:val="32"/>
          <w:shd w:val="clear" w:color="auto" w:fill="FFFFFF"/>
        </w:rPr>
        <w:t>58.29万元，较上年决算数增加1.51万元，增长2.66%。主要原因是</w:t>
      </w:r>
      <w:r>
        <w:rPr>
          <w:rFonts w:hint="eastAsia" w:ascii="方正仿宋_GBK" w:hAnsi="方正仿宋_GBK" w:eastAsia="方正仿宋_GBK" w:cs="方正仿宋_GBK"/>
          <w:color w:val="auto"/>
          <w:sz w:val="32"/>
          <w:szCs w:val="32"/>
          <w:shd w:val="clear" w:color="auto" w:fill="FFFFFF"/>
          <w:lang w:val="en-US" w:eastAsia="zh-CN"/>
        </w:rPr>
        <w:t>人员工资调标、社保基数调整，人员经费增加</w:t>
      </w:r>
      <w:r>
        <w:rPr>
          <w:rStyle w:val="12"/>
          <w:rFonts w:ascii="方正仿宋_GBK" w:hAnsi="方正仿宋_GBK" w:eastAsia="方正仿宋_GBK" w:cs="方正仿宋_GBK"/>
          <w:b w:val="0"/>
          <w:bCs/>
          <w:color w:val="auto"/>
          <w:sz w:val="32"/>
          <w:szCs w:val="32"/>
          <w:shd w:val="clear" w:color="auto" w:fill="FFFFFF"/>
        </w:rPr>
        <w:t>。较年初预算数减少4.47万元，下降7.12%。主要原因是</w:t>
      </w:r>
      <w:r>
        <w:rPr>
          <w:rStyle w:val="12"/>
          <w:rFonts w:hint="eastAsia" w:ascii="方正仿宋_GBK" w:hAnsi="方正仿宋_GBK" w:eastAsia="方正仿宋_GBK" w:cs="方正仿宋_GBK"/>
          <w:b w:val="0"/>
          <w:bCs/>
          <w:color w:val="auto"/>
          <w:sz w:val="32"/>
          <w:szCs w:val="32"/>
          <w:shd w:val="clear" w:color="auto" w:fill="FFFFFF"/>
          <w:lang w:val="en-US" w:eastAsia="zh-CN"/>
        </w:rPr>
        <w:t>2023年厉行节约，各项日常开支减少，公用经费减少</w:t>
      </w:r>
      <w:r>
        <w:rPr>
          <w:rStyle w:val="12"/>
          <w:rFonts w:ascii="方正仿宋_GBK" w:hAnsi="方正仿宋_GBK" w:eastAsia="方正仿宋_GBK" w:cs="方正仿宋_GBK"/>
          <w:b w:val="0"/>
          <w:bCs/>
          <w:color w:val="auto"/>
          <w:sz w:val="32"/>
          <w:szCs w:val="32"/>
          <w:shd w:val="clear" w:color="auto" w:fill="FFFFFF"/>
        </w:rPr>
        <w:t>。此外，年初财政拨款结转和结余0.00万元。</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2.支出情况</w:t>
      </w:r>
      <w:r>
        <w:rPr>
          <w:rStyle w:val="12"/>
          <w:rFonts w:hint="eastAsia" w:ascii="方正仿宋_GBK" w:hAnsi="方正仿宋_GBK" w:eastAsia="方正仿宋_GBK" w:cs="方正仿宋_GBK"/>
          <w:b/>
          <w:bCs w:val="0"/>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2023年度一般公共预算财政拨款支出</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方正仿宋_GBK" w:hAnsi="方正仿宋_GBK" w:eastAsia="方正仿宋_GBK" w:cs="方正仿宋_GBK"/>
          <w:color w:val="auto"/>
          <w:sz w:val="32"/>
          <w:szCs w:val="32"/>
        </w:rPr>
        <w:t>58.29</w:t>
      </w:r>
      <w:r>
        <w:rPr>
          <w:rFonts w:ascii="方正仿宋_GBK" w:hAnsi="方正仿宋_GBK" w:eastAsia="方正仿宋_GBK" w:cs="方正仿宋_GBK"/>
          <w:color w:val="auto"/>
          <w:sz w:val="32"/>
          <w:szCs w:val="32"/>
          <w:shd w:val="clear" w:color="auto" w:fill="FFFFFF"/>
        </w:rPr>
        <w:t>万元，较上年决算数增加1.51万元，增长2.66%。主要原因是</w:t>
      </w:r>
      <w:r>
        <w:rPr>
          <w:rFonts w:hint="eastAsia" w:ascii="方正仿宋_GBK" w:hAnsi="方正仿宋_GBK" w:eastAsia="方正仿宋_GBK" w:cs="方正仿宋_GBK"/>
          <w:color w:val="auto"/>
          <w:sz w:val="32"/>
          <w:szCs w:val="32"/>
          <w:shd w:val="clear" w:color="auto" w:fill="FFFFFF"/>
          <w:lang w:val="en-US" w:eastAsia="zh-CN"/>
        </w:rPr>
        <w:t>人员工资调标、社保基数调整，人员经费增加</w:t>
      </w:r>
      <w:r>
        <w:rPr>
          <w:rFonts w:ascii="方正仿宋_GBK" w:hAnsi="方正仿宋_GBK" w:eastAsia="方正仿宋_GBK" w:cs="方正仿宋_GBK"/>
          <w:color w:val="auto"/>
          <w:sz w:val="32"/>
          <w:szCs w:val="32"/>
          <w:shd w:val="clear" w:color="auto" w:fill="FFFFFF"/>
        </w:rPr>
        <w:t>。较年初预算数减少4.47万元，下降7.12%。主要原因是</w:t>
      </w:r>
      <w:r>
        <w:rPr>
          <w:rStyle w:val="12"/>
          <w:rFonts w:hint="eastAsia" w:ascii="方正仿宋_GBK" w:hAnsi="方正仿宋_GBK" w:eastAsia="方正仿宋_GBK" w:cs="方正仿宋_GBK"/>
          <w:b w:val="0"/>
          <w:bCs/>
          <w:color w:val="auto"/>
          <w:sz w:val="32"/>
          <w:szCs w:val="32"/>
          <w:shd w:val="clear" w:color="auto" w:fill="FFFFFF"/>
          <w:lang w:val="en-US" w:eastAsia="zh-CN"/>
        </w:rPr>
        <w:t>2023年厉行节约，各项日常开支减少，公用经费减少</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财政已收回年底剩余指标，无结转结余</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53.04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90.99</w:t>
      </w:r>
      <w:r>
        <w:rPr>
          <w:rFonts w:ascii="方正仿宋_GBK" w:hAnsi="方正仿宋_GBK" w:eastAsia="方正仿宋_GBK" w:cs="方正仿宋_GBK"/>
          <w:color w:val="auto"/>
          <w:sz w:val="32"/>
          <w:szCs w:val="32"/>
          <w:shd w:val="clear" w:color="auto" w:fill="FFFFFF"/>
        </w:rPr>
        <w:t>%，较年初预算数减少4.46万元，下降7.76%，主要原因是</w:t>
      </w:r>
      <w:r>
        <w:rPr>
          <w:rStyle w:val="12"/>
          <w:rFonts w:hint="eastAsia" w:ascii="方正仿宋_GBK" w:hAnsi="方正仿宋_GBK" w:eastAsia="方正仿宋_GBK" w:cs="方正仿宋_GBK"/>
          <w:b w:val="0"/>
          <w:bCs/>
          <w:color w:val="auto"/>
          <w:sz w:val="32"/>
          <w:szCs w:val="32"/>
          <w:shd w:val="clear" w:color="auto" w:fill="FFFFFF"/>
          <w:lang w:val="en-US" w:eastAsia="zh-CN"/>
        </w:rPr>
        <w:t>2023年厉行节约，各项日常开支减少，公用经费减少</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2.62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4.50</w:t>
      </w:r>
      <w:r>
        <w:rPr>
          <w:rFonts w:ascii="方正仿宋_GBK" w:hAnsi="方正仿宋_GBK" w:eastAsia="方正仿宋_GBK" w:cs="方正仿宋_GBK"/>
          <w:color w:val="auto"/>
          <w:sz w:val="32"/>
          <w:szCs w:val="32"/>
          <w:shd w:val="clear" w:color="auto" w:fill="FFFFFF"/>
        </w:rPr>
        <w:t>%，较年初预算数减少0.03万元，下降1.13%，主要原因是</w:t>
      </w:r>
      <w:r>
        <w:rPr>
          <w:rFonts w:hint="eastAsia" w:ascii="方正仿宋_GBK" w:hAnsi="方正仿宋_GBK" w:eastAsia="方正仿宋_GBK" w:cs="方正仿宋_GBK"/>
          <w:color w:val="auto"/>
          <w:sz w:val="32"/>
          <w:szCs w:val="32"/>
          <w:shd w:val="clear" w:color="auto" w:fill="FFFFFF"/>
          <w:lang w:val="en-US" w:eastAsia="zh-CN"/>
        </w:rPr>
        <w:t>医保基数调整</w:t>
      </w:r>
      <w:r>
        <w:rPr>
          <w:rFonts w:ascii="方正仿宋_GBK" w:hAnsi="方正仿宋_GBK" w:eastAsia="方正仿宋_GBK" w:cs="方正仿宋_GBK"/>
          <w:color w:val="auto"/>
          <w:sz w:val="32"/>
          <w:szCs w:val="32"/>
          <w:shd w:val="clear" w:color="auto" w:fill="FFFFFF"/>
        </w:rPr>
        <w:t>。</w:t>
      </w:r>
    </w:p>
    <w:p>
      <w:pPr>
        <w:pageBreakBefore w:val="0"/>
        <w:widowControl/>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4.51</w:t>
      </w:r>
      <w:r>
        <w:rPr>
          <w:rFonts w:ascii="方正仿宋_GBK" w:hAnsi="方正仿宋_GBK" w:eastAsia="方正仿宋_GBK" w:cs="方正仿宋_GBK"/>
          <w:color w:val="auto"/>
          <w:sz w:val="32"/>
          <w:szCs w:val="32"/>
          <w:shd w:val="clear" w:color="auto" w:fill="FFFFFF"/>
        </w:rPr>
        <w:t>%，较年初预算数增加0.02万元，增长0.77%，主要原因是.</w:t>
      </w:r>
      <w:r>
        <w:rPr>
          <w:rFonts w:hint="eastAsia" w:ascii="方正仿宋_GBK" w:hAnsi="方正仿宋_GBK" w:eastAsia="方正仿宋_GBK" w:cs="方正仿宋_GBK"/>
          <w:color w:val="auto"/>
          <w:sz w:val="32"/>
          <w:szCs w:val="32"/>
          <w:shd w:val="clear" w:color="auto" w:fill="FFFFFF"/>
          <w:lang w:eastAsia="zh-CN"/>
        </w:rPr>
        <w:t>公积金基数调整</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（四）一般公共预算财政拨款基本支出决算情况说明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58.29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53.00</w:t>
      </w:r>
      <w:r>
        <w:rPr>
          <w:rFonts w:ascii="方正仿宋_GBK" w:hAnsi="方正仿宋_GBK" w:eastAsia="方正仿宋_GBK" w:cs="方正仿宋_GBK"/>
          <w:color w:val="auto"/>
          <w:sz w:val="32"/>
          <w:szCs w:val="32"/>
          <w:shd w:val="clear" w:color="auto" w:fill="FFFFFF"/>
        </w:rPr>
        <w:t>万元，较上年决算数增加8.46万元，增长18.99%，主要原因</w:t>
      </w:r>
      <w:r>
        <w:rPr>
          <w:rStyle w:val="12"/>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人员工资调标、社保基数调整，人员经费增加</w:t>
      </w:r>
      <w:r>
        <w:rPr>
          <w:rStyle w:val="12"/>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在编人员工资、绩效、各项保险、公积金支出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5.29</w:t>
      </w:r>
      <w:r>
        <w:rPr>
          <w:rFonts w:ascii="方正仿宋_GBK" w:hAnsi="方正仿宋_GBK" w:eastAsia="方正仿宋_GBK" w:cs="方正仿宋_GBK"/>
          <w:color w:val="auto"/>
          <w:sz w:val="32"/>
          <w:szCs w:val="32"/>
          <w:shd w:val="clear" w:color="auto" w:fill="FFFFFF"/>
        </w:rPr>
        <w:t>万元，较上年决算数减少6.95万元，下降56.78%，主要原因是</w:t>
      </w:r>
      <w:r>
        <w:rPr>
          <w:rStyle w:val="12"/>
          <w:rFonts w:hint="eastAsia" w:ascii="方正仿宋_GBK" w:hAnsi="方正仿宋_GBK" w:eastAsia="方正仿宋_GBK" w:cs="方正仿宋_GBK"/>
          <w:b w:val="0"/>
          <w:bCs/>
          <w:color w:val="auto"/>
          <w:sz w:val="32"/>
          <w:szCs w:val="32"/>
          <w:shd w:val="clear" w:color="auto" w:fill="FFFFFF"/>
          <w:lang w:val="en-US" w:eastAsia="zh-CN"/>
        </w:rPr>
        <w:t>2023年厉行节约，各项日常开支减少，公用经费减少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工会经费、通信费、教育培训费、食堂餐费。</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（五）政府性基金预算收支决算情况说明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（六）国有资本经营预算财政拨款支出决算情况说明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三、“三公”经费情况说明</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（一）“三公”经费支出总体情况说明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（二）“三公”经费分项支出情况</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2023年度本单位未发生因公出国（境）费用支出。</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2023年度本单位未发生公务车购置费支出。</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2023年度本单位未发生公务车运行维护费支出。</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2023年度本单位未发生公务接待费支出。</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（三）“三公”经费实物量情况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四、其他需要说明的事项</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（一）财政拨款会议费和培训费情况说明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万元，较上年决算数无增减，主要原因是本年度</w:t>
      </w:r>
      <w:r>
        <w:rPr>
          <w:rFonts w:hint="eastAsia" w:ascii="方正仿宋_GBK" w:hAnsi="方正仿宋_GBK" w:eastAsia="方正仿宋_GBK" w:cs="方正仿宋_GBK"/>
          <w:color w:val="auto"/>
          <w:sz w:val="32"/>
          <w:szCs w:val="32"/>
          <w:shd w:val="clear" w:color="auto" w:fill="FFFFFF"/>
          <w:lang w:eastAsia="zh-CN"/>
        </w:rPr>
        <w:t>未发生</w:t>
      </w:r>
      <w:r>
        <w:rPr>
          <w:rFonts w:ascii="方正仿宋_GBK" w:hAnsi="方正仿宋_GBK" w:eastAsia="方正仿宋_GBK" w:cs="方正仿宋_GBK"/>
          <w:color w:val="auto"/>
          <w:sz w:val="32"/>
          <w:szCs w:val="32"/>
          <w:shd w:val="clear" w:color="auto" w:fill="FFFFFF"/>
        </w:rPr>
        <w:t>会议费支出</w:t>
      </w:r>
      <w:r>
        <w:rPr>
          <w:rFonts w:hint="eastAsia" w:ascii="方正仿宋_GBK" w:hAnsi="方正仿宋_GBK" w:eastAsia="方正仿宋_GBK" w:cs="方正仿宋_GBK"/>
          <w:color w:val="auto"/>
          <w:sz w:val="32"/>
          <w:szCs w:val="32"/>
          <w:shd w:val="clear" w:color="auto" w:fill="FFFFFF"/>
          <w:lang w:eastAsia="zh-CN"/>
        </w:rPr>
        <w:t>，与上年持平</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0.33</w:t>
      </w:r>
      <w:r>
        <w:rPr>
          <w:rFonts w:ascii="方正仿宋_GBK" w:hAnsi="方正仿宋_GBK" w:eastAsia="方正仿宋_GBK" w:cs="方正仿宋_GBK"/>
          <w:color w:val="auto"/>
          <w:sz w:val="32"/>
          <w:szCs w:val="32"/>
          <w:shd w:val="clear" w:color="auto" w:fill="FFFFFF"/>
        </w:rPr>
        <w:t>万元，较上年决算数增加0.33万元，增长100.00%，主要原因是</w:t>
      </w:r>
      <w:r>
        <w:rPr>
          <w:rFonts w:hint="eastAsia" w:ascii="方正仿宋_GBK" w:hAnsi="方正仿宋_GBK" w:eastAsia="方正仿宋_GBK" w:cs="方正仿宋_GBK"/>
          <w:color w:val="auto"/>
          <w:sz w:val="32"/>
          <w:szCs w:val="32"/>
          <w:shd w:val="clear" w:color="auto" w:fill="FFFFFF"/>
          <w:lang w:eastAsia="zh-CN"/>
        </w:rPr>
        <w:t>干部远程教育费用增加</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（二）机关运行经费情况说明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（三）国有资产占用情况说明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（四）政府采购支出情况说明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2"/>
        <w:pageBreakBefore w:val="0"/>
        <w:widowControl/>
        <w:numPr>
          <w:ilvl w:val="0"/>
          <w:numId w:val="1"/>
        </w:numPr>
        <w:kinsoku/>
        <w:wordWrap/>
        <w:overflowPunct/>
        <w:topLinePunct w:val="0"/>
        <w:autoSpaceDN/>
        <w:bidi w:val="0"/>
        <w:adjustRightInd/>
        <w:spacing w:line="560" w:lineRule="exact"/>
        <w:textAlignment w:val="auto"/>
        <w:rPr>
          <w:rFonts w:hint="default"/>
          <w:color w:val="auto"/>
        </w:rPr>
      </w:pPr>
      <w:r>
        <w:rPr>
          <w:color w:val="auto"/>
        </w:rPr>
        <w:t>预算绩效管理情况说明</w:t>
      </w:r>
    </w:p>
    <w:p>
      <w:pPr>
        <w:pStyle w:val="3"/>
        <w:pageBreakBefore w:val="0"/>
        <w:widowControl/>
        <w:numPr>
          <w:ilvl w:val="0"/>
          <w:numId w:val="2"/>
        </w:numPr>
        <w:kinsoku/>
        <w:wordWrap/>
        <w:overflowPunct/>
        <w:topLinePunct w:val="0"/>
        <w:autoSpaceDN/>
        <w:bidi w:val="0"/>
        <w:adjustRightInd/>
        <w:spacing w:line="560" w:lineRule="exact"/>
        <w:textAlignment w:val="auto"/>
        <w:rPr>
          <w:rFonts w:hint="eastAsia"/>
          <w:color w:val="auto"/>
        </w:rPr>
      </w:pPr>
      <w:r>
        <w:rPr>
          <w:rFonts w:hint="eastAsia"/>
          <w:color w:val="auto"/>
        </w:rPr>
        <w:t>单位自评情况</w:t>
      </w:r>
    </w:p>
    <w:p>
      <w:pPr>
        <w:pStyle w:val="14"/>
        <w:pageBreakBefore w:val="0"/>
        <w:widowControl/>
        <w:numPr>
          <w:ilvl w:val="0"/>
          <w:numId w:val="0"/>
        </w:numPr>
        <w:kinsoku/>
        <w:wordWrap/>
        <w:overflowPunct/>
        <w:topLinePunct w:val="0"/>
        <w:autoSpaceDE w:val="0"/>
        <w:autoSpaceDN/>
        <w:bidi w:val="0"/>
        <w:adjustRightInd/>
        <w:spacing w:before="0" w:beforeAutospacing="0" w:after="0" w:afterAutospacing="0" w:line="560" w:lineRule="exact"/>
        <w:ind w:right="0" w:rightChars="0" w:firstLine="640" w:firstLineChars="200"/>
        <w:textAlignment w:val="auto"/>
        <w:rPr>
          <w:rFonts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color w:val="auto"/>
          <w:kern w:val="0"/>
          <w:sz w:val="32"/>
          <w:szCs w:val="32"/>
          <w:shd w:val="clear" w:color="auto" w:fill="FFFFFF"/>
          <w:lang w:eastAsia="zh-CN"/>
        </w:rPr>
        <w:t>本单位未组织开展</w:t>
      </w:r>
      <w:r>
        <w:rPr>
          <w:rFonts w:hint="eastAsia" w:ascii="方正仿宋_GBK" w:hAnsi="方正仿宋_GBK" w:eastAsia="方正仿宋_GBK" w:cs="方正仿宋_GBK"/>
          <w:color w:val="auto"/>
          <w:kern w:val="0"/>
          <w:sz w:val="32"/>
          <w:szCs w:val="32"/>
          <w:shd w:val="clear" w:color="auto" w:fill="FFFFFF"/>
        </w:rPr>
        <w:t>绩效自评</w:t>
      </w:r>
      <w:r>
        <w:rPr>
          <w:rFonts w:hint="eastAsia" w:ascii="方正仿宋_GBK" w:hAnsi="方正仿宋_GBK" w:eastAsia="方正仿宋_GBK" w:cs="方正仿宋_GBK"/>
          <w:color w:val="auto"/>
          <w:kern w:val="0"/>
          <w:sz w:val="32"/>
          <w:szCs w:val="32"/>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（二）单位绩效评价情况</w:t>
      </w:r>
    </w:p>
    <w:p>
      <w:pPr>
        <w:pStyle w:val="13"/>
        <w:pageBreakBefore w:val="0"/>
        <w:widowControl/>
        <w:kinsoku/>
        <w:wordWrap/>
        <w:overflowPunct/>
        <w:topLinePunct w:val="0"/>
        <w:autoSpaceDE w:val="0"/>
        <w:autoSpaceDN/>
        <w:bidi w:val="0"/>
        <w:adjustRightInd/>
        <w:spacing w:line="560" w:lineRule="exact"/>
        <w:ind w:firstLine="643"/>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六、专业名词解释</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七、决算公开联系方式及信息反馈渠道</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13"/>
        <w:pageBreakBefore w:val="0"/>
        <w:widowControl/>
        <w:kinsoku/>
        <w:wordWrap/>
        <w:overflowPunct/>
        <w:topLinePunct w:val="0"/>
        <w:autoSpaceDE w:val="0"/>
        <w:autoSpaceDN/>
        <w:bidi w:val="0"/>
        <w:adjustRightInd/>
        <w:spacing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00"/>
          <w:lang w:val="en-US"/>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tbl>
      <w:tblPr>
        <w:tblStyle w:val="9"/>
        <w:tblW w:w="5005" w:type="pct"/>
        <w:tblInd w:w="0" w:type="dxa"/>
        <w:shd w:val="clear" w:color="auto" w:fill="auto"/>
        <w:tblLayout w:type="autofit"/>
        <w:tblCellMar>
          <w:top w:w="0" w:type="dxa"/>
          <w:left w:w="0" w:type="dxa"/>
          <w:bottom w:w="0" w:type="dxa"/>
          <w:right w:w="0" w:type="dxa"/>
        </w:tblCellMar>
      </w:tblPr>
      <w:tblGrid>
        <w:gridCol w:w="4430"/>
        <w:gridCol w:w="633"/>
        <w:gridCol w:w="3030"/>
        <w:gridCol w:w="10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20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86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2048"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重庆市荣昌区昌元街道退役军人服务站</w:t>
            </w: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86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5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423"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rFonts w:cs="宋体"/>
                <w:color w:val="000000"/>
                <w:sz w:val="20"/>
                <w:szCs w:val="20"/>
              </w:rPr>
              <w:t>58.2</w:t>
            </w:r>
            <w:r>
              <w:rPr>
                <w:color w:val="000000"/>
                <w:sz w:val="20"/>
                <w:szCs w:val="20"/>
                <w:u w:color="auto"/>
              </w:rPr>
              <w:t xml:space="preserve">9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528"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53.04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2.62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2.63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58.29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58.29 </w:t>
            </w:r>
          </w:p>
        </w:tc>
      </w:tr>
      <w:tr>
        <w:tblPrEx>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55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20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58.29 </w:t>
            </w:r>
          </w:p>
        </w:tc>
        <w:tc>
          <w:tcPr>
            <w:tcW w:w="186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58.29 </w:t>
            </w:r>
          </w:p>
        </w:tc>
      </w:tr>
    </w:tbl>
    <w:p>
      <w:pPr>
        <w:spacing w:line="240" w:lineRule="exact"/>
        <w:rPr>
          <w:rFonts w:cs="宋体"/>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shd w:val="clear" w:color="auto" w:fill="auto"/>
        <w:tblLayout w:type="fixed"/>
        <w:tblCellMar>
          <w:top w:w="0" w:type="dxa"/>
          <w:left w:w="0" w:type="dxa"/>
          <w:bottom w:w="0" w:type="dxa"/>
          <w:right w:w="0" w:type="dxa"/>
        </w:tblCellMar>
      </w:tblPr>
      <w:tblGrid>
        <w:gridCol w:w="947"/>
        <w:gridCol w:w="1763"/>
        <w:gridCol w:w="685"/>
        <w:gridCol w:w="685"/>
        <w:gridCol w:w="685"/>
        <w:gridCol w:w="685"/>
        <w:gridCol w:w="760"/>
        <w:gridCol w:w="727"/>
        <w:gridCol w:w="800"/>
        <w:gridCol w:w="81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重庆市荣昌区昌元街道退役军人服务站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58.29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58.29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37"/>
        <w:gridCol w:w="3230"/>
        <w:gridCol w:w="534"/>
        <w:gridCol w:w="534"/>
        <w:gridCol w:w="534"/>
        <w:gridCol w:w="525"/>
        <w:gridCol w:w="525"/>
        <w:gridCol w:w="103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重庆市荣昌区昌元街道退役军人服务站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58.29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58.29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4788" w:type="pct"/>
        <w:tblInd w:w="0" w:type="dxa"/>
        <w:shd w:val="clear" w:color="auto" w:fill="auto"/>
        <w:tblLayout w:type="fixed"/>
        <w:tblCellMar>
          <w:top w:w="0" w:type="dxa"/>
          <w:left w:w="0" w:type="dxa"/>
          <w:bottom w:w="0" w:type="dxa"/>
          <w:right w:w="0" w:type="dxa"/>
        </w:tblCellMar>
      </w:tblPr>
      <w:tblGrid>
        <w:gridCol w:w="2367"/>
        <w:gridCol w:w="743"/>
        <w:gridCol w:w="2294"/>
        <w:gridCol w:w="708"/>
        <w:gridCol w:w="639"/>
        <w:gridCol w:w="685"/>
        <w:gridCol w:w="75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89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重庆市荣昌区昌元街道退役军人服务站</w:t>
            </w:r>
          </w:p>
        </w:tc>
        <w:tc>
          <w:tcPr>
            <w:tcW w:w="140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8"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89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8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1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40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699"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0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53.04</w:t>
            </w: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53.04</w:t>
            </w: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556"/>
        <w:gridCol w:w="3230"/>
        <w:gridCol w:w="1251"/>
        <w:gridCol w:w="1252"/>
        <w:gridCol w:w="1261"/>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58.29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634"/>
        <w:gridCol w:w="1439"/>
        <w:gridCol w:w="730"/>
        <w:gridCol w:w="639"/>
        <w:gridCol w:w="1415"/>
        <w:gridCol w:w="776"/>
        <w:gridCol w:w="617"/>
        <w:gridCol w:w="1495"/>
        <w:gridCol w:w="795"/>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213"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重庆市荣昌区昌元街道退役军人服务站</w:t>
            </w:r>
          </w:p>
        </w:tc>
        <w:tc>
          <w:tcPr>
            <w:tcW w:w="4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213"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58"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7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4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2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6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37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4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2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7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6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11.60</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0.66</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29.58</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213"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53.00</w:t>
            </w:r>
            <w:r>
              <w:rPr>
                <w:color w:val="000000"/>
                <w:sz w:val="18"/>
                <w:u w:color="auto"/>
              </w:rPr>
              <w:t xml:space="preserve"> </w:t>
            </w:r>
          </w:p>
        </w:tc>
        <w:tc>
          <w:tcPr>
            <w:tcW w:w="2893"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50"/>
        <w:gridCol w:w="2745"/>
        <w:gridCol w:w="626"/>
        <w:gridCol w:w="626"/>
        <w:gridCol w:w="626"/>
        <w:gridCol w:w="626"/>
        <w:gridCol w:w="650"/>
        <w:gridCol w:w="1001"/>
      </w:tblGrid>
      <w:tr>
        <w:tblPrEx>
          <w:shd w:val="clear" w:color="auto" w:fill="auto"/>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725"/>
        <w:gridCol w:w="2805"/>
        <w:gridCol w:w="1454"/>
        <w:gridCol w:w="71"/>
        <w:gridCol w:w="1250"/>
        <w:gridCol w:w="27"/>
        <w:gridCol w:w="121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重庆市荣昌区昌元街道退役军人服务站</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重庆市荣昌区昌元街道退役军人服务站</w:t>
            </w: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0.33</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422A5F7"/>
    <w:multiLevelType w:val="singleLevel"/>
    <w:tmpl w:val="7422A5F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F2197A"/>
    <w:rsid w:val="03B87EA0"/>
    <w:rsid w:val="03E3214F"/>
    <w:rsid w:val="044C50BA"/>
    <w:rsid w:val="05553911"/>
    <w:rsid w:val="05BC6D49"/>
    <w:rsid w:val="05C81EAD"/>
    <w:rsid w:val="06194FF1"/>
    <w:rsid w:val="06375D9E"/>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DE30CD"/>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0A337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42CA4"/>
    <w:rsid w:val="22403BD3"/>
    <w:rsid w:val="24B92327"/>
    <w:rsid w:val="24C14514"/>
    <w:rsid w:val="2533755C"/>
    <w:rsid w:val="25791755"/>
    <w:rsid w:val="26396DF4"/>
    <w:rsid w:val="27167136"/>
    <w:rsid w:val="271B442C"/>
    <w:rsid w:val="27B23302"/>
    <w:rsid w:val="29310A5F"/>
    <w:rsid w:val="295D65DA"/>
    <w:rsid w:val="296554D7"/>
    <w:rsid w:val="29C37A35"/>
    <w:rsid w:val="2A076083"/>
    <w:rsid w:val="2A73162E"/>
    <w:rsid w:val="2B167953"/>
    <w:rsid w:val="2B200583"/>
    <w:rsid w:val="2B8209DE"/>
    <w:rsid w:val="2C636760"/>
    <w:rsid w:val="2C6762A3"/>
    <w:rsid w:val="2F8633CF"/>
    <w:rsid w:val="2FCA4B37"/>
    <w:rsid w:val="2FE029D7"/>
    <w:rsid w:val="2FF06E00"/>
    <w:rsid w:val="30586FEC"/>
    <w:rsid w:val="30E23C29"/>
    <w:rsid w:val="313846A2"/>
    <w:rsid w:val="315F0B22"/>
    <w:rsid w:val="31D84415"/>
    <w:rsid w:val="32285F6F"/>
    <w:rsid w:val="32770556"/>
    <w:rsid w:val="329C0913"/>
    <w:rsid w:val="32AA0460"/>
    <w:rsid w:val="3337290D"/>
    <w:rsid w:val="33E31118"/>
    <w:rsid w:val="33EF62B3"/>
    <w:rsid w:val="33EF7674"/>
    <w:rsid w:val="342D7BC6"/>
    <w:rsid w:val="352930DB"/>
    <w:rsid w:val="35573069"/>
    <w:rsid w:val="355F6038"/>
    <w:rsid w:val="358C217E"/>
    <w:rsid w:val="36243E5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B5BB6"/>
    <w:rsid w:val="3D3D4FC4"/>
    <w:rsid w:val="3DDF3AB1"/>
    <w:rsid w:val="3E1D0952"/>
    <w:rsid w:val="3E42660A"/>
    <w:rsid w:val="3E7555B1"/>
    <w:rsid w:val="3E787ED9"/>
    <w:rsid w:val="3EA7495F"/>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3C6E3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1D5E98"/>
    <w:rsid w:val="5A3B59D6"/>
    <w:rsid w:val="5AD134D8"/>
    <w:rsid w:val="5B0F7D70"/>
    <w:rsid w:val="5C263CE4"/>
    <w:rsid w:val="5C5D2777"/>
    <w:rsid w:val="5CF66BF3"/>
    <w:rsid w:val="5D290C69"/>
    <w:rsid w:val="5F2D4A41"/>
    <w:rsid w:val="60C74F6C"/>
    <w:rsid w:val="61025A59"/>
    <w:rsid w:val="613D5BBC"/>
    <w:rsid w:val="61521AF2"/>
    <w:rsid w:val="61536C39"/>
    <w:rsid w:val="62944DD7"/>
    <w:rsid w:val="6319381F"/>
    <w:rsid w:val="63C25DC5"/>
    <w:rsid w:val="63C62057"/>
    <w:rsid w:val="64571EF5"/>
    <w:rsid w:val="64FB113D"/>
    <w:rsid w:val="650B0FC3"/>
    <w:rsid w:val="656152C6"/>
    <w:rsid w:val="657F4E79"/>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DA555D"/>
    <w:rsid w:val="781926BC"/>
    <w:rsid w:val="785E7F4B"/>
    <w:rsid w:val="78985977"/>
    <w:rsid w:val="796D60A4"/>
    <w:rsid w:val="79A031D5"/>
    <w:rsid w:val="7A1525F7"/>
    <w:rsid w:val="7B420052"/>
    <w:rsid w:val="7BD06A28"/>
    <w:rsid w:val="7C3A7C0B"/>
    <w:rsid w:val="7C5248E4"/>
    <w:rsid w:val="7C566698"/>
    <w:rsid w:val="7C5866A3"/>
    <w:rsid w:val="7CBE6EC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8"/>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qFormat/>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2024-10-08T08:20:14Z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