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重庆市荣昌区昌元街道综合行政执法大队</w:t>
      </w:r>
    </w:p>
    <w:p>
      <w:pPr>
        <w:pStyle w:val="8"/>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outlineLvl w:val="0"/>
        <w:rPr>
          <w:rFonts w:hint="default"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2023年度单位决算公开报告</w:t>
      </w:r>
    </w:p>
    <w:p>
      <w:pPr>
        <w:pStyle w:val="2"/>
        <w:pageBreakBefore w:val="0"/>
        <w:widowControl/>
        <w:kinsoku/>
        <w:wordWrap/>
        <w:overflowPunct/>
        <w:topLinePunct w:val="0"/>
        <w:autoSpaceDN/>
        <w:bidi w:val="0"/>
        <w:adjustRightInd/>
        <w:textAlignment w:val="auto"/>
        <w:rPr>
          <w:rFonts w:hint="default"/>
        </w:rPr>
      </w:pPr>
      <w:r>
        <w:t>一、单位基本情况</w:t>
      </w:r>
    </w:p>
    <w:p>
      <w:pPr>
        <w:pStyle w:val="3"/>
        <w:pageBreakBefore w:val="0"/>
        <w:widowControl/>
        <w:kinsoku/>
        <w:wordWrap/>
        <w:overflowPunct/>
        <w:topLinePunct w:val="0"/>
        <w:autoSpaceDN/>
        <w:bidi w:val="0"/>
        <w:adjustRightInd/>
        <w:spacing w:line="560" w:lineRule="exact"/>
        <w:textAlignment w:val="auto"/>
        <w:rPr>
          <w:rFonts w:hint="default"/>
          <w:color w:val="auto"/>
        </w:rPr>
      </w:pPr>
      <w:r>
        <w:rPr>
          <w:color w:val="auto"/>
        </w:rPr>
        <w:t>（一）职能职责</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lang w:val="en-US" w:eastAsia="zh-CN"/>
        </w:rPr>
        <w:t>昌元街道</w:t>
      </w:r>
      <w:r>
        <w:rPr>
          <w:rFonts w:hint="eastAsia" w:ascii="方正仿宋_GBK" w:hAnsi="方正仿宋_GBK" w:eastAsia="方正仿宋_GBK" w:cs="方正仿宋_GBK"/>
          <w:color w:val="auto"/>
          <w:sz w:val="32"/>
          <w:szCs w:val="32"/>
          <w:shd w:val="clear" w:color="auto" w:fill="FFFFFF"/>
        </w:rPr>
        <w:t>综合行政执法大队作为重庆市荣昌区人民政府昌元街道办事处二级预算单位进行预算编制。主要负责集中行使依法授权或委托的农林水利、规划建设、环境保护、卫生计生、文化旅游、民政管理等领域的行政执法权。协调、配合区级有关单位及派驻机构开展其他领域的联合执法</w:t>
      </w:r>
      <w:r>
        <w:rPr>
          <w:rFonts w:hint="eastAsia" w:ascii="方正仿宋_GBK" w:hAnsi="方正仿宋_GBK" w:eastAsia="方正仿宋_GBK" w:cs="方正仿宋_GBK"/>
          <w:color w:val="auto"/>
          <w:sz w:val="32"/>
          <w:szCs w:val="32"/>
          <w:shd w:val="clear" w:color="auto" w:fill="FFFFFF"/>
          <w:lang w:eastAsia="zh-CN"/>
        </w:rPr>
        <w:t>。</w:t>
      </w:r>
    </w:p>
    <w:p>
      <w:pPr>
        <w:pStyle w:val="3"/>
        <w:pageBreakBefore w:val="0"/>
        <w:widowControl/>
        <w:kinsoku/>
        <w:wordWrap/>
        <w:overflowPunct/>
        <w:topLinePunct w:val="0"/>
        <w:autoSpaceDN/>
        <w:bidi w:val="0"/>
        <w:adjustRightInd/>
        <w:spacing w:line="560" w:lineRule="exact"/>
        <w:textAlignment w:val="auto"/>
        <w:rPr>
          <w:rFonts w:hint="default"/>
          <w:color w:val="auto"/>
        </w:rPr>
      </w:pPr>
      <w:r>
        <w:rPr>
          <w:color w:val="auto"/>
        </w:rPr>
        <w:t>（二）机构设置</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00" w:firstLineChars="200"/>
        <w:jc w:val="left"/>
        <w:textAlignment w:val="auto"/>
        <w:outlineLvl w:val="1"/>
        <w:rPr>
          <w:rStyle w:val="12"/>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0"/>
          <w:szCs w:val="30"/>
          <w:shd w:val="clear" w:color="auto" w:fill="FFFFFF"/>
          <w:lang w:val="en-US" w:eastAsia="zh-CN"/>
        </w:rPr>
        <w:t>2023年，</w:t>
      </w:r>
      <w:r>
        <w:rPr>
          <w:rFonts w:hint="eastAsia" w:ascii="方正仿宋_GBK" w:hAnsi="方正仿宋_GBK" w:eastAsia="方正仿宋_GBK" w:cs="方正仿宋_GBK"/>
          <w:color w:val="auto"/>
          <w:kern w:val="0"/>
          <w:sz w:val="30"/>
          <w:szCs w:val="30"/>
          <w:shd w:val="clear" w:color="auto" w:fill="FFFFFF"/>
          <w:lang w:val="en" w:eastAsia="zh-CN"/>
        </w:rPr>
        <w:t>昌元街道综合行政执法大队</w:t>
      </w:r>
      <w:r>
        <w:rPr>
          <w:rFonts w:hint="eastAsia" w:ascii="方正仿宋_GBK" w:hAnsi="方正仿宋_GBK" w:eastAsia="方正仿宋_GBK" w:cs="方正仿宋_GBK"/>
          <w:color w:val="auto"/>
          <w:kern w:val="0"/>
          <w:sz w:val="30"/>
          <w:szCs w:val="30"/>
          <w:shd w:val="clear" w:color="auto" w:fill="FFFFFF"/>
          <w:lang w:val="en"/>
        </w:rPr>
        <w:t>未设置内设机构。</w:t>
      </w:r>
    </w:p>
    <w:p>
      <w:pPr>
        <w:pStyle w:val="2"/>
        <w:pageBreakBefore w:val="0"/>
        <w:widowControl/>
        <w:kinsoku/>
        <w:wordWrap/>
        <w:overflowPunct/>
        <w:topLinePunct w:val="0"/>
        <w:autoSpaceDN/>
        <w:bidi w:val="0"/>
        <w:adjustRightInd/>
        <w:textAlignment w:val="auto"/>
        <w:rPr>
          <w:rFonts w:hint="default"/>
        </w:rPr>
      </w:pPr>
      <w:r>
        <w:t>二、单位决算情况说明</w:t>
      </w:r>
    </w:p>
    <w:p>
      <w:pPr>
        <w:pStyle w:val="3"/>
        <w:bidi w:val="0"/>
      </w:pPr>
      <w:r>
        <w:rPr>
          <w:rFonts w:hint="eastAsia"/>
        </w:rPr>
        <w:t>（一）收入支出决算总体情况说明。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2023年度收入总计232.65万元，支出总计</w:t>
      </w:r>
      <w:r>
        <w:rPr>
          <w:rFonts w:ascii="方正仿宋_GBK" w:hAnsi="方正仿宋_GBK" w:eastAsia="方正仿宋_GBK" w:cs="方正仿宋_GBK"/>
          <w:color w:val="auto"/>
          <w:sz w:val="32"/>
          <w:szCs w:val="32"/>
        </w:rPr>
        <w:t>232.65</w:t>
      </w:r>
      <w:r>
        <w:rPr>
          <w:rFonts w:ascii="方正仿宋_GBK" w:hAnsi="方正仿宋_GBK" w:eastAsia="方正仿宋_GBK" w:cs="方正仿宋_GBK"/>
          <w:color w:val="auto"/>
          <w:sz w:val="32"/>
          <w:szCs w:val="32"/>
          <w:shd w:val="clear" w:color="auto" w:fill="FFFFFF"/>
        </w:rPr>
        <w:t>万元。收支较上年决算数增加73.07万元，增长45.79%，主要原因是</w:t>
      </w:r>
      <w:r>
        <w:rPr>
          <w:rFonts w:hint="eastAsia" w:ascii="方正仿宋_GBK" w:hAnsi="方正仿宋_GBK" w:eastAsia="方正仿宋_GBK" w:cs="方正仿宋_GBK"/>
          <w:color w:val="auto"/>
          <w:sz w:val="32"/>
          <w:szCs w:val="32"/>
          <w:shd w:val="clear" w:color="auto" w:fill="FFFFFF"/>
        </w:rPr>
        <w:t>2023年在编人员新增3名，人员经费和公用经费增加。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2"/>
          <w:rFonts w:hint="default" w:ascii="方正仿宋_GBK" w:hAnsi="方正仿宋_GBK" w:eastAsia="方正仿宋_GBK" w:cs="方正仿宋_GBK"/>
          <w:b w:val="0"/>
          <w:bCs/>
          <w:color w:val="auto"/>
          <w:sz w:val="32"/>
          <w:szCs w:val="32"/>
          <w:shd w:val="clear" w:color="auto" w:fill="FFFFFF"/>
        </w:rPr>
      </w:pPr>
      <w:r>
        <w:rPr>
          <w:rStyle w:val="12"/>
          <w:rFonts w:ascii="方正仿宋_GBK" w:hAnsi="方正仿宋_GBK" w:eastAsia="方正仿宋_GBK" w:cs="方正仿宋_GBK"/>
          <w:b/>
          <w:bCs w:val="0"/>
          <w:color w:val="auto"/>
          <w:sz w:val="32"/>
          <w:szCs w:val="32"/>
          <w:shd w:val="clear" w:color="auto" w:fill="FFFFFF"/>
        </w:rPr>
        <w:t>2.收入情况。</w:t>
      </w:r>
      <w:r>
        <w:rPr>
          <w:rStyle w:val="12"/>
          <w:rFonts w:ascii="方正仿宋_GBK" w:hAnsi="方正仿宋_GBK" w:eastAsia="方正仿宋_GBK" w:cs="方正仿宋_GBK"/>
          <w:b w:val="0"/>
          <w:bCs/>
          <w:color w:val="auto"/>
          <w:sz w:val="32"/>
          <w:szCs w:val="32"/>
          <w:shd w:val="clear" w:color="auto" w:fill="FFFFFF"/>
        </w:rPr>
        <w:t>2023年度收入合计232.65万元，较上年决算数增加73.07万元，增长45.79%，主要原因是</w:t>
      </w:r>
      <w:r>
        <w:rPr>
          <w:rStyle w:val="12"/>
          <w:rFonts w:hint="eastAsia" w:ascii="方正仿宋_GBK" w:hAnsi="方正仿宋_GBK" w:eastAsia="方正仿宋_GBK" w:cs="方正仿宋_GBK"/>
          <w:b w:val="0"/>
          <w:bCs/>
          <w:color w:val="auto"/>
          <w:sz w:val="32"/>
          <w:szCs w:val="32"/>
          <w:shd w:val="clear" w:color="auto" w:fill="FFFFFF"/>
        </w:rPr>
        <w:t>2023年在编人员新增3名，人员经费和公用经费增加。</w:t>
      </w:r>
      <w:r>
        <w:rPr>
          <w:rStyle w:val="12"/>
          <w:rFonts w:ascii="方正仿宋_GBK" w:hAnsi="方正仿宋_GBK" w:eastAsia="方正仿宋_GBK" w:cs="方正仿宋_GBK"/>
          <w:b w:val="0"/>
          <w:bCs/>
          <w:color w:val="auto"/>
          <w:sz w:val="32"/>
          <w:szCs w:val="32"/>
          <w:shd w:val="clear" w:color="auto" w:fill="FFFFFF"/>
        </w:rPr>
        <w:t>其中：财政拨款收入232.65万元，占100.00%；事业收入0.00万元，占0.00%；经营收入0.00万元，占0.00%；其他收入0.00万元，占0.00%。此外，使用非财政拨款结余和专用结余0.00万元，年初结转和结余0.00万元。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2"/>
          <w:rFonts w:hint="default" w:ascii="方正仿宋_GBK" w:hAnsi="方正仿宋_GBK" w:eastAsia="方正仿宋_GBK" w:cs="方正仿宋_GBK"/>
          <w:b w:val="0"/>
          <w:bCs/>
          <w:color w:val="auto"/>
          <w:sz w:val="32"/>
          <w:szCs w:val="32"/>
          <w:shd w:val="clear" w:color="auto" w:fill="FFFFFF"/>
        </w:rPr>
      </w:pPr>
      <w:r>
        <w:rPr>
          <w:rStyle w:val="12"/>
          <w:rFonts w:ascii="方正仿宋_GBK" w:hAnsi="方正仿宋_GBK" w:eastAsia="方正仿宋_GBK" w:cs="方正仿宋_GBK"/>
          <w:b/>
          <w:bCs w:val="0"/>
          <w:color w:val="auto"/>
          <w:sz w:val="32"/>
          <w:szCs w:val="32"/>
          <w:shd w:val="clear" w:color="auto" w:fill="FFFFFF"/>
        </w:rPr>
        <w:t>3.支出情况。</w:t>
      </w:r>
      <w:r>
        <w:rPr>
          <w:rStyle w:val="12"/>
          <w:rFonts w:ascii="方正仿宋_GBK" w:hAnsi="方正仿宋_GBK" w:eastAsia="方正仿宋_GBK" w:cs="方正仿宋_GBK"/>
          <w:b w:val="0"/>
          <w:bCs/>
          <w:color w:val="auto"/>
          <w:sz w:val="32"/>
          <w:szCs w:val="32"/>
          <w:shd w:val="clear" w:color="auto" w:fill="FFFFFF"/>
        </w:rPr>
        <w:t>2023年度支出合计232.65万元，较上年决算数增加73.07万元，增长45.79%，主要原因是</w:t>
      </w:r>
      <w:r>
        <w:rPr>
          <w:rStyle w:val="12"/>
          <w:rFonts w:hint="eastAsia" w:ascii="方正仿宋_GBK" w:hAnsi="方正仿宋_GBK" w:eastAsia="方正仿宋_GBK" w:cs="方正仿宋_GBK"/>
          <w:b w:val="0"/>
          <w:bCs/>
          <w:color w:val="auto"/>
          <w:sz w:val="32"/>
          <w:szCs w:val="32"/>
          <w:shd w:val="clear" w:color="auto" w:fill="FFFFFF"/>
        </w:rPr>
        <w:t>2023年在编人员新增3名，人员经费和公用经费增加</w:t>
      </w:r>
      <w:r>
        <w:rPr>
          <w:rStyle w:val="12"/>
          <w:rFonts w:ascii="方正仿宋_GBK" w:hAnsi="方正仿宋_GBK" w:eastAsia="方正仿宋_GBK" w:cs="方正仿宋_GBK"/>
          <w:b w:val="0"/>
          <w:bCs/>
          <w:color w:val="auto"/>
          <w:sz w:val="32"/>
          <w:szCs w:val="32"/>
          <w:shd w:val="clear" w:color="auto" w:fill="FFFFFF"/>
        </w:rPr>
        <w:t>。其中：基本支出232.65万元，占100.00%；项目支出0.00万元，占0.00%；经营支出0.00万元，占0.00%。此外，结余分配0.00万元。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12"/>
          <w:rFonts w:hint="default" w:ascii="方正仿宋_GBK" w:hAnsi="方正仿宋_GBK" w:eastAsia="方正仿宋_GBK" w:cs="方正仿宋_GBK"/>
          <w:b w:val="0"/>
          <w:bCs/>
          <w:color w:val="auto"/>
          <w:sz w:val="32"/>
          <w:szCs w:val="32"/>
          <w:shd w:val="clear" w:color="auto" w:fill="FFFFFF"/>
        </w:rPr>
      </w:pPr>
      <w:r>
        <w:rPr>
          <w:rStyle w:val="12"/>
          <w:rFonts w:ascii="方正仿宋_GBK" w:hAnsi="方正仿宋_GBK" w:eastAsia="方正仿宋_GBK" w:cs="方正仿宋_GBK"/>
          <w:b/>
          <w:bCs w:val="0"/>
          <w:color w:val="auto"/>
          <w:sz w:val="32"/>
          <w:szCs w:val="32"/>
          <w:shd w:val="clear" w:color="auto" w:fill="FFFFFF"/>
        </w:rPr>
        <w:t>4.结转结余情况</w:t>
      </w:r>
      <w:r>
        <w:rPr>
          <w:rStyle w:val="12"/>
          <w:rFonts w:ascii="方正仿宋_GBK" w:hAnsi="方正仿宋_GBK" w:eastAsia="方正仿宋_GBK" w:cs="方正仿宋_GBK"/>
          <w:b w:val="0"/>
          <w:bCs/>
          <w:color w:val="auto"/>
          <w:sz w:val="32"/>
          <w:szCs w:val="32"/>
          <w:shd w:val="clear" w:color="auto" w:fill="FFFFFF"/>
        </w:rPr>
        <w:t>。2023年度年末结转和结余0.00万元，较上年决算数无增减，主要原因是</w:t>
      </w:r>
      <w:r>
        <w:rPr>
          <w:rStyle w:val="12"/>
          <w:rFonts w:hint="eastAsia" w:ascii="方正仿宋_GBK" w:hAnsi="方正仿宋_GBK" w:eastAsia="方正仿宋_GBK" w:cs="方正仿宋_GBK"/>
          <w:b w:val="0"/>
          <w:bCs/>
          <w:color w:val="auto"/>
          <w:sz w:val="32"/>
          <w:szCs w:val="32"/>
          <w:shd w:val="clear" w:color="auto" w:fill="FFFFFF"/>
        </w:rPr>
        <w:t>财政已收回年底剩余指标，无结转结余。</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（二）财政拨款收入支出决算总体情况说明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方正仿宋_GBK" w:hAnsi="方正仿宋_GBK" w:eastAsia="方正仿宋_GBK" w:cs="方正仿宋_GBK"/>
          <w:b w:val="0"/>
          <w:bCs/>
          <w:color w:val="auto"/>
          <w:sz w:val="32"/>
          <w:szCs w:val="32"/>
          <w:shd w:val="clear" w:color="auto" w:fill="FFFFFF"/>
        </w:rPr>
      </w:pPr>
      <w:r>
        <w:rPr>
          <w:rStyle w:val="12"/>
          <w:rFonts w:ascii="方正仿宋_GBK" w:hAnsi="方正仿宋_GBK" w:eastAsia="方正仿宋_GBK" w:cs="方正仿宋_GBK"/>
          <w:b w:val="0"/>
          <w:bCs/>
          <w:color w:val="auto"/>
          <w:sz w:val="32"/>
          <w:szCs w:val="32"/>
          <w:shd w:val="clear" w:color="auto" w:fill="FFFFFF"/>
        </w:rPr>
        <w:t>2023年度财政拨款收、支总计232.65万元。与2022年相比，财政拨款收、支总计各增加73.07万元，增长45.79%。主要原因是</w:t>
      </w:r>
      <w:r>
        <w:rPr>
          <w:rStyle w:val="12"/>
          <w:rFonts w:hint="eastAsia" w:ascii="方正仿宋_GBK" w:hAnsi="方正仿宋_GBK" w:eastAsia="方正仿宋_GBK" w:cs="方正仿宋_GBK"/>
          <w:b w:val="0"/>
          <w:bCs/>
          <w:color w:val="auto"/>
          <w:sz w:val="32"/>
          <w:szCs w:val="32"/>
          <w:shd w:val="clear" w:color="auto" w:fill="FFFFFF"/>
        </w:rPr>
        <w:t>2023年在编人员新增3名，人员经费和公用经费增加。</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（三）一般公共预算财政拨款收入支出决算情况说明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232.65</w:t>
      </w:r>
      <w:r>
        <w:rPr>
          <w:rFonts w:ascii="方正仿宋_GBK" w:hAnsi="方正仿宋_GBK" w:eastAsia="方正仿宋_GBK" w:cs="方正仿宋_GBK"/>
          <w:color w:val="auto"/>
          <w:sz w:val="32"/>
          <w:szCs w:val="32"/>
          <w:shd w:val="clear" w:color="auto" w:fill="FFFFFF"/>
        </w:rPr>
        <w:t>万元，较上年决算数增加73.07万元，增长45.79%。主要原因是</w:t>
      </w:r>
      <w:r>
        <w:rPr>
          <w:rFonts w:hint="eastAsia" w:ascii="方正仿宋_GBK" w:hAnsi="方正仿宋_GBK" w:eastAsia="方正仿宋_GBK" w:cs="方正仿宋_GBK"/>
          <w:color w:val="auto"/>
          <w:sz w:val="32"/>
          <w:szCs w:val="32"/>
          <w:shd w:val="clear" w:color="auto" w:fill="FFFFFF"/>
        </w:rPr>
        <w:t>2023年在编人员新增3名，人员经</w:t>
      </w:r>
      <w:bookmarkStart w:id="0" w:name="_GoBack"/>
      <w:bookmarkEnd w:id="0"/>
      <w:r>
        <w:rPr>
          <w:rFonts w:hint="eastAsia" w:ascii="方正仿宋_GBK" w:hAnsi="方正仿宋_GBK" w:eastAsia="方正仿宋_GBK" w:cs="方正仿宋_GBK"/>
          <w:color w:val="auto"/>
          <w:sz w:val="32"/>
          <w:szCs w:val="32"/>
          <w:shd w:val="clear" w:color="auto" w:fill="FFFFFF"/>
        </w:rPr>
        <w:t>费和公用经费增加。</w:t>
      </w:r>
      <w:r>
        <w:rPr>
          <w:rFonts w:ascii="方正仿宋_GBK" w:hAnsi="方正仿宋_GBK" w:eastAsia="方正仿宋_GBK" w:cs="方正仿宋_GBK"/>
          <w:color w:val="auto"/>
          <w:sz w:val="32"/>
          <w:szCs w:val="32"/>
          <w:shd w:val="clear" w:color="auto" w:fill="FFFFFF"/>
        </w:rPr>
        <w:t>较年初预算数增加16.00万元，增长7.39%。主要原因是</w:t>
      </w:r>
      <w:r>
        <w:rPr>
          <w:rFonts w:hint="eastAsia" w:ascii="方正仿宋_GBK" w:hAnsi="方正仿宋_GBK" w:eastAsia="方正仿宋_GBK" w:cs="方正仿宋_GBK"/>
          <w:color w:val="auto"/>
          <w:sz w:val="32"/>
          <w:szCs w:val="32"/>
          <w:shd w:val="clear" w:color="auto" w:fill="FFFFFF"/>
        </w:rPr>
        <w:t>2023年在编人员新增3名，人员经费和公用经费增加。</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232.65</w:t>
      </w:r>
      <w:r>
        <w:rPr>
          <w:rFonts w:ascii="方正仿宋_GBK" w:hAnsi="方正仿宋_GBK" w:eastAsia="方正仿宋_GBK" w:cs="方正仿宋_GBK"/>
          <w:color w:val="auto"/>
          <w:sz w:val="32"/>
          <w:szCs w:val="32"/>
          <w:shd w:val="clear" w:color="auto" w:fill="FFFFFF"/>
        </w:rPr>
        <w:t>万元，较上年决算数增加73.07万元，增长45.79%。主要原因是</w:t>
      </w:r>
      <w:r>
        <w:rPr>
          <w:rFonts w:hint="eastAsia" w:ascii="方正仿宋_GBK" w:hAnsi="方正仿宋_GBK" w:eastAsia="方正仿宋_GBK" w:cs="方正仿宋_GBK"/>
          <w:color w:val="auto"/>
          <w:sz w:val="32"/>
          <w:szCs w:val="32"/>
          <w:shd w:val="clear" w:color="auto" w:fill="FFFFFF"/>
        </w:rPr>
        <w:t>2023年在编人员新增3名，人员经费和公用经费增加。</w:t>
      </w:r>
      <w:r>
        <w:rPr>
          <w:rFonts w:ascii="方正仿宋_GBK" w:hAnsi="方正仿宋_GBK" w:eastAsia="方正仿宋_GBK" w:cs="方正仿宋_GBK"/>
          <w:color w:val="auto"/>
          <w:sz w:val="32"/>
          <w:szCs w:val="32"/>
          <w:shd w:val="clear" w:color="auto" w:fill="FFFFFF"/>
        </w:rPr>
        <w:t>较年初预算数增加16.00万元，增长7.39%。主要原因是</w:t>
      </w:r>
      <w:r>
        <w:rPr>
          <w:rFonts w:hint="eastAsia" w:ascii="方正仿宋_GBK" w:hAnsi="方正仿宋_GBK" w:eastAsia="方正仿宋_GBK" w:cs="方正仿宋_GBK"/>
          <w:color w:val="auto"/>
          <w:sz w:val="32"/>
          <w:szCs w:val="32"/>
          <w:shd w:val="clear" w:color="auto" w:fill="FFFFFF"/>
        </w:rPr>
        <w:t>2023年在编人员新增3名，人员经费和公用经费增加。</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rPr>
        <w:t>财政已收回年底剩余指标，无结转结余。</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2"/>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193.71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83.26</w:t>
      </w:r>
      <w:r>
        <w:rPr>
          <w:rFonts w:ascii="方正仿宋_GBK" w:hAnsi="方正仿宋_GBK" w:eastAsia="方正仿宋_GBK" w:cs="方正仿宋_GBK"/>
          <w:color w:val="auto"/>
          <w:sz w:val="32"/>
          <w:szCs w:val="32"/>
          <w:shd w:val="clear" w:color="auto" w:fill="FFFFFF"/>
        </w:rPr>
        <w:t>%，较年初预算数增加18.54万元，增长10.58%，主要原因是</w:t>
      </w:r>
      <w:r>
        <w:rPr>
          <w:rFonts w:hint="eastAsia" w:ascii="方正仿宋_GBK" w:hAnsi="方正仿宋_GBK" w:eastAsia="方正仿宋_GBK" w:cs="方正仿宋_GBK"/>
          <w:color w:val="auto"/>
          <w:sz w:val="32"/>
          <w:szCs w:val="32"/>
          <w:shd w:val="clear" w:color="auto" w:fill="FFFFFF"/>
        </w:rPr>
        <w:t>2023年在编人员新增3名，人员</w:t>
      </w:r>
      <w:r>
        <w:rPr>
          <w:rFonts w:hint="eastAsia" w:ascii="方正仿宋_GBK" w:hAnsi="方正仿宋_GBK" w:eastAsia="方正仿宋_GBK" w:cs="方正仿宋_GBK"/>
          <w:color w:val="auto"/>
          <w:sz w:val="32"/>
          <w:szCs w:val="32"/>
          <w:shd w:val="clear" w:color="auto" w:fill="FFFFFF"/>
          <w:lang w:eastAsia="zh-CN"/>
        </w:rPr>
        <w:t>工资增加</w:t>
      </w:r>
      <w:r>
        <w:rPr>
          <w:rFonts w:ascii="方正仿宋_GBK" w:hAnsi="方正仿宋_GBK" w:eastAsia="方正仿宋_GBK" w:cs="方正仿宋_GBK"/>
          <w:color w:val="auto"/>
          <w:sz w:val="32"/>
          <w:szCs w:val="32"/>
          <w:shd w:val="clear" w:color="auto" w:fill="FFFFFF"/>
        </w:rPr>
        <w:t>。</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19.77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8.50</w:t>
      </w:r>
      <w:r>
        <w:rPr>
          <w:rFonts w:ascii="方正仿宋_GBK" w:hAnsi="方正仿宋_GBK" w:eastAsia="方正仿宋_GBK" w:cs="方正仿宋_GBK"/>
          <w:color w:val="auto"/>
          <w:sz w:val="32"/>
          <w:szCs w:val="32"/>
          <w:shd w:val="clear" w:color="auto" w:fill="FFFFFF"/>
        </w:rPr>
        <w:t>%，较年初预算数减少3.99万元，下降16.79%，主要原因是</w:t>
      </w:r>
      <w:r>
        <w:rPr>
          <w:rFonts w:hint="eastAsia" w:ascii="方正仿宋_GBK" w:hAnsi="方正仿宋_GBK" w:eastAsia="方正仿宋_GBK" w:cs="方正仿宋_GBK"/>
          <w:color w:val="auto"/>
          <w:sz w:val="32"/>
          <w:szCs w:val="32"/>
          <w:shd w:val="clear" w:color="auto" w:fill="FFFFFF"/>
          <w:lang w:val="en-US" w:eastAsia="zh-CN"/>
        </w:rPr>
        <w:t>2名退休参公人员健康休养费预算在本单位，实际在本级发放。</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9.65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4.15</w:t>
      </w:r>
      <w:r>
        <w:rPr>
          <w:rFonts w:ascii="方正仿宋_GBK" w:hAnsi="方正仿宋_GBK" w:eastAsia="方正仿宋_GBK" w:cs="方正仿宋_GBK"/>
          <w:color w:val="auto"/>
          <w:sz w:val="32"/>
          <w:szCs w:val="32"/>
          <w:shd w:val="clear" w:color="auto" w:fill="FFFFFF"/>
        </w:rPr>
        <w:t>%，较年初预算数增加0.72万元，增长8.06%，主要原因是</w:t>
      </w:r>
      <w:r>
        <w:rPr>
          <w:rFonts w:hint="eastAsia" w:ascii="方正仿宋_GBK" w:hAnsi="方正仿宋_GBK" w:eastAsia="方正仿宋_GBK" w:cs="方正仿宋_GBK"/>
          <w:color w:val="auto"/>
          <w:sz w:val="32"/>
          <w:szCs w:val="32"/>
          <w:shd w:val="clear" w:color="auto" w:fill="FFFFFF"/>
          <w:lang w:eastAsia="zh-CN"/>
        </w:rPr>
        <w:t>在编人员增加，医保费用增加</w:t>
      </w:r>
      <w:r>
        <w:rPr>
          <w:rFonts w:ascii="方正仿宋_GBK" w:hAnsi="方正仿宋_GBK" w:eastAsia="方正仿宋_GBK" w:cs="方正仿宋_GBK"/>
          <w:color w:val="auto"/>
          <w:sz w:val="32"/>
          <w:szCs w:val="32"/>
          <w:shd w:val="clear" w:color="auto" w:fill="FFFFFF"/>
        </w:rPr>
        <w:t>。</w:t>
      </w:r>
    </w:p>
    <w:p>
      <w:pPr>
        <w:pageBreakBefore w:val="0"/>
        <w:widowControl/>
        <w:kinsoku/>
        <w:wordWrap/>
        <w:overflowPunct/>
        <w:topLinePunct w:val="0"/>
        <w:autoSpaceDN/>
        <w:bidi w:val="0"/>
        <w:adjustRightInd/>
        <w:spacing w:line="560"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住房保障支出9.51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4.09</w:t>
      </w:r>
      <w:r>
        <w:rPr>
          <w:rFonts w:ascii="方正仿宋_GBK" w:hAnsi="方正仿宋_GBK" w:eastAsia="方正仿宋_GBK" w:cs="方正仿宋_GBK"/>
          <w:color w:val="auto"/>
          <w:sz w:val="32"/>
          <w:szCs w:val="32"/>
          <w:shd w:val="clear" w:color="auto" w:fill="FFFFFF"/>
        </w:rPr>
        <w:t>%，较年初预算数增加0.72万元，增长8.19%，主要原因是</w:t>
      </w:r>
      <w:r>
        <w:rPr>
          <w:rFonts w:hint="eastAsia" w:ascii="方正仿宋_GBK" w:hAnsi="方正仿宋_GBK" w:eastAsia="方正仿宋_GBK" w:cs="方正仿宋_GBK"/>
          <w:color w:val="auto"/>
          <w:sz w:val="32"/>
          <w:szCs w:val="32"/>
          <w:shd w:val="clear" w:color="auto" w:fill="FFFFFF"/>
          <w:lang w:eastAsia="zh-CN"/>
        </w:rPr>
        <w:t>在编人员增加，住房公积金增加</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textAlignment w:val="auto"/>
      </w:pPr>
      <w:r>
        <w:rPr>
          <w:rFonts w:hint="eastAsia"/>
        </w:rPr>
        <w:t>（四）一般公共预算财政拨款基本支出决算情况说明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232.65</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188.93</w:t>
      </w:r>
      <w:r>
        <w:rPr>
          <w:rFonts w:ascii="方正仿宋_GBK" w:hAnsi="方正仿宋_GBK" w:eastAsia="方正仿宋_GBK" w:cs="方正仿宋_GBK"/>
          <w:color w:val="auto"/>
          <w:sz w:val="32"/>
          <w:szCs w:val="32"/>
          <w:shd w:val="clear" w:color="auto" w:fill="FFFFFF"/>
        </w:rPr>
        <w:t>万元，较上年决算数增加57.57万元，增长43.83%，主要原因是</w:t>
      </w:r>
      <w:r>
        <w:rPr>
          <w:rFonts w:hint="eastAsia" w:ascii="方正仿宋_GBK" w:hAnsi="方正仿宋_GBK" w:eastAsia="方正仿宋_GBK" w:cs="方正仿宋_GBK"/>
          <w:color w:val="auto"/>
          <w:sz w:val="32"/>
          <w:szCs w:val="32"/>
          <w:shd w:val="clear" w:color="auto" w:fill="FFFFFF"/>
        </w:rPr>
        <w:t>2023年在编人员新增3名，人员经费</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在编人员工资、各项保险、绩效、公积金支出。</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43.72</w:t>
      </w:r>
      <w:r>
        <w:rPr>
          <w:rFonts w:ascii="方正仿宋_GBK" w:hAnsi="方正仿宋_GBK" w:eastAsia="方正仿宋_GBK" w:cs="方正仿宋_GBK"/>
          <w:color w:val="auto"/>
          <w:sz w:val="32"/>
          <w:szCs w:val="32"/>
          <w:shd w:val="clear" w:color="auto" w:fill="FFFFFF"/>
        </w:rPr>
        <w:t>万元，较上年决算数增加15.50万元，增长54.93%，主要原因是</w:t>
      </w:r>
      <w:r>
        <w:rPr>
          <w:rFonts w:hint="eastAsia" w:ascii="方正仿宋_GBK" w:hAnsi="方正仿宋_GBK" w:eastAsia="方正仿宋_GBK" w:cs="方正仿宋_GBK"/>
          <w:color w:val="auto"/>
          <w:sz w:val="32"/>
          <w:szCs w:val="32"/>
          <w:shd w:val="clear" w:color="auto" w:fill="FFFFFF"/>
        </w:rPr>
        <w:t>2023年在编人员新增3名，</w:t>
      </w:r>
      <w:r>
        <w:rPr>
          <w:rFonts w:hint="eastAsia" w:ascii="方正仿宋_GBK" w:hAnsi="方正仿宋_GBK" w:eastAsia="方正仿宋_GBK" w:cs="方正仿宋_GBK"/>
          <w:color w:val="auto"/>
          <w:sz w:val="32"/>
          <w:szCs w:val="32"/>
          <w:shd w:val="clear" w:color="auto" w:fill="FFFFFF"/>
          <w:lang w:eastAsia="zh-CN"/>
        </w:rPr>
        <w:t>公用</w:t>
      </w:r>
      <w:r>
        <w:rPr>
          <w:rFonts w:hint="eastAsia" w:ascii="方正仿宋_GBK" w:hAnsi="方正仿宋_GBK" w:eastAsia="方正仿宋_GBK" w:cs="方正仿宋_GBK"/>
          <w:color w:val="auto"/>
          <w:sz w:val="32"/>
          <w:szCs w:val="32"/>
          <w:shd w:val="clear" w:color="auto" w:fill="FFFFFF"/>
        </w:rPr>
        <w:t>经费</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日常水、电、通信费用、食堂餐费、工会经费、职工培训费、办公费等</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（五）政府性基金预算收支决算情况说明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本单位2023年度无政府性基金预算财政拨款收支。</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（六）国有资本经营预算财政拨款支出决算情况说明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本单位2023年度无国有资本经营预算财政拨款支出。</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三、“三公”经费情况说明</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（一）“三公”经费支出总体情况说明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“三公”经费支出</w:t>
      </w:r>
      <w:r>
        <w:rPr>
          <w:rFonts w:hint="eastAsia" w:ascii="方正仿宋_GBK" w:hAnsi="方正仿宋_GBK" w:eastAsia="方正仿宋_GBK" w:cs="方正仿宋_GBK"/>
          <w:color w:val="auto"/>
          <w:sz w:val="32"/>
          <w:szCs w:val="32"/>
          <w:shd w:val="clear" w:color="auto" w:fill="FFFFFF"/>
          <w:lang w:eastAsia="zh-CN"/>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（二）“三公”经费分项支出情况</w:t>
      </w:r>
    </w:p>
    <w:p>
      <w:pPr>
        <w:pStyle w:val="13"/>
        <w:pageBreakBefore w:val="0"/>
        <w:widowControl/>
        <w:kinsoku/>
        <w:wordWrap/>
        <w:overflowPunct/>
        <w:topLinePunct w:val="0"/>
        <w:autoSpaceDE w:val="0"/>
        <w:autoSpaceDN/>
        <w:bidi w:val="0"/>
        <w:adjustRightInd/>
        <w:spacing w:line="560" w:lineRule="exact"/>
        <w:ind w:firstLine="643"/>
        <w:textAlignment w:val="auto"/>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2023年度本单位未发生因公出国（境）费用支出。</w:t>
      </w:r>
    </w:p>
    <w:p>
      <w:pPr>
        <w:pStyle w:val="13"/>
        <w:pageBreakBefore w:val="0"/>
        <w:widowControl/>
        <w:kinsoku/>
        <w:wordWrap/>
        <w:overflowPunct/>
        <w:topLinePunct w:val="0"/>
        <w:autoSpaceDE w:val="0"/>
        <w:autoSpaceDN/>
        <w:bidi w:val="0"/>
        <w:adjustRightInd/>
        <w:spacing w:line="560" w:lineRule="exact"/>
        <w:ind w:firstLine="643"/>
        <w:textAlignment w:val="auto"/>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2023年度本单位未发生公务车购置费支出。</w:t>
      </w:r>
    </w:p>
    <w:p>
      <w:pPr>
        <w:pStyle w:val="13"/>
        <w:pageBreakBefore w:val="0"/>
        <w:widowControl/>
        <w:kinsoku/>
        <w:wordWrap/>
        <w:overflowPunct/>
        <w:topLinePunct w:val="0"/>
        <w:autoSpaceDE w:val="0"/>
        <w:autoSpaceDN/>
        <w:bidi w:val="0"/>
        <w:adjustRightInd/>
        <w:spacing w:line="560" w:lineRule="exact"/>
        <w:ind w:firstLine="643"/>
        <w:textAlignment w:val="auto"/>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2023年度本单位未发生公务车运行维护费支出。</w:t>
      </w:r>
    </w:p>
    <w:p>
      <w:pPr>
        <w:pStyle w:val="13"/>
        <w:pageBreakBefore w:val="0"/>
        <w:widowControl/>
        <w:kinsoku/>
        <w:wordWrap/>
        <w:overflowPunct/>
        <w:topLinePunct w:val="0"/>
        <w:autoSpaceDE w:val="0"/>
        <w:autoSpaceDN/>
        <w:bidi w:val="0"/>
        <w:adjustRightInd/>
        <w:spacing w:line="560" w:lineRule="exact"/>
        <w:ind w:firstLine="643"/>
        <w:textAlignment w:val="auto"/>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2023年度本单位未发生公务接待费支出。</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（三）“三公”经费实物量情况</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四、其他需要说明的事项</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（一）财政拨款会议费和培训费情况说明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eastAsia="zh-CN"/>
        </w:rPr>
        <w:t>未发生</w:t>
      </w:r>
      <w:r>
        <w:rPr>
          <w:rFonts w:hint="eastAsia" w:ascii="方正仿宋_GBK" w:hAnsi="方正仿宋_GBK" w:eastAsia="方正仿宋_GBK" w:cs="方正仿宋_GBK"/>
          <w:color w:val="auto"/>
          <w:sz w:val="32"/>
          <w:szCs w:val="32"/>
          <w:shd w:val="clear" w:color="auto" w:fill="FFFFFF"/>
        </w:rPr>
        <w:t>会议费支出</w:t>
      </w:r>
      <w:r>
        <w:rPr>
          <w:rFonts w:hint="eastAsia" w:ascii="方正仿宋_GBK" w:hAnsi="方正仿宋_GBK" w:eastAsia="方正仿宋_GBK" w:cs="方正仿宋_GBK"/>
          <w:color w:val="auto"/>
          <w:sz w:val="32"/>
          <w:szCs w:val="32"/>
          <w:shd w:val="clear" w:color="auto" w:fill="FFFFFF"/>
          <w:lang w:eastAsia="zh-CN"/>
        </w:rPr>
        <w:t>，与上年持平</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1.06</w:t>
      </w:r>
      <w:r>
        <w:rPr>
          <w:rFonts w:ascii="方正仿宋_GBK" w:hAnsi="方正仿宋_GBK" w:eastAsia="方正仿宋_GBK" w:cs="方正仿宋_GBK"/>
          <w:color w:val="auto"/>
          <w:sz w:val="32"/>
          <w:szCs w:val="32"/>
          <w:shd w:val="clear" w:color="auto" w:fill="FFFFFF"/>
        </w:rPr>
        <w:t>万元，较上年决算数增加1.06万元，增长100.00%，主要原因是</w:t>
      </w:r>
      <w:r>
        <w:rPr>
          <w:rFonts w:hint="eastAsia" w:ascii="方正仿宋_GBK" w:hAnsi="方正仿宋_GBK" w:eastAsia="方正仿宋_GBK" w:cs="方正仿宋_GBK"/>
          <w:color w:val="auto"/>
          <w:sz w:val="32"/>
          <w:szCs w:val="32"/>
          <w:shd w:val="clear" w:color="auto" w:fill="FFFFFF"/>
          <w:lang w:eastAsia="zh-CN"/>
        </w:rPr>
        <w:t>职工远程教育费用增加</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（二）机关运行经费情况说明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按照部门决算列报口径，我单位不在机关运行经费统计范围之内。</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（三）国有资产占用情况说明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3"/>
        <w:pageBreakBefore w:val="0"/>
        <w:widowControl/>
        <w:kinsoku/>
        <w:wordWrap/>
        <w:overflowPunct/>
        <w:topLinePunct w:val="0"/>
        <w:autoSpaceDN/>
        <w:bidi w:val="0"/>
        <w:adjustRightInd/>
        <w:textAlignment w:val="auto"/>
      </w:pPr>
      <w:r>
        <w:rPr>
          <w:rFonts w:hint="eastAsia"/>
        </w:rPr>
        <w:t>（四）政府采购支出情况说明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2"/>
        <w:pageBreakBefore w:val="0"/>
        <w:widowControl/>
        <w:numPr>
          <w:ilvl w:val="0"/>
          <w:numId w:val="1"/>
        </w:numPr>
        <w:kinsoku/>
        <w:wordWrap/>
        <w:overflowPunct/>
        <w:topLinePunct w:val="0"/>
        <w:autoSpaceDN/>
        <w:bidi w:val="0"/>
        <w:adjustRightInd/>
        <w:spacing w:line="560" w:lineRule="exact"/>
        <w:textAlignment w:val="auto"/>
        <w:rPr>
          <w:rFonts w:hint="default"/>
          <w:color w:val="auto"/>
        </w:rPr>
      </w:pPr>
      <w:r>
        <w:rPr>
          <w:color w:val="auto"/>
        </w:rPr>
        <w:t>预算绩效管理情况说明</w:t>
      </w:r>
    </w:p>
    <w:p>
      <w:pPr>
        <w:pStyle w:val="3"/>
        <w:pageBreakBefore w:val="0"/>
        <w:widowControl/>
        <w:numPr>
          <w:ilvl w:val="0"/>
          <w:numId w:val="2"/>
        </w:numPr>
        <w:kinsoku/>
        <w:wordWrap/>
        <w:overflowPunct/>
        <w:topLinePunct w:val="0"/>
        <w:autoSpaceDN/>
        <w:bidi w:val="0"/>
        <w:adjustRightInd/>
        <w:spacing w:line="560" w:lineRule="exact"/>
        <w:textAlignment w:val="auto"/>
        <w:rPr>
          <w:rFonts w:hint="eastAsia"/>
          <w:color w:val="auto"/>
        </w:rPr>
      </w:pPr>
      <w:r>
        <w:rPr>
          <w:rFonts w:hint="eastAsia"/>
          <w:color w:val="auto"/>
        </w:rPr>
        <w:t>单位自评情况</w:t>
      </w:r>
    </w:p>
    <w:p>
      <w:pPr>
        <w:pStyle w:val="14"/>
        <w:pageBreakBefore w:val="0"/>
        <w:widowControl/>
        <w:numPr>
          <w:ilvl w:val="0"/>
          <w:numId w:val="0"/>
        </w:numPr>
        <w:kinsoku/>
        <w:wordWrap/>
        <w:overflowPunct/>
        <w:topLinePunct w:val="0"/>
        <w:autoSpaceDE w:val="0"/>
        <w:autoSpaceDN/>
        <w:bidi w:val="0"/>
        <w:adjustRightInd/>
        <w:spacing w:before="0" w:beforeAutospacing="0" w:after="0" w:afterAutospacing="0" w:line="560" w:lineRule="exact"/>
        <w:ind w:right="0" w:rightChars="0" w:firstLine="640" w:firstLineChars="200"/>
        <w:textAlignment w:val="auto"/>
        <w:rPr>
          <w:rFonts w:ascii="方正仿宋_GBK" w:hAnsi="方正仿宋_GBK" w:eastAsia="方正仿宋_GBK" w:cs="方正仿宋_GBK"/>
          <w:color w:val="auto"/>
          <w:sz w:val="32"/>
          <w:szCs w:val="32"/>
          <w:highlight w:val="yellow"/>
          <w:shd w:val="clear" w:color="auto" w:fill="FFFFFF"/>
        </w:rPr>
      </w:pPr>
      <w:r>
        <w:rPr>
          <w:rFonts w:hint="eastAsia" w:ascii="方正仿宋_GBK" w:hAnsi="方正仿宋_GBK" w:eastAsia="方正仿宋_GBK" w:cs="方正仿宋_GBK"/>
          <w:color w:val="auto"/>
          <w:kern w:val="0"/>
          <w:sz w:val="32"/>
          <w:szCs w:val="32"/>
          <w:shd w:val="clear" w:color="auto" w:fill="FFFFFF"/>
          <w:lang w:eastAsia="zh-CN"/>
        </w:rPr>
        <w:t>本单位未组织开展</w:t>
      </w:r>
      <w:r>
        <w:rPr>
          <w:rFonts w:hint="eastAsia" w:ascii="方正仿宋_GBK" w:hAnsi="方正仿宋_GBK" w:eastAsia="方正仿宋_GBK" w:cs="方正仿宋_GBK"/>
          <w:color w:val="auto"/>
          <w:kern w:val="0"/>
          <w:sz w:val="32"/>
          <w:szCs w:val="32"/>
          <w:shd w:val="clear" w:color="auto" w:fill="FFFFFF"/>
        </w:rPr>
        <w:t>绩效自评</w:t>
      </w:r>
      <w:r>
        <w:rPr>
          <w:rFonts w:hint="eastAsia" w:ascii="方正仿宋_GBK" w:hAnsi="方正仿宋_GBK" w:eastAsia="方正仿宋_GBK" w:cs="方正仿宋_GBK"/>
          <w:color w:val="auto"/>
          <w:kern w:val="0"/>
          <w:sz w:val="32"/>
          <w:szCs w:val="32"/>
        </w:rPr>
        <w:t>。</w:t>
      </w:r>
    </w:p>
    <w:p>
      <w:pPr>
        <w:pStyle w:val="3"/>
        <w:pageBreakBefore w:val="0"/>
        <w:widowControl/>
        <w:kinsoku/>
        <w:wordWrap/>
        <w:overflowPunct/>
        <w:topLinePunct w:val="0"/>
        <w:autoSpaceDN/>
        <w:bidi w:val="0"/>
        <w:adjustRightInd/>
        <w:spacing w:line="560" w:lineRule="exact"/>
        <w:textAlignment w:val="auto"/>
        <w:rPr>
          <w:color w:val="auto"/>
        </w:rPr>
      </w:pPr>
      <w:r>
        <w:rPr>
          <w:rFonts w:hint="eastAsia"/>
          <w:color w:val="auto"/>
        </w:rPr>
        <w:t>（二）单位绩效评价情况</w:t>
      </w:r>
    </w:p>
    <w:p>
      <w:pPr>
        <w:pStyle w:val="13"/>
        <w:pageBreakBefore w:val="0"/>
        <w:widowControl/>
        <w:kinsoku/>
        <w:wordWrap/>
        <w:overflowPunct/>
        <w:topLinePunct w:val="0"/>
        <w:autoSpaceDE w:val="0"/>
        <w:autoSpaceDN/>
        <w:bidi w:val="0"/>
        <w:adjustRightInd/>
        <w:spacing w:line="560" w:lineRule="exact"/>
        <w:ind w:firstLine="643"/>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未组织开</w:t>
      </w:r>
      <w:r>
        <w:rPr>
          <w:rFonts w:hint="eastAsia" w:ascii="方正仿宋_GBK" w:hAnsi="方正仿宋_GBK" w:eastAsia="方正仿宋_GBK" w:cs="方正仿宋_GBK"/>
          <w:color w:val="auto"/>
          <w:sz w:val="32"/>
          <w:szCs w:val="32"/>
          <w:shd w:val="clear" w:color="auto" w:fill="FFFFFF"/>
        </w:rPr>
        <w:t>展绩效评价</w:t>
      </w:r>
      <w:r>
        <w:rPr>
          <w:rFonts w:hint="eastAsia" w:ascii="方正仿宋_GBK" w:hAnsi="方正仿宋_GBK" w:eastAsia="方正仿宋_GBK" w:cs="方正仿宋_GBK"/>
          <w:color w:val="auto"/>
          <w:sz w:val="32"/>
          <w:szCs w:val="32"/>
          <w:shd w:val="clear" w:color="auto" w:fill="FFFFFF"/>
          <w:lang w:eastAsia="zh-CN"/>
        </w:rPr>
        <w:t>。</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六、专业名词解释</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Style w:val="18"/>
          <w:color w:val="auto"/>
        </w:rPr>
        <w:t>（十七）其他资本性支出（支出经济分类科目类级）：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pageBreakBefore w:val="0"/>
        <w:widowControl/>
        <w:kinsoku/>
        <w:wordWrap/>
        <w:overflowPunct/>
        <w:topLinePunct w:val="0"/>
        <w:autoSpaceDN/>
        <w:bidi w:val="0"/>
        <w:adjustRightInd/>
        <w:spacing w:line="560" w:lineRule="exact"/>
        <w:textAlignment w:val="auto"/>
        <w:rPr>
          <w:rFonts w:hint="default"/>
          <w:color w:val="auto"/>
        </w:rPr>
      </w:pPr>
      <w:r>
        <w:rPr>
          <w:color w:val="auto"/>
        </w:rPr>
        <w:t>七、决算公开联系方式及信息反馈渠道</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王俊美，联系电话：023-61478264</w:t>
      </w:r>
    </w:p>
    <w:p>
      <w:pPr>
        <w:pStyle w:val="13"/>
        <w:autoSpaceDE w:val="0"/>
        <w:ind w:firstLine="0" w:firstLineChars="0"/>
        <w:rPr>
          <w:rFonts w:hint="eastAsia" w:ascii="方正仿宋_GBK" w:hAnsi="方正仿宋_GBK" w:eastAsia="方正仿宋_GBK" w:cs="方正仿宋_GBK"/>
          <w:sz w:val="32"/>
          <w:szCs w:val="32"/>
          <w:shd w:val="clear" w:color="auto" w:fill="FFFF00"/>
        </w:rPr>
      </w:pPr>
    </w:p>
    <w:p>
      <w:pPr>
        <w:pStyle w:val="13"/>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9"/>
        <w:tblW w:w="5005" w:type="pct"/>
        <w:tblInd w:w="0" w:type="dxa"/>
        <w:shd w:val="clear" w:color="auto" w:fill="auto"/>
        <w:tblLayout w:type="autofit"/>
        <w:tblCellMar>
          <w:top w:w="0" w:type="dxa"/>
          <w:left w:w="0" w:type="dxa"/>
          <w:bottom w:w="0" w:type="dxa"/>
          <w:right w:w="0" w:type="dxa"/>
        </w:tblCellMar>
      </w:tblPr>
      <w:tblGrid>
        <w:gridCol w:w="4630"/>
        <w:gridCol w:w="633"/>
        <w:gridCol w:w="3030"/>
        <w:gridCol w:w="1030"/>
      </w:tblGrid>
      <w:tr>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shd w:val="clear" w:color="auto" w:fill="auto"/>
          <w:tblCellMar>
            <w:top w:w="0" w:type="dxa"/>
            <w:left w:w="0" w:type="dxa"/>
            <w:bottom w:w="0" w:type="dxa"/>
            <w:right w:w="0" w:type="dxa"/>
          </w:tblCellMar>
        </w:tblPrEx>
        <w:trPr>
          <w:trHeight w:val="232" w:hRule="atLeast"/>
        </w:trPr>
        <w:tc>
          <w:tcPr>
            <w:tcW w:w="214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497"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78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58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140"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重庆市荣昌区昌元街道综合行政执法大队</w:t>
            </w:r>
          </w:p>
        </w:tc>
        <w:tc>
          <w:tcPr>
            <w:tcW w:w="497"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78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58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243" w:hRule="atLeast"/>
        </w:trPr>
        <w:tc>
          <w:tcPr>
            <w:tcW w:w="26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62"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232.65 </w:t>
            </w: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193.71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497"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19.77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9.65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9.51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232.65 </w:t>
            </w: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232.65 </w:t>
            </w:r>
          </w:p>
        </w:tc>
      </w:tr>
      <w:tr>
        <w:tblPrEx>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c>
          <w:tcPr>
            <w:tcW w:w="17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58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 </w:t>
            </w:r>
          </w:p>
        </w:tc>
      </w:tr>
      <w:tr>
        <w:tblPrEx>
          <w:shd w:val="clear" w:color="auto" w:fill="auto"/>
          <w:tblCellMar>
            <w:top w:w="0" w:type="dxa"/>
            <w:left w:w="0" w:type="dxa"/>
            <w:bottom w:w="0" w:type="dxa"/>
            <w:right w:w="0" w:type="dxa"/>
          </w:tblCellMar>
        </w:tblPrEx>
        <w:trPr>
          <w:trHeight w:val="253" w:hRule="atLeast"/>
        </w:trPr>
        <w:tc>
          <w:tcPr>
            <w:tcW w:w="214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232.65 </w:t>
            </w:r>
          </w:p>
        </w:tc>
        <w:tc>
          <w:tcPr>
            <w:tcW w:w="1780"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5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olor w:val="000000"/>
                <w:sz w:val="20"/>
                <w:szCs w:val="20"/>
                <w:u w:color="auto"/>
              </w:rPr>
            </w:pPr>
            <w:r>
              <w:rPr>
                <w:color w:val="000000"/>
                <w:sz w:val="20"/>
                <w:szCs w:val="20"/>
                <w:u w:color="auto"/>
              </w:rPr>
              <w:t xml:space="preserve">232.65 </w:t>
            </w:r>
          </w:p>
        </w:tc>
      </w:tr>
    </w:tbl>
    <w:p>
      <w:pPr>
        <w:spacing w:line="240" w:lineRule="exact"/>
        <w:rPr>
          <w:rFonts w:cs="宋体"/>
          <w:sz w:val="20"/>
          <w:szCs w:val="20"/>
        </w:rPr>
        <w:sectPr>
          <w:headerReference r:id="rId4" w:type="default"/>
          <w:footerReference r:id="rId5" w:type="default"/>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shd w:val="clear" w:color="auto" w:fill="auto"/>
        <w:tblLayout w:type="fixed"/>
        <w:tblCellMar>
          <w:top w:w="0" w:type="dxa"/>
          <w:left w:w="0" w:type="dxa"/>
          <w:bottom w:w="0" w:type="dxa"/>
          <w:right w:w="0" w:type="dxa"/>
        </w:tblCellMar>
      </w:tblPr>
      <w:tblGrid>
        <w:gridCol w:w="947"/>
        <w:gridCol w:w="1763"/>
        <w:gridCol w:w="685"/>
        <w:gridCol w:w="685"/>
        <w:gridCol w:w="685"/>
        <w:gridCol w:w="685"/>
        <w:gridCol w:w="760"/>
        <w:gridCol w:w="727"/>
        <w:gridCol w:w="800"/>
        <w:gridCol w:w="81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重庆市荣昌区昌元街道综合行政执法大队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auto"/>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232.65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232.65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37"/>
        <w:gridCol w:w="3230"/>
        <w:gridCol w:w="635"/>
        <w:gridCol w:w="635"/>
        <w:gridCol w:w="332"/>
        <w:gridCol w:w="525"/>
        <w:gridCol w:w="525"/>
        <w:gridCol w:w="1031"/>
      </w:tblGrid>
      <w:tr>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重庆市荣昌区昌元街道综合行政执法大队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auto"/>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232.65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232.65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4943" w:type="pct"/>
        <w:tblInd w:w="0" w:type="dxa"/>
        <w:shd w:val="clear" w:color="auto" w:fill="auto"/>
        <w:tblLayout w:type="fixed"/>
        <w:tblCellMar>
          <w:top w:w="0" w:type="dxa"/>
          <w:left w:w="0" w:type="dxa"/>
          <w:bottom w:w="0" w:type="dxa"/>
          <w:right w:w="0" w:type="dxa"/>
        </w:tblCellMar>
      </w:tblPr>
      <w:tblGrid>
        <w:gridCol w:w="2333"/>
        <w:gridCol w:w="735"/>
        <w:gridCol w:w="2284"/>
        <w:gridCol w:w="793"/>
        <w:gridCol w:w="761"/>
        <w:gridCol w:w="742"/>
        <w:gridCol w:w="804"/>
      </w:tblGrid>
      <w:tr>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1815"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重庆市荣昌区昌元街道综合行政执法大队</w:t>
            </w:r>
          </w:p>
        </w:tc>
        <w:tc>
          <w:tcPr>
            <w:tcW w:w="135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1815"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1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3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35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1833"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auto"/>
          <w:tblCellMar>
            <w:top w:w="0" w:type="dxa"/>
            <w:left w:w="0" w:type="dxa"/>
            <w:bottom w:w="0" w:type="dxa"/>
            <w:right w:w="0" w:type="dxa"/>
          </w:tblCellMar>
        </w:tblPrEx>
        <w:trPr>
          <w:trHeight w:val="90" w:hRule="atLeast"/>
        </w:trPr>
        <w:tc>
          <w:tcPr>
            <w:tcW w:w="13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5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4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232.65</w:t>
            </w:r>
            <w:r>
              <w:rPr>
                <w:color w:val="000000"/>
                <w:sz w:val="18"/>
                <w:u w:color="auto"/>
              </w:rPr>
              <w:t xml:space="preserve"> </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193.71</w:t>
            </w: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193.71</w:t>
            </w: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19.77</w:t>
            </w: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19.77</w:t>
            </w: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9.65</w:t>
            </w: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9.65</w:t>
            </w: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9.51</w:t>
            </w: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9.51</w:t>
            </w: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232.65</w:t>
            </w:r>
            <w:r>
              <w:rPr>
                <w:color w:val="000000"/>
                <w:sz w:val="18"/>
                <w:u w:color="auto"/>
              </w:rPr>
              <w:t xml:space="preserve"> </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232.65</w:t>
            </w: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232.65</w:t>
            </w: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232.65</w:t>
            </w:r>
            <w:r>
              <w:rPr>
                <w:color w:val="000000"/>
                <w:sz w:val="18"/>
                <w:u w:color="auto"/>
              </w:rPr>
              <w:t xml:space="preserve"> </w:t>
            </w:r>
          </w:p>
        </w:tc>
        <w:tc>
          <w:tcPr>
            <w:tcW w:w="13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232.65</w:t>
            </w:r>
            <w:r>
              <w:rPr>
                <w:color w:val="000000"/>
                <w:sz w:val="18"/>
                <w:u w:color="auto"/>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232.65</w:t>
            </w:r>
            <w:r>
              <w:rPr>
                <w:color w:val="000000"/>
                <w:sz w:val="18"/>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25"/>
        <w:gridCol w:w="3230"/>
        <w:gridCol w:w="1228"/>
        <w:gridCol w:w="1229"/>
        <w:gridCol w:w="1238"/>
      </w:tblGrid>
      <w:tr>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232.65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193.71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193.71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193.71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shd w:val="clear" w:color="auto" w:fill="auto"/>
        <w:tblLayout w:type="fixed"/>
        <w:tblCellMar>
          <w:top w:w="0" w:type="dxa"/>
          <w:left w:w="0" w:type="dxa"/>
          <w:bottom w:w="0" w:type="dxa"/>
          <w:right w:w="0" w:type="dxa"/>
        </w:tblCellMar>
      </w:tblPr>
      <w:tblGrid>
        <w:gridCol w:w="683"/>
        <w:gridCol w:w="1489"/>
        <w:gridCol w:w="822"/>
        <w:gridCol w:w="646"/>
        <w:gridCol w:w="1364"/>
        <w:gridCol w:w="739"/>
        <w:gridCol w:w="614"/>
        <w:gridCol w:w="1385"/>
        <w:gridCol w:w="797"/>
      </w:tblGrid>
      <w:tr>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271"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重庆市荣昌区昌元街道综合行政执法大队</w:t>
            </w:r>
          </w:p>
        </w:tc>
        <w:tc>
          <w:tcPr>
            <w:tcW w:w="48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auto"/>
          <w:tblCellMar>
            <w:top w:w="0" w:type="dxa"/>
            <w:left w:w="0" w:type="dxa"/>
            <w:bottom w:w="0" w:type="dxa"/>
            <w:right w:w="0" w:type="dxa"/>
          </w:tblCellMar>
        </w:tblPrEx>
        <w:trPr>
          <w:trHeight w:val="90" w:hRule="atLeast"/>
        </w:trPr>
        <w:tc>
          <w:tcPr>
            <w:tcW w:w="1271"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9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3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1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75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24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auto"/>
          <w:tblCellMar>
            <w:top w:w="0" w:type="dxa"/>
            <w:left w:w="0" w:type="dxa"/>
            <w:bottom w:w="0" w:type="dxa"/>
            <w:right w:w="0" w:type="dxa"/>
          </w:tblCellMar>
        </w:tblPrEx>
        <w:trPr>
          <w:trHeight w:val="312" w:hRule="atLeast"/>
        </w:trPr>
        <w:tc>
          <w:tcPr>
            <w:tcW w:w="399"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7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7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79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3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59"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1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auto"/>
          <w:tblCellMar>
            <w:top w:w="0" w:type="dxa"/>
            <w:left w:w="0" w:type="dxa"/>
            <w:bottom w:w="0" w:type="dxa"/>
            <w:right w:w="0" w:type="dxa"/>
          </w:tblCellMar>
        </w:tblPrEx>
        <w:trPr>
          <w:trHeight w:val="312" w:hRule="atLeast"/>
        </w:trPr>
        <w:tc>
          <w:tcPr>
            <w:tcW w:w="39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7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7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79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3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6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188.53</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43.03</w:t>
            </w: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46.57</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w:t>
            </w: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99.20</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12.61</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6.57</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9.51</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14.31</w:t>
            </w: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18.02</w:t>
            </w: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w:t>
            </w: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7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271"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188.93</w:t>
            </w:r>
            <w:r>
              <w:rPr>
                <w:color w:val="000000"/>
                <w:sz w:val="18"/>
                <w:u w:color="auto"/>
              </w:rPr>
              <w:t xml:space="preserve"> </w:t>
            </w:r>
          </w:p>
        </w:tc>
        <w:tc>
          <w:tcPr>
            <w:tcW w:w="2780"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4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83"/>
        <w:gridCol w:w="2801"/>
        <w:gridCol w:w="613"/>
        <w:gridCol w:w="613"/>
        <w:gridCol w:w="613"/>
        <w:gridCol w:w="613"/>
        <w:gridCol w:w="636"/>
        <w:gridCol w:w="978"/>
      </w:tblGrid>
      <w:tr>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801"/>
        <w:gridCol w:w="2929"/>
        <w:gridCol w:w="1264"/>
        <w:gridCol w:w="71"/>
        <w:gridCol w:w="1241"/>
        <w:gridCol w:w="27"/>
        <w:gridCol w:w="1218"/>
      </w:tblGrid>
      <w:tr>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重庆市荣昌区昌元街道综合行政执法大队</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2317"/>
        <w:gridCol w:w="1243"/>
        <w:gridCol w:w="1214"/>
        <w:gridCol w:w="2591"/>
        <w:gridCol w:w="1185"/>
      </w:tblGrid>
      <w:tr>
        <w:tblPrEx>
          <w:shd w:val="clear" w:color="auto" w:fill="auto"/>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shd w:val="clear" w:color="auto" w:fill="auto"/>
          <w:tblCellMar>
            <w:top w:w="0" w:type="dxa"/>
            <w:left w:w="0" w:type="dxa"/>
            <w:bottom w:w="0" w:type="dxa"/>
            <w:right w:w="0" w:type="dxa"/>
          </w:tblCellMar>
        </w:tblPrEx>
        <w:trPr>
          <w:trHeight w:val="175" w:hRule="atLeast"/>
        </w:trPr>
        <w:tc>
          <w:tcPr>
            <w:tcW w:w="1354" w:type="pct"/>
            <w:vMerge w:val="restart"/>
            <w:tcBorders>
              <w:top w:val="nil"/>
              <w:left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重庆市荣昌区昌元街道综合行政执法大队</w:t>
            </w: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auto"/>
          <w:tblCellMar>
            <w:top w:w="0" w:type="dxa"/>
            <w:left w:w="0" w:type="dxa"/>
            <w:bottom w:w="0" w:type="dxa"/>
            <w:right w:w="0" w:type="dxa"/>
          </w:tblCellMar>
        </w:tblPrEx>
        <w:trPr>
          <w:trHeight w:val="175" w:hRule="atLeast"/>
        </w:trPr>
        <w:tc>
          <w:tcPr>
            <w:tcW w:w="1354" w:type="pct"/>
            <w:vMerge w:val="continue"/>
            <w:tcBorders>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69"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shd w:val="clear" w:color="auto" w:fill="auto"/>
          <w:tblCellMar>
            <w:top w:w="0" w:type="dxa"/>
            <w:left w:w="0" w:type="dxa"/>
            <w:bottom w:w="0" w:type="dxa"/>
            <w:right w:w="0" w:type="dxa"/>
          </w:tblCellMar>
        </w:tblPrEx>
        <w:trPr>
          <w:trHeight w:val="24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7422A5F7"/>
    <w:multiLevelType w:val="singleLevel"/>
    <w:tmpl w:val="7422A5F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C7220"/>
    <w:rsid w:val="009D2B67"/>
    <w:rsid w:val="00B03CCD"/>
    <w:rsid w:val="00C20C3E"/>
    <w:rsid w:val="00F73F90"/>
    <w:rsid w:val="01474EBF"/>
    <w:rsid w:val="01F3521E"/>
    <w:rsid w:val="03B87EA0"/>
    <w:rsid w:val="03D90A77"/>
    <w:rsid w:val="03E3214F"/>
    <w:rsid w:val="03F87B2C"/>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AC2A12"/>
    <w:rsid w:val="0AB54CC0"/>
    <w:rsid w:val="0AB73901"/>
    <w:rsid w:val="0B9335CE"/>
    <w:rsid w:val="0BF2311A"/>
    <w:rsid w:val="0C7927C4"/>
    <w:rsid w:val="0C9B098C"/>
    <w:rsid w:val="0D673E11"/>
    <w:rsid w:val="0DDA54E4"/>
    <w:rsid w:val="0E3A5F83"/>
    <w:rsid w:val="0F836721"/>
    <w:rsid w:val="0FA25D96"/>
    <w:rsid w:val="10345882"/>
    <w:rsid w:val="107B59E5"/>
    <w:rsid w:val="10EC0126"/>
    <w:rsid w:val="10F70B9A"/>
    <w:rsid w:val="111445C7"/>
    <w:rsid w:val="113105BA"/>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B4CF1"/>
    <w:rsid w:val="24B92327"/>
    <w:rsid w:val="24C14514"/>
    <w:rsid w:val="2533755C"/>
    <w:rsid w:val="25791755"/>
    <w:rsid w:val="25F85021"/>
    <w:rsid w:val="26396DF4"/>
    <w:rsid w:val="27167136"/>
    <w:rsid w:val="271B442C"/>
    <w:rsid w:val="27B23302"/>
    <w:rsid w:val="29310A5F"/>
    <w:rsid w:val="29C37A35"/>
    <w:rsid w:val="2A076083"/>
    <w:rsid w:val="2A73162E"/>
    <w:rsid w:val="2B167953"/>
    <w:rsid w:val="2B1D1189"/>
    <w:rsid w:val="2B200583"/>
    <w:rsid w:val="2B8209DE"/>
    <w:rsid w:val="2C636760"/>
    <w:rsid w:val="2C6762A3"/>
    <w:rsid w:val="2CB60FB9"/>
    <w:rsid w:val="2E7745CB"/>
    <w:rsid w:val="2F1C2723"/>
    <w:rsid w:val="2FCA4B37"/>
    <w:rsid w:val="2FE029D7"/>
    <w:rsid w:val="2FF06E00"/>
    <w:rsid w:val="30586FEC"/>
    <w:rsid w:val="315F0B22"/>
    <w:rsid w:val="31D84415"/>
    <w:rsid w:val="32285F6F"/>
    <w:rsid w:val="32770556"/>
    <w:rsid w:val="329C0913"/>
    <w:rsid w:val="32AA0460"/>
    <w:rsid w:val="32E14E84"/>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674814"/>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8F7AAE"/>
    <w:rsid w:val="4B135857"/>
    <w:rsid w:val="4B7951CB"/>
    <w:rsid w:val="4B7C315C"/>
    <w:rsid w:val="4DAC4ACA"/>
    <w:rsid w:val="4DBB32BF"/>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D20570"/>
    <w:rsid w:val="60C74F6C"/>
    <w:rsid w:val="61025A59"/>
    <w:rsid w:val="613D5BBC"/>
    <w:rsid w:val="61536C39"/>
    <w:rsid w:val="61B00DEE"/>
    <w:rsid w:val="62944DD7"/>
    <w:rsid w:val="6319381F"/>
    <w:rsid w:val="63C25DC5"/>
    <w:rsid w:val="63C62057"/>
    <w:rsid w:val="64571EF5"/>
    <w:rsid w:val="64594EEE"/>
    <w:rsid w:val="64FB113D"/>
    <w:rsid w:val="656152C6"/>
    <w:rsid w:val="6587477F"/>
    <w:rsid w:val="658C3A08"/>
    <w:rsid w:val="65C031CA"/>
    <w:rsid w:val="65CE6852"/>
    <w:rsid w:val="66267C04"/>
    <w:rsid w:val="663F505A"/>
    <w:rsid w:val="66EE5541"/>
    <w:rsid w:val="67924660"/>
    <w:rsid w:val="68407834"/>
    <w:rsid w:val="6883293E"/>
    <w:rsid w:val="688412AD"/>
    <w:rsid w:val="68EB1B71"/>
    <w:rsid w:val="68F24E4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2E0B2D"/>
    <w:rsid w:val="750837F0"/>
    <w:rsid w:val="754758CF"/>
    <w:rsid w:val="764F62AB"/>
    <w:rsid w:val="765C45EC"/>
    <w:rsid w:val="768A7619"/>
    <w:rsid w:val="772E1EBA"/>
    <w:rsid w:val="781926BC"/>
    <w:rsid w:val="796D60A4"/>
    <w:rsid w:val="79A031D5"/>
    <w:rsid w:val="7A1525F7"/>
    <w:rsid w:val="7B420052"/>
    <w:rsid w:val="7BD06A28"/>
    <w:rsid w:val="7C361B7A"/>
    <w:rsid w:val="7C3A7C0B"/>
    <w:rsid w:val="7C5248E4"/>
    <w:rsid w:val="7C566698"/>
    <w:rsid w:val="7C5866A3"/>
    <w:rsid w:val="7C902D49"/>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768" w:firstLineChars="200"/>
      <w:outlineLvl w:val="0"/>
    </w:pPr>
    <w:rPr>
      <w:rFonts w:hint="eastAsia" w:ascii="宋体" w:hAnsi="宋体" w:eastAsia="方正黑体_GBK" w:cs="Times New Roman"/>
      <w:kern w:val="44"/>
      <w:sz w:val="32"/>
    </w:rPr>
  </w:style>
  <w:style w:type="paragraph" w:styleId="3">
    <w:name w:val="heading 2"/>
    <w:basedOn w:val="1"/>
    <w:next w:val="1"/>
    <w:link w:val="18"/>
    <w:unhideWhenUsed/>
    <w:qFormat/>
    <w:uiPriority w:val="0"/>
    <w:pPr>
      <w:keepNext/>
      <w:keepLines/>
      <w:spacing w:beforeLines="0" w:beforeAutospacing="0" w:afterLines="0" w:afterAutospacing="0" w:line="560" w:lineRule="exact"/>
      <w:ind w:firstLine="768" w:firstLineChars="200"/>
      <w:outlineLvl w:val="1"/>
    </w:pPr>
    <w:rPr>
      <w:rFonts w:hint="eastAsia" w:ascii="Arial" w:hAnsi="Arial" w:eastAsia="方正楷体_GBK" w:cs="Times New Roman"/>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character" w:customStyle="1" w:styleId="18">
    <w:name w:val="标题 2 Char"/>
    <w:link w:val="3"/>
    <w:qFormat/>
    <w:uiPriority w:val="0"/>
    <w:rPr>
      <w:rFonts w:hint="eastAsia" w:ascii="Arial" w:hAnsi="Arial" w:eastAsia="方正楷体_GBK"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5</TotalTime>
  <ScaleCrop>false</ScaleCrop>
  <LinksUpToDate>false</LinksUpToDate>
  <CharactersWithSpaces>26776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2024-10-08T08:40:03Z</cp:lastPrinted>
  <dcterms:modified xsi:type="dcterms:W3CDTF">2024-10-08T08:40:06Z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BB46EABDBB2749749395447164B066B3_12</vt:lpwstr>
  </property>
</Properties>
</file>