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重庆市荣昌区昌元街道社区事务服务中心</w:t>
      </w:r>
    </w:p>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bidi w:val="0"/>
        <w:rPr>
          <w:rFonts w:hint="default"/>
        </w:rPr>
      </w:pPr>
      <w:r>
        <w:t>一、单位基本情况</w:t>
      </w:r>
    </w:p>
    <w:p>
      <w:pPr>
        <w:pStyle w:val="3"/>
        <w:bidi w:val="0"/>
        <w:rPr>
          <w:rFonts w:hint="default"/>
          <w:color w:val="auto"/>
        </w:rPr>
      </w:pPr>
      <w:r>
        <w:rPr>
          <w:color w:val="auto"/>
        </w:rPr>
        <w:t>（一）职能职责</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社区事务服务中心作为重庆市荣昌区人民政府昌元街道办事处二级预算单位进行预算编制。主要负责平安建设、社会治理、信访稳定、舆情险情处置、便民服务、矛盾纠纷排查调处、社情民意收集与引导、综合信息收集与管理和社区服务队伍建设、社区服务信息化建设、社区品牌创建以及协调物业管理等方面的事务性服务工作。</w:t>
      </w:r>
    </w:p>
    <w:p>
      <w:pPr>
        <w:pStyle w:val="3"/>
        <w:bidi w:val="0"/>
        <w:rPr>
          <w:rFonts w:hint="default"/>
          <w:color w:val="auto"/>
        </w:rPr>
      </w:pPr>
      <w:r>
        <w:rPr>
          <w:color w:val="auto"/>
        </w:rPr>
        <w:t>（二）机构设置</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2023年，昌元街道社区事务服务中心未设置内设机构。</w:t>
      </w:r>
    </w:p>
    <w:p>
      <w:pPr>
        <w:pStyle w:val="2"/>
        <w:bidi w:val="0"/>
        <w:rPr>
          <w:rFonts w:hint="default"/>
          <w:color w:val="auto"/>
        </w:rPr>
      </w:pPr>
      <w:r>
        <w:rPr>
          <w:color w:val="auto"/>
        </w:rPr>
        <w:t>二、单位决算情况说明</w:t>
      </w:r>
    </w:p>
    <w:p>
      <w:pPr>
        <w:pStyle w:val="3"/>
        <w:bidi w:val="0"/>
        <w:rPr>
          <w:color w:val="auto"/>
        </w:rPr>
      </w:pPr>
      <w:r>
        <w:rPr>
          <w:rFonts w:hint="eastAsia"/>
          <w:color w:val="auto"/>
        </w:rPr>
        <w:t>（一）收入支出决算总体情况说明。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1.总体情况。</w:t>
      </w:r>
      <w:r>
        <w:rPr>
          <w:rFonts w:hint="eastAsia" w:ascii="方正仿宋_GBK" w:hAnsi="方正仿宋_GBK" w:eastAsia="方正仿宋_GBK" w:cs="方正仿宋_GBK"/>
          <w:color w:val="auto"/>
          <w:sz w:val="32"/>
          <w:szCs w:val="32"/>
          <w:shd w:val="clear" w:color="auto" w:fill="FFFFFF"/>
          <w:lang w:val="en-US" w:eastAsia="zh-CN"/>
        </w:rPr>
        <w:t>2023年度收入总计91.84万元，支出总计91.84万元。收支较上年决算数减少7.61万元，下降7.65%，主要原因是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2023年度收入合计91.84万元，较上年决算数减少7.61万元，下降7.65%，主要原因是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bookmarkStart w:id="0" w:name="_GoBack"/>
      <w:bookmarkEnd w:id="0"/>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万元，较上年决算数减少7.61万元，下降7.65%，主要原因是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3"/>
        <w:bidi w:val="0"/>
        <w:rPr>
          <w:color w:val="auto"/>
        </w:rPr>
      </w:pPr>
      <w:r>
        <w:rPr>
          <w:rFonts w:hint="eastAsia"/>
          <w:color w:val="auto"/>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2023年度财政拨款收、支总计91.84万元。与2022年相比，财政拨款收、支总计各减少7.61万元，下降7.65%。主要原因是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p>
    <w:p>
      <w:pPr>
        <w:pStyle w:val="3"/>
        <w:bidi w:val="0"/>
        <w:rPr>
          <w:color w:val="auto"/>
        </w:rPr>
      </w:pPr>
      <w:r>
        <w:rPr>
          <w:rFonts w:hint="eastAsia"/>
          <w:color w:val="auto"/>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万元，较上年决算数减少7.61万元，下降7.65%。主要原因是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r>
        <w:rPr>
          <w:rFonts w:ascii="方正仿宋_GBK" w:hAnsi="方正仿宋_GBK" w:eastAsia="方正仿宋_GBK" w:cs="方正仿宋_GBK"/>
          <w:color w:val="auto"/>
          <w:sz w:val="32"/>
          <w:szCs w:val="32"/>
          <w:shd w:val="clear" w:color="auto" w:fill="FFFFFF"/>
        </w:rPr>
        <w:t>。较年初预算数减少14.46万元，下降13.60%。主要原因是</w:t>
      </w:r>
      <w:r>
        <w:rPr>
          <w:rFonts w:hint="eastAsia" w:ascii="方正仿宋_GBK" w:hAnsi="方正仿宋_GBK" w:eastAsia="方正仿宋_GBK" w:cs="方正仿宋_GBK"/>
          <w:color w:val="auto"/>
          <w:sz w:val="32"/>
          <w:szCs w:val="32"/>
          <w:shd w:val="clear" w:color="auto" w:fill="FFFFFF"/>
          <w:lang w:val="en-US" w:eastAsia="zh-CN"/>
        </w:rPr>
        <w:t>厉行节约，公用经费减少。</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万元，较上年决算数减少7.61万元，下降7.65%。主要原因是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在编人员社保基数、公积金基数调整</w:t>
      </w:r>
      <w:r>
        <w:rPr>
          <w:rFonts w:ascii="方正仿宋_GBK" w:hAnsi="方正仿宋_GBK" w:eastAsia="方正仿宋_GBK" w:cs="方正仿宋_GBK"/>
          <w:color w:val="auto"/>
          <w:sz w:val="32"/>
          <w:szCs w:val="32"/>
          <w:shd w:val="clear" w:color="auto" w:fill="FFFFFF"/>
        </w:rPr>
        <w:t>。较年初预算数减少14.46万元，下降13.60%。主要原因是</w:t>
      </w:r>
      <w:r>
        <w:rPr>
          <w:rFonts w:hint="eastAsia" w:ascii="方正仿宋_GBK" w:hAnsi="方正仿宋_GBK" w:eastAsia="方正仿宋_GBK" w:cs="方正仿宋_GBK"/>
          <w:color w:val="auto"/>
          <w:sz w:val="32"/>
          <w:szCs w:val="32"/>
          <w:shd w:val="clear" w:color="auto" w:fill="FFFFFF"/>
          <w:lang w:val="en-US" w:eastAsia="zh-CN"/>
        </w:rPr>
        <w:t>厉行节约，公用经费减少。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8.02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8.73</w:t>
      </w:r>
      <w:r>
        <w:rPr>
          <w:rFonts w:ascii="方正仿宋_GBK" w:hAnsi="方正仿宋_GBK" w:eastAsia="方正仿宋_GBK" w:cs="方正仿宋_GBK"/>
          <w:color w:val="auto"/>
          <w:sz w:val="32"/>
          <w:szCs w:val="32"/>
          <w:shd w:val="clear" w:color="auto" w:fill="FFFFFF"/>
        </w:rPr>
        <w:t>%，较年初预算数减少0.94万元，下降10.49%，主要原因是</w:t>
      </w:r>
      <w:r>
        <w:rPr>
          <w:rFonts w:hint="eastAsia" w:ascii="方正仿宋_GBK" w:hAnsi="方正仿宋_GBK" w:eastAsia="方正仿宋_GBK" w:cs="方正仿宋_GBK"/>
          <w:color w:val="auto"/>
          <w:sz w:val="32"/>
          <w:szCs w:val="32"/>
          <w:shd w:val="clear" w:color="auto" w:fill="FFFFFF"/>
          <w:lang w:val="en-US" w:eastAsia="zh-CN"/>
        </w:rPr>
        <w:t>在编人员社保基数调整。</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4.25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4.63</w:t>
      </w:r>
      <w:r>
        <w:rPr>
          <w:rFonts w:ascii="方正仿宋_GBK" w:hAnsi="方正仿宋_GBK" w:eastAsia="方正仿宋_GBK" w:cs="方正仿宋_GBK"/>
          <w:color w:val="auto"/>
          <w:sz w:val="32"/>
          <w:szCs w:val="32"/>
          <w:shd w:val="clear" w:color="auto" w:fill="FFFFFF"/>
        </w:rPr>
        <w:t>%，较年初预算数减少0.28万元，下降6.18%，主要原因是</w:t>
      </w:r>
      <w:r>
        <w:rPr>
          <w:rFonts w:hint="eastAsia" w:ascii="方正仿宋_GBK" w:hAnsi="方正仿宋_GBK" w:eastAsia="方正仿宋_GBK" w:cs="方正仿宋_GBK"/>
          <w:color w:val="auto"/>
          <w:sz w:val="32"/>
          <w:szCs w:val="32"/>
          <w:shd w:val="clear" w:color="auto" w:fill="FFFFFF"/>
          <w:lang w:eastAsia="zh-CN"/>
        </w:rPr>
        <w:t>医保基数调整。</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75.51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82.22</w:t>
      </w:r>
      <w:r>
        <w:rPr>
          <w:rFonts w:ascii="方正仿宋_GBK" w:hAnsi="方正仿宋_GBK" w:eastAsia="方正仿宋_GBK" w:cs="方正仿宋_GBK"/>
          <w:color w:val="auto"/>
          <w:sz w:val="32"/>
          <w:szCs w:val="32"/>
          <w:shd w:val="clear" w:color="auto" w:fill="FFFFFF"/>
        </w:rPr>
        <w:t>%，较年初预算数减少12.82万元，下降14.51%，主要原因是</w:t>
      </w:r>
      <w:r>
        <w:rPr>
          <w:rFonts w:hint="eastAsia" w:ascii="方正仿宋_GBK" w:hAnsi="方正仿宋_GBK" w:eastAsia="方正仿宋_GBK" w:cs="方正仿宋_GBK"/>
          <w:color w:val="auto"/>
          <w:sz w:val="32"/>
          <w:szCs w:val="32"/>
          <w:shd w:val="clear" w:color="auto" w:fill="FFFFFF"/>
          <w:lang w:val="en-US" w:eastAsia="zh-CN"/>
        </w:rPr>
        <w:t>厉行节约，公用经费减少。</w:t>
      </w:r>
    </w:p>
    <w:p>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住房保障支出4.07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4.43</w:t>
      </w:r>
      <w:r>
        <w:rPr>
          <w:rFonts w:ascii="方正仿宋_GBK" w:hAnsi="方正仿宋_GBK" w:eastAsia="方正仿宋_GBK" w:cs="方正仿宋_GBK"/>
          <w:color w:val="auto"/>
          <w:sz w:val="32"/>
          <w:szCs w:val="32"/>
          <w:shd w:val="clear" w:color="auto" w:fill="FFFFFF"/>
        </w:rPr>
        <w:t>%，较年初预算数减少0.41万元，下降9.15%，主要原因是</w:t>
      </w:r>
      <w:r>
        <w:rPr>
          <w:rFonts w:hint="eastAsia" w:ascii="方正仿宋_GBK" w:hAnsi="方正仿宋_GBK" w:eastAsia="方正仿宋_GBK" w:cs="方正仿宋_GBK"/>
          <w:color w:val="auto"/>
          <w:sz w:val="32"/>
          <w:szCs w:val="32"/>
          <w:shd w:val="clear" w:color="auto" w:fill="FFFFFF"/>
          <w:lang w:eastAsia="zh-CN"/>
        </w:rPr>
        <w:t>公积金基数调整。</w:t>
      </w:r>
    </w:p>
    <w:p>
      <w:pPr>
        <w:pStyle w:val="3"/>
        <w:bidi w:val="0"/>
        <w:rPr>
          <w:color w:val="auto"/>
        </w:rPr>
      </w:pPr>
      <w:r>
        <w:rPr>
          <w:rFonts w:hint="eastAsia"/>
          <w:color w:val="auto"/>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91.84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81.82</w:t>
      </w:r>
      <w:r>
        <w:rPr>
          <w:rFonts w:ascii="方正仿宋_GBK" w:hAnsi="方正仿宋_GBK" w:eastAsia="方正仿宋_GBK" w:cs="方正仿宋_GBK"/>
          <w:color w:val="auto"/>
          <w:sz w:val="32"/>
          <w:szCs w:val="32"/>
          <w:shd w:val="clear" w:color="auto" w:fill="FFFFFF"/>
        </w:rPr>
        <w:t>万元，较上年决算数增加2.79万元，增长3.53%，主要原因是</w:t>
      </w:r>
      <w:r>
        <w:rPr>
          <w:rFonts w:hint="eastAsia" w:ascii="方正仿宋_GBK" w:hAnsi="方正仿宋_GBK" w:eastAsia="方正仿宋_GBK" w:cs="方正仿宋_GBK"/>
          <w:color w:val="auto"/>
          <w:sz w:val="32"/>
          <w:szCs w:val="32"/>
          <w:shd w:val="clear" w:color="auto" w:fill="FFFFFF"/>
          <w:lang w:val="en-US" w:eastAsia="zh-CN"/>
        </w:rPr>
        <w:t>在编人员职级晋升，工资调标</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在编人员工资、绩效及各项社保、公积金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10.03</w:t>
      </w:r>
      <w:r>
        <w:rPr>
          <w:rFonts w:ascii="方正仿宋_GBK" w:hAnsi="方正仿宋_GBK" w:eastAsia="方正仿宋_GBK" w:cs="方正仿宋_GBK"/>
          <w:color w:val="auto"/>
          <w:sz w:val="32"/>
          <w:szCs w:val="32"/>
          <w:shd w:val="clear" w:color="auto" w:fill="FFFFFF"/>
        </w:rPr>
        <w:t>万元，较上年决算数减少10.39万元，下降50.88%，主要原因是</w:t>
      </w:r>
      <w:r>
        <w:rPr>
          <w:rFonts w:hint="eastAsia" w:ascii="方正仿宋_GBK" w:hAnsi="方正仿宋_GBK" w:eastAsia="方正仿宋_GBK" w:cs="方正仿宋_GBK"/>
          <w:color w:val="auto"/>
          <w:sz w:val="32"/>
          <w:szCs w:val="32"/>
          <w:shd w:val="clear" w:color="auto" w:fill="FFFFFF"/>
          <w:lang w:val="en-US" w:eastAsia="zh-CN"/>
        </w:rPr>
        <w:t>厉行节约，严控日常支出。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单位工会经费及水、电、通信、人员用餐费用</w:t>
      </w:r>
      <w:r>
        <w:rPr>
          <w:rFonts w:ascii="方正仿宋_GBK" w:hAnsi="方正仿宋_GBK" w:eastAsia="方正仿宋_GBK" w:cs="方正仿宋_GBK"/>
          <w:color w:val="auto"/>
          <w:sz w:val="32"/>
          <w:szCs w:val="32"/>
          <w:shd w:val="clear" w:color="auto" w:fill="FFFFFF"/>
        </w:rPr>
        <w:t>。</w:t>
      </w:r>
    </w:p>
    <w:p>
      <w:pPr>
        <w:pStyle w:val="3"/>
        <w:bidi w:val="0"/>
        <w:rPr>
          <w:color w:val="auto"/>
        </w:rPr>
      </w:pPr>
      <w:r>
        <w:rPr>
          <w:rFonts w:hint="eastAsia"/>
          <w:color w:val="auto"/>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bidi w:val="0"/>
        <w:rPr>
          <w:color w:val="auto"/>
        </w:rPr>
      </w:pPr>
      <w:r>
        <w:rPr>
          <w:rFonts w:hint="eastAsia"/>
          <w:color w:val="auto"/>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bidi w:val="0"/>
        <w:rPr>
          <w:rFonts w:hint="default"/>
          <w:color w:val="auto"/>
        </w:rPr>
      </w:pPr>
      <w:r>
        <w:rPr>
          <w:color w:val="auto"/>
        </w:rPr>
        <w:t>三、“三公”经费情况说明</w:t>
      </w:r>
    </w:p>
    <w:p>
      <w:pPr>
        <w:pStyle w:val="3"/>
        <w:bidi w:val="0"/>
        <w:rPr>
          <w:color w:val="auto"/>
        </w:rPr>
      </w:pPr>
      <w:r>
        <w:rPr>
          <w:rFonts w:hint="eastAsia"/>
          <w:color w:val="auto"/>
        </w:rPr>
        <w:t>（一）“三公”经费支出总体情况说明</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bidi w:val="0"/>
        <w:rPr>
          <w:color w:val="auto"/>
        </w:rPr>
      </w:pPr>
      <w:r>
        <w:rPr>
          <w:rFonts w:hint="eastAsia"/>
          <w:color w:val="auto"/>
        </w:rPr>
        <w:t>（二）“三公”经费分项支出情况</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2023年度本单位未发生因公出国（境）费用支出。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2023年度本单位未发生公务车购置费支出。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2023年度本单位未发生公务车运行维护费支出。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2023年度本单位未发生公务接待费支出。</w:t>
      </w:r>
    </w:p>
    <w:p>
      <w:pPr>
        <w:pStyle w:val="3"/>
        <w:bidi w:val="0"/>
        <w:rPr>
          <w:color w:val="auto"/>
        </w:rPr>
      </w:pPr>
      <w:r>
        <w:rPr>
          <w:rFonts w:hint="eastAsia"/>
          <w:color w:val="auto"/>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bidi w:val="0"/>
        <w:rPr>
          <w:rFonts w:hint="default"/>
          <w:color w:val="auto"/>
        </w:rPr>
      </w:pPr>
      <w:r>
        <w:rPr>
          <w:color w:val="auto"/>
        </w:rPr>
        <w:t>四、其他需要说明的事项</w:t>
      </w:r>
    </w:p>
    <w:p>
      <w:pPr>
        <w:pStyle w:val="2"/>
        <w:bidi w:val="0"/>
        <w:rPr>
          <w:color w:val="auto"/>
        </w:rPr>
      </w:pPr>
      <w:r>
        <w:rPr>
          <w:rFonts w:hint="eastAsia"/>
          <w:color w:val="auto"/>
        </w:rPr>
        <w:t>（一）财政拨款会议费和培训费情况说明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与上年数持平</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0.56</w:t>
      </w:r>
      <w:r>
        <w:rPr>
          <w:rFonts w:ascii="方正仿宋_GBK" w:hAnsi="方正仿宋_GBK" w:eastAsia="方正仿宋_GBK" w:cs="方正仿宋_GBK"/>
          <w:color w:val="auto"/>
          <w:sz w:val="32"/>
          <w:szCs w:val="32"/>
          <w:shd w:val="clear" w:color="auto" w:fill="FFFFFF"/>
        </w:rPr>
        <w:t>万元，较上年决算数增加0.56万元，增长100.00%，主要原因是</w:t>
      </w:r>
      <w:r>
        <w:rPr>
          <w:rFonts w:hint="eastAsia" w:ascii="方正仿宋_GBK" w:hAnsi="方正仿宋_GBK" w:eastAsia="方正仿宋_GBK" w:cs="方正仿宋_GBK"/>
          <w:color w:val="auto"/>
          <w:sz w:val="32"/>
          <w:szCs w:val="32"/>
          <w:shd w:val="clear" w:color="auto" w:fill="FFFFFF"/>
          <w:lang w:eastAsia="zh-CN"/>
        </w:rPr>
        <w:t>职工教育费用增加</w:t>
      </w:r>
      <w:r>
        <w:rPr>
          <w:rFonts w:ascii="方正仿宋_GBK" w:hAnsi="方正仿宋_GBK" w:eastAsia="方正仿宋_GBK" w:cs="方正仿宋_GBK"/>
          <w:color w:val="auto"/>
          <w:sz w:val="32"/>
          <w:szCs w:val="32"/>
          <w:shd w:val="clear" w:color="auto" w:fill="FFFFFF"/>
        </w:rPr>
        <w:t>。</w:t>
      </w:r>
    </w:p>
    <w:p>
      <w:pPr>
        <w:pStyle w:val="2"/>
        <w:bidi w:val="0"/>
        <w:rPr>
          <w:color w:val="auto"/>
        </w:rPr>
      </w:pPr>
      <w:r>
        <w:rPr>
          <w:rFonts w:hint="eastAsia"/>
          <w:color w:val="auto"/>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2"/>
        <w:bidi w:val="0"/>
        <w:rPr>
          <w:color w:val="auto"/>
        </w:rPr>
      </w:pPr>
      <w:r>
        <w:rPr>
          <w:rFonts w:hint="eastAsia"/>
          <w:color w:val="auto"/>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2"/>
        <w:bidi w:val="0"/>
        <w:rPr>
          <w:color w:val="auto"/>
        </w:rPr>
      </w:pPr>
      <w:r>
        <w:rPr>
          <w:rFonts w:hint="eastAsia"/>
          <w:color w:val="auto"/>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2"/>
        <w:numPr>
          <w:ilvl w:val="0"/>
          <w:numId w:val="1"/>
        </w:numPr>
        <w:bidi w:val="0"/>
        <w:rPr>
          <w:rFonts w:hint="default"/>
          <w:color w:val="auto"/>
        </w:rPr>
      </w:pPr>
      <w:r>
        <w:rPr>
          <w:color w:val="auto"/>
        </w:rPr>
        <w:t>预算绩效管理情况说明</w:t>
      </w:r>
    </w:p>
    <w:p>
      <w:pPr>
        <w:pStyle w:val="3"/>
        <w:numPr>
          <w:ilvl w:val="0"/>
          <w:numId w:val="2"/>
        </w:numPr>
        <w:bidi w:val="0"/>
        <w:rPr>
          <w:rFonts w:hint="eastAsia"/>
          <w:color w:val="auto"/>
        </w:rPr>
      </w:pPr>
      <w:r>
        <w:rPr>
          <w:rFonts w:hint="eastAsia"/>
          <w:color w:val="auto"/>
        </w:rPr>
        <w:t>单位自评情况</w:t>
      </w:r>
    </w:p>
    <w:p>
      <w:pPr>
        <w:pStyle w:val="14"/>
        <w:numPr>
          <w:ilvl w:val="0"/>
          <w:numId w:val="0"/>
        </w:numPr>
        <w:autoSpaceDE w:val="0"/>
        <w:autoSpaceDN/>
        <w:spacing w:before="0" w:beforeAutospacing="0" w:after="0" w:afterAutospacing="0" w:line="600" w:lineRule="exact"/>
        <w:ind w:right="0" w:rightChars="0" w:firstLine="640" w:firstLineChars="200"/>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本单位未组织开展</w:t>
      </w:r>
      <w:r>
        <w:rPr>
          <w:rFonts w:hint="eastAsia" w:ascii="方正仿宋_GBK" w:hAnsi="方正仿宋_GBK" w:eastAsia="方正仿宋_GBK" w:cs="方正仿宋_GBK"/>
          <w:color w:val="auto"/>
          <w:kern w:val="0"/>
          <w:sz w:val="32"/>
          <w:szCs w:val="32"/>
          <w:shd w:val="clear" w:color="auto" w:fill="FFFFFF"/>
        </w:rPr>
        <w:t>绩效自评</w:t>
      </w:r>
      <w:r>
        <w:rPr>
          <w:rFonts w:hint="eastAsia" w:ascii="方正仿宋_GBK" w:hAnsi="方正仿宋_GBK" w:eastAsia="方正仿宋_GBK" w:cs="方正仿宋_GBK"/>
          <w:color w:val="auto"/>
          <w:kern w:val="0"/>
          <w:sz w:val="32"/>
          <w:szCs w:val="32"/>
        </w:rPr>
        <w:t>。</w:t>
      </w:r>
    </w:p>
    <w:p>
      <w:pPr>
        <w:pStyle w:val="3"/>
        <w:bidi w:val="0"/>
        <w:rPr>
          <w:color w:val="auto"/>
        </w:rPr>
      </w:pPr>
      <w:r>
        <w:rPr>
          <w:rFonts w:hint="eastAsia"/>
          <w:color w:val="auto"/>
        </w:rPr>
        <w:t>（二）单位绩效评价情况</w:t>
      </w:r>
    </w:p>
    <w:p>
      <w:pPr>
        <w:pStyle w:val="13"/>
        <w:autoSpaceDE w:val="0"/>
        <w:ind w:firstLine="643"/>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bidi w:val="0"/>
        <w:rPr>
          <w:rFonts w:hint="default"/>
          <w:color w:val="auto"/>
        </w:rPr>
      </w:pPr>
      <w:r>
        <w:rPr>
          <w:color w:val="auto"/>
        </w:rPr>
        <w:t>六、专业名词解释</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bidi w:val="0"/>
        <w:rPr>
          <w:rFonts w:hint="default"/>
          <w:color w:val="auto"/>
        </w:rPr>
      </w:pPr>
      <w:r>
        <w:rPr>
          <w:color w:val="auto"/>
        </w:rPr>
        <w:t>七、决算公开联系方式及信息反馈渠道</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13"/>
        <w:autoSpaceDE w:val="0"/>
        <w:ind w:firstLine="0" w:firstLineChars="0"/>
        <w:rPr>
          <w:rFonts w:hint="eastAsia" w:ascii="方正仿宋_GBK" w:hAnsi="方正仿宋_GBK" w:eastAsia="方正仿宋_GBK" w:cs="方正仿宋_GBK"/>
          <w:sz w:val="32"/>
          <w:szCs w:val="32"/>
          <w:shd w:val="clear" w:color="auto" w:fill="FFFF00"/>
        </w:rPr>
      </w:pPr>
    </w:p>
    <w:p>
      <w:pPr>
        <w:pStyle w:val="13"/>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4687" w:type="pct"/>
        <w:tblInd w:w="375" w:type="dxa"/>
        <w:shd w:val="clear" w:color="auto" w:fill="auto"/>
        <w:tblLayout w:type="fixed"/>
        <w:tblCellMar>
          <w:top w:w="0" w:type="dxa"/>
          <w:left w:w="0" w:type="dxa"/>
          <w:bottom w:w="0" w:type="dxa"/>
          <w:right w:w="0" w:type="dxa"/>
        </w:tblCellMar>
      </w:tblPr>
      <w:tblGrid>
        <w:gridCol w:w="3088"/>
        <w:gridCol w:w="1040"/>
        <w:gridCol w:w="2520"/>
        <w:gridCol w:w="136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9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4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926"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重庆市荣昌区昌元街道社区事务服务中心</w:t>
            </w:r>
          </w:p>
        </w:tc>
        <w:tc>
          <w:tcPr>
            <w:tcW w:w="64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5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42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91.84</w:t>
            </w: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48"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75.51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91.84</w:t>
            </w: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5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9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91.84</w:t>
            </w:r>
            <w:r>
              <w:rPr>
                <w:color w:val="000000"/>
                <w:sz w:val="20"/>
                <w:u w:color="auto"/>
              </w:rPr>
              <w:t xml:space="preserve"> </w:t>
            </w:r>
          </w:p>
        </w:tc>
        <w:tc>
          <w:tcPr>
            <w:tcW w:w="157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91.84</w:t>
            </w:r>
            <w:r>
              <w:rPr>
                <w:color w:val="000000"/>
                <w:sz w:val="20"/>
                <w:u w:color="auto"/>
              </w:rPr>
              <w:t xml:space="preserve"> </w:t>
            </w:r>
          </w:p>
        </w:tc>
      </w:tr>
    </w:tbl>
    <w:p>
      <w:pPr>
        <w:spacing w:line="240" w:lineRule="exact"/>
        <w:ind w:firstLine="400" w:firstLineChars="200"/>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4767" w:type="pct"/>
        <w:tblInd w:w="183" w:type="dxa"/>
        <w:shd w:val="clear" w:color="auto" w:fill="auto"/>
        <w:tblLayout w:type="fixed"/>
        <w:tblCellMar>
          <w:top w:w="0" w:type="dxa"/>
          <w:left w:w="0" w:type="dxa"/>
          <w:bottom w:w="0" w:type="dxa"/>
          <w:right w:w="0" w:type="dxa"/>
        </w:tblCellMar>
      </w:tblPr>
      <w:tblGrid>
        <w:gridCol w:w="1032"/>
        <w:gridCol w:w="2543"/>
        <w:gridCol w:w="636"/>
        <w:gridCol w:w="817"/>
        <w:gridCol w:w="570"/>
        <w:gridCol w:w="408"/>
        <w:gridCol w:w="427"/>
        <w:gridCol w:w="484"/>
        <w:gridCol w:w="532"/>
        <w:gridCol w:w="70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2192"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重庆市荣昌区昌元街道社区事务服务中心</w:t>
            </w: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2192"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219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63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5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63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63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63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21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3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75.51</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75.51</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6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1047"/>
        <w:gridCol w:w="3240"/>
        <w:gridCol w:w="888"/>
        <w:gridCol w:w="758"/>
        <w:gridCol w:w="534"/>
        <w:gridCol w:w="525"/>
        <w:gridCol w:w="525"/>
        <w:gridCol w:w="103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25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重庆市荣昌区昌元街道社区事务服务中心 </w:t>
            </w:r>
          </w:p>
        </w:tc>
        <w:tc>
          <w:tcPr>
            <w:tcW w:w="5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25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25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61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89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61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61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61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25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6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75.51</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75.51</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75.51</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w:t>
            </w:r>
            <w:r>
              <w:rPr>
                <w:b/>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8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4788" w:type="pct"/>
        <w:tblInd w:w="0" w:type="dxa"/>
        <w:shd w:val="clear" w:color="auto" w:fill="auto"/>
        <w:tblLayout w:type="fixed"/>
        <w:tblCellMar>
          <w:top w:w="0" w:type="dxa"/>
          <w:left w:w="0" w:type="dxa"/>
          <w:bottom w:w="0" w:type="dxa"/>
          <w:right w:w="0" w:type="dxa"/>
        </w:tblCellMar>
      </w:tblPr>
      <w:tblGrid>
        <w:gridCol w:w="2473"/>
        <w:gridCol w:w="695"/>
        <w:gridCol w:w="2226"/>
        <w:gridCol w:w="685"/>
        <w:gridCol w:w="696"/>
        <w:gridCol w:w="662"/>
        <w:gridCol w:w="749"/>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934"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135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934"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PrEx>
        <w:trPr>
          <w:trHeight w:val="90" w:hRule="atLeast"/>
        </w:trPr>
        <w:tc>
          <w:tcPr>
            <w:tcW w:w="1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06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35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70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5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75.51</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75.51</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91.84</w:t>
            </w:r>
            <w:r>
              <w:rPr>
                <w:color w:val="000000"/>
                <w:sz w:val="18"/>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5"/>
        <w:gridCol w:w="3230"/>
        <w:gridCol w:w="1228"/>
        <w:gridCol w:w="1229"/>
        <w:gridCol w:w="1238"/>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91.84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75.51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600"/>
        <w:gridCol w:w="1484"/>
        <w:gridCol w:w="822"/>
        <w:gridCol w:w="662"/>
        <w:gridCol w:w="1416"/>
        <w:gridCol w:w="776"/>
        <w:gridCol w:w="617"/>
        <w:gridCol w:w="1393"/>
        <w:gridCol w:w="77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21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48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21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70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298"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5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6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5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35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81.82</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10.03</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18.17</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44.99</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21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81.82</w:t>
            </w:r>
            <w:r>
              <w:rPr>
                <w:color w:val="000000"/>
                <w:sz w:val="18"/>
                <w:u w:color="auto"/>
              </w:rPr>
              <w:t xml:space="preserve"> </w:t>
            </w:r>
          </w:p>
        </w:tc>
        <w:tc>
          <w:tcPr>
            <w:tcW w:w="2846"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3"/>
        <w:gridCol w:w="2801"/>
        <w:gridCol w:w="613"/>
        <w:gridCol w:w="613"/>
        <w:gridCol w:w="613"/>
        <w:gridCol w:w="613"/>
        <w:gridCol w:w="636"/>
        <w:gridCol w:w="978"/>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801"/>
        <w:gridCol w:w="2929"/>
        <w:gridCol w:w="1264"/>
        <w:gridCol w:w="71"/>
        <w:gridCol w:w="1241"/>
        <w:gridCol w:w="27"/>
        <w:gridCol w:w="121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重庆市荣昌区昌元街道社区事务服务中心</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ED1F118"/>
    <w:multiLevelType w:val="singleLevel"/>
    <w:tmpl w:val="1ED1F11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9E045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A144E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53196"/>
    <w:rsid w:val="20642787"/>
    <w:rsid w:val="21556F04"/>
    <w:rsid w:val="22403BD3"/>
    <w:rsid w:val="24B92327"/>
    <w:rsid w:val="24C14514"/>
    <w:rsid w:val="24E70EBA"/>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2E5687"/>
    <w:rsid w:val="32770556"/>
    <w:rsid w:val="329C0913"/>
    <w:rsid w:val="32AA0460"/>
    <w:rsid w:val="32DB65B8"/>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687C2A"/>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C70F1C"/>
    <w:rsid w:val="4F0C6BA3"/>
    <w:rsid w:val="4F186D58"/>
    <w:rsid w:val="4F2B2CE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60425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95673B"/>
    <w:rsid w:val="68EB1B71"/>
    <w:rsid w:val="6A6C7940"/>
    <w:rsid w:val="6AAD2300"/>
    <w:rsid w:val="6B147D87"/>
    <w:rsid w:val="6B474EF5"/>
    <w:rsid w:val="6BEE7F95"/>
    <w:rsid w:val="6C0A5AC5"/>
    <w:rsid w:val="6C560CAE"/>
    <w:rsid w:val="6C576495"/>
    <w:rsid w:val="6D903FF5"/>
    <w:rsid w:val="6DA955B8"/>
    <w:rsid w:val="6DE346AB"/>
    <w:rsid w:val="6DE5391A"/>
    <w:rsid w:val="6E9B5FB5"/>
    <w:rsid w:val="6EFD1324"/>
    <w:rsid w:val="6F5A53AC"/>
    <w:rsid w:val="6FAC003D"/>
    <w:rsid w:val="6FE55E12"/>
    <w:rsid w:val="6FFB2E76"/>
    <w:rsid w:val="708C080B"/>
    <w:rsid w:val="708F6F7F"/>
    <w:rsid w:val="70D94BD3"/>
    <w:rsid w:val="71C34D91"/>
    <w:rsid w:val="72DB435C"/>
    <w:rsid w:val="72E2613A"/>
    <w:rsid w:val="72F771F4"/>
    <w:rsid w:val="73934AD2"/>
    <w:rsid w:val="750837F0"/>
    <w:rsid w:val="754758CF"/>
    <w:rsid w:val="764F62AB"/>
    <w:rsid w:val="765C45EC"/>
    <w:rsid w:val="768A7619"/>
    <w:rsid w:val="772E1EBA"/>
    <w:rsid w:val="77712054"/>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19</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2024-10-08T08:09:13Z</cp:lastPrinted>
  <dcterms:modified xsi:type="dcterms:W3CDTF">2024-10-08T08:17:04Z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