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widowControl/>
        <w:suppressLineNumbers w:val="0"/>
        <w:autoSpaceDE/>
        <w:autoSpaceDN w:val="0"/>
        <w:spacing w:before="0" w:beforeAutospacing="0" w:after="0" w:afterAutospacing="0" w:line="720" w:lineRule="atLeast"/>
        <w:jc w:val="center"/>
        <w:rPr>
          <w:rFonts w:hint="eastAsia" w:ascii="方正小标宋_GBK" w:hAnsi="方正小标宋_GBK" w:eastAsia="方正小标宋_GBK" w:cs="方正小标宋_GBK"/>
          <w:b/>
          <w:bCs/>
          <w:kern w:val="0"/>
          <w:sz w:val="44"/>
          <w:szCs w:val="44"/>
          <w:shd w:val="clear" w:fill="FFFFFF"/>
          <w:lang w:eastAsia="zh-CN"/>
        </w:rPr>
      </w:pPr>
      <w:r>
        <w:rPr>
          <w:rFonts w:hint="eastAsia" w:ascii="方正小标宋_GBK" w:hAnsi="方正小标宋_GBK" w:eastAsia="方正小标宋_GBK" w:cs="方正小标宋_GBK"/>
          <w:b/>
          <w:bCs/>
          <w:kern w:val="0"/>
          <w:sz w:val="44"/>
          <w:szCs w:val="44"/>
          <w:shd w:val="clear" w:fill="FFFFFF"/>
        </w:rPr>
        <w:t>重庆市荣昌区医疗保障局</w:t>
      </w:r>
      <w:r>
        <w:rPr>
          <w:rFonts w:hint="eastAsia" w:ascii="方正小标宋_GBK" w:hAnsi="方正小标宋_GBK" w:eastAsia="方正小标宋_GBK" w:cs="方正小标宋_GBK"/>
          <w:b/>
          <w:bCs/>
          <w:kern w:val="0"/>
          <w:sz w:val="44"/>
          <w:szCs w:val="44"/>
          <w:shd w:val="clear" w:fill="FFFFFF"/>
          <w:lang w:eastAsia="zh-CN"/>
        </w:rPr>
        <w:t>（</w:t>
      </w:r>
      <w:r>
        <w:rPr>
          <w:rFonts w:hint="eastAsia" w:ascii="方正小标宋_GBK" w:hAnsi="方正小标宋_GBK" w:eastAsia="方正小标宋_GBK" w:cs="方正小标宋_GBK"/>
          <w:b/>
          <w:bCs/>
          <w:kern w:val="0"/>
          <w:sz w:val="44"/>
          <w:szCs w:val="44"/>
          <w:shd w:val="clear" w:fill="FFFFFF"/>
        </w:rPr>
        <w:t>本级</w:t>
      </w:r>
      <w:r>
        <w:rPr>
          <w:rFonts w:hint="eastAsia" w:ascii="方正小标宋_GBK" w:hAnsi="方正小标宋_GBK" w:eastAsia="方正小标宋_GBK" w:cs="方正小标宋_GBK"/>
          <w:b/>
          <w:bCs/>
          <w:kern w:val="0"/>
          <w:sz w:val="44"/>
          <w:szCs w:val="44"/>
          <w:shd w:val="clear" w:fill="FFFFFF"/>
          <w:lang w:eastAsia="zh-CN"/>
        </w:rPr>
        <w:t>）</w:t>
      </w:r>
    </w:p>
    <w:p>
      <w:pPr>
        <w:pStyle w:val="16"/>
        <w:keepNext w:val="0"/>
        <w:keepLines w:val="0"/>
        <w:widowControl/>
        <w:suppressLineNumbers w:val="0"/>
        <w:autoSpaceDE/>
        <w:autoSpaceDN w:val="0"/>
        <w:spacing w:before="0" w:beforeAutospacing="0" w:after="0" w:afterAutospacing="0" w:line="720" w:lineRule="atLeast"/>
        <w:jc w:val="center"/>
        <w:rPr>
          <w:rFonts w:hint="eastAsia" w:ascii="方正小标宋_GBK" w:hAnsi="方正小标宋_GBK" w:eastAsia="方正小标宋_GBK" w:cs="方正小标宋_GBK"/>
          <w:b/>
          <w:bCs/>
          <w:kern w:val="0"/>
          <w:sz w:val="44"/>
          <w:szCs w:val="44"/>
          <w:shd w:val="clear" w:fill="FFFFFF"/>
          <w:lang w:val="en-US" w:eastAsia="zh-CN"/>
        </w:rPr>
      </w:pPr>
      <w:r>
        <w:rPr>
          <w:rFonts w:hint="eastAsia" w:ascii="方正小标宋_GBK" w:hAnsi="方正小标宋_GBK" w:eastAsia="方正小标宋_GBK" w:cs="方正小标宋_GBK"/>
          <w:b/>
          <w:bCs/>
          <w:kern w:val="0"/>
          <w:sz w:val="44"/>
          <w:szCs w:val="44"/>
          <w:shd w:val="clear" w:fill="FFFFFF"/>
        </w:rPr>
        <w:t>2023年度决算公开</w:t>
      </w:r>
      <w:r>
        <w:rPr>
          <w:rFonts w:hint="eastAsia" w:ascii="方正小标宋_GBK" w:hAnsi="方正小标宋_GBK" w:eastAsia="方正小标宋_GBK" w:cs="方正小标宋_GBK"/>
          <w:b/>
          <w:bCs/>
          <w:kern w:val="0"/>
          <w:sz w:val="44"/>
          <w:szCs w:val="44"/>
          <w:shd w:val="clear" w:fill="FFFFFF"/>
          <w:lang w:eastAsia="zh-CN"/>
        </w:rPr>
        <w:t>报告</w:t>
      </w:r>
    </w:p>
    <w:p>
      <w:pPr>
        <w:pStyle w:val="16"/>
        <w:keepNext w:val="0"/>
        <w:keepLines w:val="0"/>
        <w:widowControl/>
        <w:suppressLineNumbers w:val="0"/>
        <w:autoSpaceDE/>
        <w:autoSpaceDN w:val="0"/>
        <w:spacing w:before="0" w:beforeAutospacing="0" w:after="0" w:afterAutospacing="0"/>
        <w:ind w:left="0" w:firstLine="640"/>
        <w:jc w:val="both"/>
        <w:rPr>
          <w:rFonts w:hint="default" w:ascii="方正黑体_GBK" w:hAnsi="方正黑体_GBK" w:eastAsia="方正黑体_GBK" w:cs="方正黑体_GBK"/>
          <w:b w:val="0"/>
          <w:bCs w:val="0"/>
          <w:kern w:val="0"/>
          <w:sz w:val="32"/>
          <w:szCs w:val="32"/>
          <w:shd w:val="clear" w:fill="FFFFFF"/>
        </w:rPr>
      </w:pPr>
      <w:r>
        <w:rPr>
          <w:rFonts w:hint="eastAsia" w:ascii="方正黑体_GBK" w:hAnsi="方正黑体_GBK" w:eastAsia="方正黑体_GBK" w:cs="方正黑体_GBK"/>
          <w:b w:val="0"/>
          <w:bCs w:val="0"/>
          <w:kern w:val="0"/>
          <w:sz w:val="32"/>
          <w:szCs w:val="32"/>
          <w:shd w:val="clear" w:fill="FFFFFF"/>
        </w:rPr>
        <w:t>一、单位基本情况</w:t>
      </w:r>
    </w:p>
    <w:p>
      <w:pPr>
        <w:pStyle w:val="16"/>
        <w:keepNext w:val="0"/>
        <w:keepLines w:val="0"/>
        <w:widowControl/>
        <w:suppressLineNumbers w:val="0"/>
        <w:autoSpaceDE/>
        <w:autoSpaceDN w:val="0"/>
        <w:spacing w:before="0" w:beforeAutospacing="0" w:after="0" w:afterAutospacing="0"/>
        <w:ind w:left="0" w:firstLine="640"/>
        <w:jc w:val="both"/>
        <w:rPr>
          <w:rFonts w:hint="default"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（一）职能职责</w:t>
      </w:r>
    </w:p>
    <w:p>
      <w:pPr>
        <w:pStyle w:val="16"/>
        <w:keepNext w:val="0"/>
        <w:keepLines w:val="0"/>
        <w:widowControl/>
        <w:suppressLineNumbers w:val="0"/>
        <w:autoSpaceDE w:val="0"/>
        <w:autoSpaceDN/>
        <w:spacing w:before="0" w:beforeAutospacing="0" w:after="0" w:afterAutospacing="0"/>
        <w:ind w:left="0" w:firstLine="640"/>
        <w:jc w:val="both"/>
        <w:rPr>
          <w:rFonts w:hint="default"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1、贯彻执行国家及重庆市医疗保险、生育保险、医疗救助等医疗保障制度的法律法规、规章、政策、规划和标准，拟订医疗保障规范性文件，拟订相关规划、政策、标准并组织实施。2、贯彻执行医疗保障基金监督管理办法，建立健全医疗保障基金安全防控机制，推进医疗保障基金支付方式改革。3、贯彻执行医疗保障筹资和待遇政策，完善动态调整和区域调剂平衡机制，贯彻落实城乡医疗保障待遇标准，贯彻落实与筹资水平相适应的待遇调整机制。组织实施长期护理保险制度改革方案。4、贯彻落实药品、医用耗材、医疗服务项目、医疗服务设施等地方医保目录和支付标准，建立动态调整机制。组织实施医保目录准入谈判地方规则。5、贯彻执行药品、医用耗材价格和医疗服务项目、医疗服务设施收费等政策，执行医保支付医药服务价格合理确定和动态调整机制，推动建立市场主导的社会医药服务价格形成机制，建立价格信息监测和信息发布制度。6、监督实施药品、医用耗材的招标采购政策，指导药品、医用耗材招标采购平台的使用。7、贯彻执行定点医药机构协议和支付管理办法并组织实施，建立健全医疗保障信用评价体系和信息披露制度，监督管理纳入医保范围内的医疗服务行为和医疗费用，依法查处医疗保障领域违法违规行为。8、负责医疗保障经办管理、公共服务体系和信息化建设。贯彻执行异地就医管理和费用结算政策，建立健全医疗保障关系转移接续制度。9、完成区委、区政府交办的其他任务。10、职能转变。重庆市荣昌区医疗保障局要落实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11、与有关部门的职责分工。重庆市荣昌区医疗保障局要建立与重庆市荣昌区发展和改革委员会、重庆市荣昌区卫生健康委员会、重庆市荣昌区市场监督管理局、重庆市荣昌区税务局等部门的沟通协商机制，加强制度、政策衔接，协同推进改革，提高医疗资源使用效率和医疗保障水平。</w:t>
      </w:r>
    </w:p>
    <w:p>
      <w:pPr>
        <w:pStyle w:val="16"/>
        <w:keepNext w:val="0"/>
        <w:keepLines w:val="0"/>
        <w:widowControl/>
        <w:suppressLineNumbers w:val="0"/>
        <w:autoSpaceDE/>
        <w:autoSpaceDN w:val="0"/>
        <w:spacing w:before="0" w:beforeAutospacing="0" w:after="0" w:afterAutospacing="0"/>
        <w:ind w:left="0" w:firstLine="640"/>
        <w:jc w:val="both"/>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（二）机构设置</w:t>
      </w:r>
    </w:p>
    <w:p>
      <w:pPr>
        <w:pStyle w:val="16"/>
        <w:keepNext w:val="0"/>
        <w:keepLines w:val="0"/>
        <w:widowControl/>
        <w:suppressLineNumbers w:val="0"/>
        <w:autoSpaceDE w:val="0"/>
        <w:autoSpaceDN/>
        <w:spacing w:before="0" w:beforeAutospacing="0" w:after="0" w:afterAutospacing="0"/>
        <w:ind w:left="0" w:firstLine="640"/>
        <w:jc w:val="both"/>
        <w:rPr>
          <w:rFonts w:hint="default"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重庆市荣昌区医疗保障局是区政府工作部门，为正处级。</w:t>
      </w:r>
      <w:r>
        <w:rPr>
          <w:rFonts w:hint="eastAsia" w:ascii="方正仿宋_GBK" w:hAnsi="方正仿宋_GBK" w:eastAsia="方正仿宋_GBK" w:cs="方正仿宋_GBK"/>
          <w:kern w:val="0"/>
          <w:sz w:val="32"/>
          <w:szCs w:val="32"/>
          <w:shd w:val="clear" w:fill="FFFFFF"/>
          <w:lang w:val="en-US" w:eastAsia="zh-CN"/>
        </w:rPr>
        <w:t>重庆市荣昌区医疗保障局机关行政编制6名,目前实有人数6人。设局长1名，副局长1名。内设机构三个科室，分别为综合科、医药服务管理科、基金监督科，科级领导职数3名。</w:t>
      </w:r>
    </w:p>
    <w:p>
      <w:pPr>
        <w:pStyle w:val="16"/>
        <w:keepNext w:val="0"/>
        <w:keepLines w:val="0"/>
        <w:widowControl/>
        <w:suppressLineNumbers w:val="0"/>
        <w:autoSpaceDE/>
        <w:autoSpaceDN w:val="0"/>
        <w:spacing w:before="0" w:beforeAutospacing="0" w:after="0" w:afterAutospacing="0"/>
        <w:ind w:left="0" w:firstLine="640"/>
        <w:jc w:val="both"/>
        <w:rPr>
          <w:rFonts w:hint="default" w:ascii="方正黑体_GBK" w:hAnsi="方正黑体_GBK" w:eastAsia="方正黑体_GBK" w:cs="方正黑体_GBK"/>
          <w:b w:val="0"/>
          <w:bCs w:val="0"/>
          <w:kern w:val="0"/>
          <w:sz w:val="32"/>
          <w:szCs w:val="32"/>
          <w:shd w:val="clear" w:fill="FFFFFF"/>
        </w:rPr>
      </w:pPr>
      <w:r>
        <w:rPr>
          <w:rFonts w:hint="eastAsia" w:ascii="方正黑体_GBK" w:hAnsi="方正黑体_GBK" w:eastAsia="方正黑体_GBK" w:cs="方正黑体_GBK"/>
          <w:b w:val="0"/>
          <w:bCs w:val="0"/>
          <w:kern w:val="0"/>
          <w:sz w:val="32"/>
          <w:szCs w:val="32"/>
          <w:shd w:val="clear" w:fill="FFFFFF"/>
        </w:rPr>
        <w:t>二、单位决算情况说明</w:t>
      </w:r>
    </w:p>
    <w:p>
      <w:pPr>
        <w:pStyle w:val="16"/>
        <w:keepNext w:val="0"/>
        <w:keepLines w:val="0"/>
        <w:widowControl/>
        <w:suppressLineNumbers w:val="0"/>
        <w:autoSpaceDE/>
        <w:autoSpaceDN w:val="0"/>
        <w:spacing w:before="0" w:beforeAutospacing="0" w:after="0" w:afterAutospacing="0"/>
        <w:ind w:left="0" w:firstLine="640"/>
        <w:jc w:val="both"/>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（一）收入支出决算总体情况说明。</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firstLine="643" w:firstLineChars="200"/>
        <w:jc w:val="both"/>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b/>
          <w:bCs/>
          <w:kern w:val="0"/>
          <w:sz w:val="32"/>
          <w:szCs w:val="32"/>
          <w:shd w:val="clear" w:fill="FFFFFF"/>
          <w:lang w:val="en-US" w:eastAsia="zh-CN"/>
        </w:rPr>
        <w:t>1.总体情况。</w:t>
      </w:r>
      <w:r>
        <w:rPr>
          <w:rFonts w:hint="eastAsia" w:ascii="方正仿宋_GBK" w:hAnsi="方正仿宋_GBK" w:eastAsia="方正仿宋_GBK" w:cs="方正仿宋_GBK"/>
          <w:kern w:val="0"/>
          <w:sz w:val="32"/>
          <w:szCs w:val="32"/>
          <w:shd w:val="clear" w:fill="FFFFFF"/>
          <w:lang w:val="en-US" w:eastAsia="zh-CN"/>
        </w:rPr>
        <w:t>2023年度收入总计204.84万元，支出总计204.84万元。收支较上年决算数减少11.15万元，下降5.16%，主要原因一是调减了公积金缴费基数，导致人员经费减少；二是医疗保障基金监管项目资金减少。</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firstLine="643" w:firstLineChars="200"/>
        <w:jc w:val="both"/>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b/>
          <w:bCs/>
          <w:kern w:val="0"/>
          <w:sz w:val="32"/>
          <w:szCs w:val="32"/>
          <w:shd w:val="clear" w:fill="FFFFFF"/>
          <w:lang w:val="en-US" w:eastAsia="zh-CN"/>
        </w:rPr>
        <w:t>2.收入情况。</w:t>
      </w:r>
      <w:r>
        <w:rPr>
          <w:rFonts w:hint="eastAsia" w:ascii="方正仿宋_GBK" w:hAnsi="方正仿宋_GBK" w:eastAsia="方正仿宋_GBK" w:cs="方正仿宋_GBK"/>
          <w:kern w:val="0"/>
          <w:sz w:val="32"/>
          <w:szCs w:val="32"/>
          <w:shd w:val="clear" w:fill="FFFFFF"/>
          <w:lang w:val="en-US" w:eastAsia="zh-CN"/>
        </w:rPr>
        <w:t>2023年度收入合计204.84万元，较上年决算数减少11.15万元，下降5.16%，主要原因一是调减了公积金缴费基数，导致人员经费减少；二是医疗保障基金监管项目资金减少。其中：财政拨款收入204.84万元，占比100.00%。此外，使用非财政拨款结余和专用结余0.00万元，年初结转结余0.00万元。</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firstLine="643" w:firstLineChars="200"/>
        <w:jc w:val="both"/>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b/>
          <w:bCs/>
          <w:kern w:val="0"/>
          <w:sz w:val="32"/>
          <w:szCs w:val="32"/>
          <w:shd w:val="clear" w:fill="FFFFFF"/>
          <w:lang w:val="en-US" w:eastAsia="zh-CN"/>
        </w:rPr>
        <w:t>3.支出情况。</w:t>
      </w:r>
      <w:r>
        <w:rPr>
          <w:rFonts w:hint="eastAsia" w:ascii="方正仿宋_GBK" w:hAnsi="方正仿宋_GBK" w:eastAsia="方正仿宋_GBK" w:cs="方正仿宋_GBK"/>
          <w:kern w:val="0"/>
          <w:sz w:val="32"/>
          <w:szCs w:val="32"/>
          <w:shd w:val="clear" w:fill="FFFFFF"/>
          <w:lang w:val="en-US" w:eastAsia="zh-CN"/>
        </w:rPr>
        <w:t>2023年度支出合计204.84万元，较上年决算数减少11.15万元，下降5.16%，主要原因一是调减了公积金缴费基数，导致人员经费减少；二是医疗保障基金监管项目资金减少。其中：基本支出162.93万元，占比79.54%。</w:t>
      </w:r>
      <w:r>
        <w:rPr>
          <w:rFonts w:hint="eastAsia" w:ascii="方正仿宋_GBK" w:hAnsi="方正仿宋_GBK" w:eastAsia="方正仿宋_GBK" w:cs="方正仿宋_GBK"/>
          <w:kern w:val="0"/>
          <w:sz w:val="32"/>
          <w:szCs w:val="32"/>
          <w:shd w:val="clear" w:fill="FFFFFF"/>
          <w:lang w:val="en-US" w:eastAsia="zh-CN" w:bidi="ar"/>
        </w:rPr>
        <w:t>项目支出41.92万元，占20.46%。此外，结余分配0.00万元</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firstLine="643" w:firstLineChars="200"/>
        <w:jc w:val="both"/>
        <w:textAlignment w:val="auto"/>
        <w:rPr>
          <w:rFonts w:hint="default"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b/>
          <w:bCs/>
          <w:kern w:val="0"/>
          <w:sz w:val="32"/>
          <w:szCs w:val="32"/>
          <w:shd w:val="clear" w:fill="FFFFFF"/>
          <w:lang w:val="en-US" w:eastAsia="zh-CN" w:bidi="ar"/>
        </w:rPr>
        <w:t>4.结转结余情况。</w:t>
      </w:r>
      <w:r>
        <w:rPr>
          <w:rFonts w:hint="eastAsia" w:ascii="方正仿宋_GBK" w:hAnsi="方正仿宋_GBK" w:eastAsia="方正仿宋_GBK" w:cs="方正仿宋_GBK"/>
          <w:kern w:val="0"/>
          <w:sz w:val="32"/>
          <w:szCs w:val="32"/>
          <w:shd w:val="clear" w:fill="FFFFFF"/>
          <w:lang w:val="en-US" w:eastAsia="zh-CN" w:bidi="ar"/>
        </w:rPr>
        <w:t>2023年度年末结转和结余0.00万元，较上年决算数无增减，主要原因是本年末无结转结余。</w:t>
      </w:r>
    </w:p>
    <w:p>
      <w:pPr>
        <w:pStyle w:val="16"/>
        <w:keepNext w:val="0"/>
        <w:keepLines w:val="0"/>
        <w:widowControl/>
        <w:suppressLineNumbers w:val="0"/>
        <w:autoSpaceDE/>
        <w:autoSpaceDN w:val="0"/>
        <w:spacing w:before="0" w:beforeAutospacing="0" w:after="0" w:afterAutospacing="0"/>
        <w:ind w:left="0" w:firstLine="640"/>
        <w:jc w:val="both"/>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2023年度财政拨款收、支总计204.84万元。与2022年相比，财政拨款收、支总计各减少11.15万元，下降5.16%。主要原因一是调减了公积金缴费基数，导致人员经费减少；二是医疗保障基金监管项目资金减少。</w:t>
      </w:r>
    </w:p>
    <w:p>
      <w:pPr>
        <w:pStyle w:val="16"/>
        <w:keepNext w:val="0"/>
        <w:keepLines w:val="0"/>
        <w:widowControl/>
        <w:suppressLineNumbers w:val="0"/>
        <w:autoSpaceDE/>
        <w:autoSpaceDN w:val="0"/>
        <w:spacing w:before="0" w:beforeAutospacing="0" w:after="0" w:afterAutospacing="0"/>
        <w:ind w:left="0" w:firstLine="640"/>
        <w:jc w:val="both"/>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（三）一般公共预算财政拨款收入支出决算情况说明</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firstLine="643" w:firstLineChars="200"/>
        <w:jc w:val="both"/>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b/>
          <w:bCs/>
          <w:kern w:val="0"/>
          <w:sz w:val="32"/>
          <w:szCs w:val="32"/>
          <w:shd w:val="clear" w:fill="FFFFFF"/>
          <w:lang w:val="en-US" w:eastAsia="zh-CN"/>
        </w:rPr>
        <w:t>1.收入情况。</w:t>
      </w:r>
      <w:r>
        <w:rPr>
          <w:rFonts w:hint="eastAsia" w:ascii="方正仿宋_GBK" w:hAnsi="方正仿宋_GBK" w:eastAsia="方正仿宋_GBK" w:cs="方正仿宋_GBK"/>
          <w:kern w:val="0"/>
          <w:sz w:val="32"/>
          <w:szCs w:val="32"/>
          <w:shd w:val="clear" w:fill="FFFFFF"/>
          <w:lang w:val="en-US" w:eastAsia="zh-CN"/>
        </w:rPr>
        <w:t>2023年度</w:t>
      </w:r>
      <w:r>
        <w:rPr>
          <w:rFonts w:hint="eastAsia" w:ascii="方正仿宋_GBK" w:hAnsi="方正仿宋_GBK" w:eastAsia="方正仿宋_GBK" w:cs="方正仿宋_GBK"/>
          <w:kern w:val="0"/>
          <w:sz w:val="32"/>
          <w:szCs w:val="32"/>
          <w:shd w:val="clear" w:fill="FFFFFF"/>
          <w:lang w:val="en-US" w:eastAsia="zh-CN" w:bidi="ar"/>
        </w:rPr>
        <w:t>一般公共预算财政拨款收入</w:t>
      </w:r>
      <w:r>
        <w:rPr>
          <w:rFonts w:hint="eastAsia" w:ascii="方正仿宋_GBK" w:hAnsi="方正仿宋_GBK" w:eastAsia="方正仿宋_GBK" w:cs="方正仿宋_GBK"/>
          <w:kern w:val="0"/>
          <w:sz w:val="32"/>
          <w:szCs w:val="32"/>
          <w:shd w:val="clear" w:fill="FFFFFF"/>
          <w:lang w:val="en-US" w:eastAsia="zh-CN"/>
        </w:rPr>
        <w:t>204.84万元，较上年决算数减少11.15万元，下降5.16%，主要原因一是调减了公积金缴费基数，导致人员经费减少；二是医疗保障基金监管项目资金减少。</w:t>
      </w:r>
      <w:r>
        <w:rPr>
          <w:rFonts w:hint="eastAsia" w:ascii="方正仿宋_GBK" w:hAnsi="方正仿宋_GBK" w:eastAsia="方正仿宋_GBK" w:cs="方正仿宋_GBK"/>
          <w:kern w:val="0"/>
          <w:sz w:val="32"/>
          <w:szCs w:val="32"/>
          <w:shd w:val="clear" w:fill="FFFFFF"/>
          <w:lang w:val="en-US" w:eastAsia="zh-CN" w:bidi="ar"/>
        </w:rPr>
        <w:t>较年初预算数减少354.38万元，下降63.37%。主要原因是医保基金监管项目、医疗服务能力与提升项目资金减少。此外，年初财政拨款结转和结余0.00万元。</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firstLine="643" w:firstLineChars="200"/>
        <w:jc w:val="both"/>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b/>
          <w:bCs/>
          <w:kern w:val="0"/>
          <w:sz w:val="32"/>
          <w:szCs w:val="32"/>
          <w:shd w:val="clear" w:fill="FFFFFF"/>
          <w:lang w:val="en-US" w:eastAsia="zh-CN"/>
        </w:rPr>
        <w:t>2.支出情况。</w:t>
      </w:r>
      <w:r>
        <w:rPr>
          <w:rFonts w:hint="eastAsia" w:ascii="方正仿宋_GBK" w:hAnsi="方正仿宋_GBK" w:eastAsia="方正仿宋_GBK" w:cs="方正仿宋_GBK"/>
          <w:kern w:val="0"/>
          <w:sz w:val="32"/>
          <w:szCs w:val="32"/>
          <w:shd w:val="clear" w:fill="FFFFFF"/>
          <w:lang w:val="en-US" w:eastAsia="zh-CN" w:bidi="ar"/>
        </w:rPr>
        <w:t>2023年度一般公共预算财政拨款支出204.84万元，较上年决算数减少11.15万元，下降5.16%。主要原因一是调减了公积金缴费基数，导致人员经费减少；二是医疗保障基金监管项目资金减少。较年初预算数减少354.38万元，下降63.37%。主要原因是医保基金监管项目、医疗服务能力与提升项目资金减少。</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firstLine="643" w:firstLineChars="200"/>
        <w:jc w:val="both"/>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b/>
          <w:bCs/>
          <w:kern w:val="0"/>
          <w:sz w:val="32"/>
          <w:szCs w:val="32"/>
          <w:shd w:val="clear" w:fill="FFFFFF"/>
          <w:lang w:val="en-US" w:eastAsia="zh-CN"/>
        </w:rPr>
        <w:t>3.结转结余情况。</w:t>
      </w:r>
      <w:r>
        <w:rPr>
          <w:rFonts w:hint="eastAsia" w:ascii="方正仿宋_GBK" w:hAnsi="方正仿宋_GBK" w:eastAsia="方正仿宋_GBK" w:cs="方正仿宋_GBK"/>
          <w:kern w:val="0"/>
          <w:sz w:val="32"/>
          <w:szCs w:val="32"/>
          <w:shd w:val="clear" w:fill="FFFFFF"/>
          <w:lang w:val="en-US" w:eastAsia="zh-CN" w:bidi="ar"/>
        </w:rPr>
        <w:t>2023年度年末一般公共预算财政拨款结转和结余0.00万元，较上年决算数无增减，主要原因是本年末无结转结余。</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firstLine="643" w:firstLineChars="200"/>
        <w:jc w:val="both"/>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kern w:val="0"/>
          <w:sz w:val="32"/>
          <w:szCs w:val="32"/>
          <w:shd w:val="clear" w:fill="FFFFFF"/>
          <w:lang w:val="en-US" w:eastAsia="zh-CN"/>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firstLine="640" w:firstLineChars="200"/>
        <w:jc w:val="both"/>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（1）教育支出0.76万元，占0.37%，较年初预算数减少0.03万元，下降3.80%，主要原因是干部教育培训减少。</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firstLine="640" w:firstLineChars="200"/>
        <w:jc w:val="both"/>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（2）社会保障与就业支出22.77万元，占11.12%，较年初预算数减少0.01万元，下降0.04%，主要原因是年中清算人员经费。</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firstLine="640" w:firstLineChars="200"/>
        <w:jc w:val="both"/>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（3）卫生健康支出175.65万元，占85.75%，较年初预算数减少348.67万元，下降66.50%，主要原因是医保基金监管项目、医疗服务能力与提升项目资金减少。</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firstLine="640" w:firstLineChars="200"/>
        <w:jc w:val="both"/>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（4）住房保障支出5.67万元，占2.77%，较年初预算数减少5.67万元，下降50.00%，主要原因是公积金缴费减少。</w:t>
      </w:r>
    </w:p>
    <w:p>
      <w:pPr>
        <w:pStyle w:val="16"/>
        <w:keepNext w:val="0"/>
        <w:keepLines w:val="0"/>
        <w:widowControl/>
        <w:suppressLineNumbers w:val="0"/>
        <w:autoSpaceDE/>
        <w:autoSpaceDN w:val="0"/>
        <w:spacing w:before="0" w:beforeAutospacing="0" w:after="0" w:afterAutospacing="0"/>
        <w:ind w:left="0" w:firstLine="640"/>
        <w:jc w:val="both"/>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（四）一般公共预算财政拨款基本支出决算情况说明</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firstLine="640" w:firstLineChars="200"/>
        <w:jc w:val="both"/>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2023年度一般公共财政拨款基本支出162.93万元。其中：人员经费130.59万元，较上年决算数减少4.81万元，下降3.55%，主要原因是公积金缴费减少。人员经费用途主要包括基本工资、津贴补贴、奖金、社会保障缴费、住房公积金缴费等。公用经费32.33万元，较上年决算数增加0.44万元，增长1.38%，主要原因是购买办公用品支出增加。公用经费用途主要包括办公费、水电费、邮电费、物业管理费等。</w:t>
      </w:r>
    </w:p>
    <w:p>
      <w:pPr>
        <w:pStyle w:val="16"/>
        <w:keepNext w:val="0"/>
        <w:keepLines w:val="0"/>
        <w:widowControl/>
        <w:numPr>
          <w:ilvl w:val="0"/>
          <w:numId w:val="1"/>
        </w:numPr>
        <w:suppressLineNumbers w:val="0"/>
        <w:autoSpaceDE/>
        <w:autoSpaceDN w:val="0"/>
        <w:spacing w:before="0" w:beforeAutospacing="0" w:after="0" w:afterAutospacing="0"/>
        <w:ind w:left="0" w:firstLine="640"/>
        <w:jc w:val="both"/>
        <w:rPr>
          <w:rFonts w:hint="default"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kern w:val="0"/>
          <w:sz w:val="32"/>
          <w:szCs w:val="32"/>
          <w:shd w:val="clear" w:fill="FFFFFF"/>
        </w:rPr>
        <w:t>政府性基金预算收支决算情况说明</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firstLine="640" w:firstLineChars="200"/>
        <w:jc w:val="both"/>
        <w:textAlignment w:val="auto"/>
        <w:rPr>
          <w:rFonts w:hint="default"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本单位2023年度无政府性基金预算财政拨款收支。</w:t>
      </w:r>
    </w:p>
    <w:p>
      <w:pPr>
        <w:pStyle w:val="16"/>
        <w:keepNext w:val="0"/>
        <w:keepLines w:val="0"/>
        <w:widowControl/>
        <w:suppressLineNumbers w:val="0"/>
        <w:autoSpaceDE/>
        <w:autoSpaceDN w:val="0"/>
        <w:spacing w:before="0" w:beforeAutospacing="0" w:after="0" w:afterAutospacing="0"/>
        <w:ind w:left="0" w:firstLine="640"/>
        <w:jc w:val="both"/>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（六）国有资本经营预算财政拨款支出决算情况说明</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firstLine="640" w:firstLineChars="200"/>
        <w:jc w:val="both"/>
        <w:textAlignment w:val="auto"/>
        <w:rPr>
          <w:rFonts w:hint="default"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本单位2023年度无国有资本经营预算财政拨款支出。</w:t>
      </w:r>
    </w:p>
    <w:p>
      <w:pPr>
        <w:pStyle w:val="16"/>
        <w:keepNext w:val="0"/>
        <w:keepLines w:val="0"/>
        <w:widowControl/>
        <w:suppressLineNumbers w:val="0"/>
        <w:autoSpaceDE/>
        <w:autoSpaceDN w:val="0"/>
        <w:spacing w:before="0" w:beforeAutospacing="0" w:after="0" w:afterAutospacing="0"/>
        <w:ind w:left="0" w:firstLine="640"/>
        <w:jc w:val="both"/>
        <w:rPr>
          <w:rFonts w:hint="default" w:ascii="方正黑体_GBK" w:hAnsi="方正黑体_GBK" w:eastAsia="方正黑体_GBK" w:cs="方正黑体_GBK"/>
          <w:b w:val="0"/>
          <w:bCs w:val="0"/>
          <w:kern w:val="0"/>
          <w:sz w:val="32"/>
          <w:szCs w:val="32"/>
          <w:shd w:val="clear" w:fill="FFFFFF"/>
        </w:rPr>
      </w:pPr>
      <w:r>
        <w:rPr>
          <w:rFonts w:hint="eastAsia" w:ascii="方正黑体_GBK" w:hAnsi="方正黑体_GBK" w:eastAsia="方正黑体_GBK" w:cs="方正黑体_GBK"/>
          <w:b w:val="0"/>
          <w:bCs w:val="0"/>
          <w:kern w:val="0"/>
          <w:sz w:val="32"/>
          <w:szCs w:val="32"/>
          <w:shd w:val="clear"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w:t>
      </w:r>
      <w:r>
        <w:rPr>
          <w:rFonts w:hint="eastAsia" w:ascii="方正楷体_GBK" w:hAnsi="方正楷体_GBK" w:eastAsia="方正楷体_GBK" w:cs="方正楷体_GBK"/>
          <w:b w:val="0"/>
          <w:bCs w:val="0"/>
          <w:kern w:val="0"/>
          <w:sz w:val="32"/>
          <w:szCs w:val="32"/>
          <w:shd w:val="clear" w:fill="FFFFFF"/>
          <w:lang w:val="en-US" w:eastAsia="zh-CN" w:bidi="ar"/>
        </w:rPr>
        <w:t>（一）“三公”经费支出总体情况说明</w:t>
      </w:r>
    </w:p>
    <w:p>
      <w:pPr>
        <w:pStyle w:val="16"/>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3.36</w:t>
      </w:r>
      <w:r>
        <w:rPr>
          <w:rFonts w:ascii="方正仿宋_GBK" w:hAnsi="方正仿宋_GBK" w:eastAsia="方正仿宋_GBK" w:cs="方正仿宋_GBK"/>
          <w:sz w:val="32"/>
          <w:szCs w:val="32"/>
          <w:shd w:val="clear" w:color="auto" w:fill="FFFFFF"/>
        </w:rPr>
        <w:t>万元，较年初预算数减少1.54万元，下降31.43%，</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kern w:val="0"/>
          <w:sz w:val="32"/>
          <w:szCs w:val="32"/>
          <w:shd w:val="clear" w:fill="FFFFFF"/>
        </w:rPr>
        <w:t>严格执行《重庆市荣昌区人民政府办公室关于进一步深化财政管理改革实施政府过紧日子十条举措的通知》（荣昌府办发〔2020〕38号）文件精神，厉行节约。</w:t>
      </w:r>
      <w:r>
        <w:rPr>
          <w:rFonts w:ascii="方正仿宋_GBK" w:hAnsi="方正仿宋_GBK" w:eastAsia="方正仿宋_GBK" w:cs="方正仿宋_GBK"/>
          <w:sz w:val="32"/>
          <w:szCs w:val="32"/>
          <w:shd w:val="clear" w:color="auto" w:fill="FFFFFF"/>
        </w:rPr>
        <w:t>较上年支出数减少0.22万元，下降6.15%</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kern w:val="0"/>
          <w:sz w:val="32"/>
          <w:szCs w:val="32"/>
          <w:shd w:val="clear" w:fill="FFFFFF"/>
        </w:rPr>
        <w:t>主要原因是严格执行《重庆市荣昌区人民政府办公室关于进一步深化财政管理改革实施政府过紧日子十条举措的通知》（荣昌府办发〔2020〕38号）文件精神，厉行节约。</w:t>
      </w:r>
    </w:p>
    <w:p>
      <w:pPr>
        <w:pStyle w:val="16"/>
        <w:keepNext w:val="0"/>
        <w:keepLines w:val="0"/>
        <w:widowControl/>
        <w:suppressLineNumbers w:val="0"/>
        <w:autoSpaceDE/>
        <w:autoSpaceDN w:val="0"/>
        <w:spacing w:before="0" w:beforeAutospacing="0" w:after="0" w:afterAutospacing="0"/>
        <w:ind w:left="0" w:firstLine="640"/>
        <w:jc w:val="both"/>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（二）“三公”经费分项支出情况</w:t>
      </w:r>
    </w:p>
    <w:p>
      <w:pPr>
        <w:pStyle w:val="16"/>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ind w:left="0"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万元，主要是用于</w:t>
      </w:r>
      <w:r>
        <w:rPr>
          <w:rFonts w:hint="eastAsia" w:ascii="方正仿宋_GBK" w:hAnsi="方正仿宋_GBK" w:eastAsia="方正仿宋_GBK" w:cs="方正仿宋_GBK"/>
          <w:kern w:val="0"/>
          <w:sz w:val="32"/>
          <w:szCs w:val="32"/>
          <w:shd w:val="clear" w:fill="FFFFFF"/>
        </w:rPr>
        <w:t>公务人员公务出国（境）的国际旅费、国外城市间交通费、住宿费、伙食费、公杂费和其他费用。</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kern w:val="0"/>
          <w:sz w:val="32"/>
          <w:szCs w:val="32"/>
          <w:shd w:val="clear" w:fill="FFFFFF"/>
        </w:rPr>
        <w:t>本单位202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年度未发生因公出国（境）费用支出。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kern w:val="0"/>
          <w:sz w:val="32"/>
          <w:szCs w:val="32"/>
          <w:shd w:val="clear" w:fill="FFFFFF"/>
        </w:rPr>
        <w:t>本单位202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年度未发生因公出国（境）费用支出。</w:t>
      </w:r>
    </w:p>
    <w:p>
      <w:pPr>
        <w:pStyle w:val="16"/>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ind w:left="0"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kern w:val="0"/>
          <w:sz w:val="32"/>
          <w:szCs w:val="32"/>
          <w:shd w:val="clear" w:fill="FFFFFF"/>
        </w:rPr>
        <w:t>购买公务用车。</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kern w:val="0"/>
          <w:sz w:val="32"/>
          <w:szCs w:val="32"/>
          <w:shd w:val="clear" w:fill="FFFFFF"/>
        </w:rPr>
        <w:t>本单位202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年度未发生公务车购置费支出。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kern w:val="0"/>
          <w:sz w:val="32"/>
          <w:szCs w:val="32"/>
          <w:shd w:val="clear" w:fill="FFFFFF"/>
        </w:rPr>
        <w:t>本单位202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年度未发生公务车购置费支出。</w:t>
      </w:r>
    </w:p>
    <w:p>
      <w:pPr>
        <w:pStyle w:val="16"/>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ind w:left="0"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3.06</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kern w:val="0"/>
          <w:sz w:val="32"/>
          <w:szCs w:val="32"/>
          <w:shd w:val="clear" w:fill="FFFFFF"/>
        </w:rPr>
        <w:t>公务车日常维修、燃料、保险以及停车费相关费用。</w:t>
      </w:r>
      <w:r>
        <w:rPr>
          <w:rFonts w:ascii="方正仿宋_GBK" w:hAnsi="方正仿宋_GBK" w:eastAsia="方正仿宋_GBK" w:cs="方正仿宋_GBK"/>
          <w:sz w:val="32"/>
          <w:szCs w:val="32"/>
          <w:shd w:val="clear" w:color="auto" w:fill="FFFFFF"/>
        </w:rPr>
        <w:t>费用支出较年初预算数减少0.94万元，下降23.50%，主要原因是</w:t>
      </w:r>
      <w:r>
        <w:rPr>
          <w:rFonts w:hint="eastAsia" w:ascii="方正仿宋_GBK" w:hAnsi="方正仿宋_GBK" w:eastAsia="方正仿宋_GBK" w:cs="方正仿宋_GBK"/>
          <w:kern w:val="0"/>
          <w:sz w:val="32"/>
          <w:szCs w:val="32"/>
          <w:shd w:val="clear" w:fill="FFFFFF"/>
        </w:rPr>
        <w:t>加强公务车管理，节省费用开支。</w:t>
      </w:r>
      <w:r>
        <w:rPr>
          <w:rFonts w:ascii="方正仿宋_GBK" w:hAnsi="方正仿宋_GBK" w:eastAsia="方正仿宋_GBK" w:cs="方正仿宋_GBK"/>
          <w:sz w:val="32"/>
          <w:szCs w:val="32"/>
          <w:shd w:val="clear" w:color="auto" w:fill="FFFFFF"/>
        </w:rPr>
        <w:t>较上年支出数减少0.32万元，下降9.47%，主要原因是</w:t>
      </w:r>
      <w:r>
        <w:rPr>
          <w:rFonts w:hint="eastAsia" w:ascii="方正仿宋_GBK" w:hAnsi="方正仿宋_GBK" w:eastAsia="方正仿宋_GBK" w:cs="方正仿宋_GBK"/>
          <w:kern w:val="0"/>
          <w:sz w:val="32"/>
          <w:szCs w:val="32"/>
          <w:shd w:val="clear" w:fill="FFFFFF"/>
        </w:rPr>
        <w:t>加强公务车管理，节省费用开支。</w:t>
      </w:r>
    </w:p>
    <w:p>
      <w:pPr>
        <w:pStyle w:val="16"/>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ind w:left="0"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0.30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kern w:val="0"/>
          <w:sz w:val="32"/>
          <w:szCs w:val="32"/>
          <w:shd w:val="clear" w:fill="FFFFFF"/>
        </w:rPr>
        <w:t>接待上级领导视察工作以及交叉检查的相关工作人员。</w:t>
      </w:r>
      <w:r>
        <w:rPr>
          <w:rFonts w:ascii="方正仿宋_GBK" w:hAnsi="方正仿宋_GBK" w:eastAsia="方正仿宋_GBK" w:cs="方正仿宋_GBK"/>
          <w:sz w:val="32"/>
          <w:szCs w:val="32"/>
          <w:shd w:val="clear" w:color="auto" w:fill="FFFFFF"/>
        </w:rPr>
        <w:t>费用支出较年初预算数减少0.60万元，下降66.67%，主要原因是</w:t>
      </w:r>
      <w:r>
        <w:rPr>
          <w:rFonts w:hint="eastAsia" w:ascii="方正仿宋_GBK" w:hAnsi="方正仿宋_GBK" w:eastAsia="方正仿宋_GBK" w:cs="方正仿宋_GBK"/>
          <w:kern w:val="0"/>
          <w:sz w:val="32"/>
          <w:szCs w:val="32"/>
          <w:shd w:val="clear" w:fill="FFFFFF"/>
          <w:lang w:eastAsia="zh-CN"/>
        </w:rPr>
        <w:t>严控“三公经费”支出。</w:t>
      </w:r>
      <w:r>
        <w:rPr>
          <w:rFonts w:ascii="方正仿宋_GBK" w:hAnsi="方正仿宋_GBK" w:eastAsia="方正仿宋_GBK" w:cs="方正仿宋_GBK"/>
          <w:sz w:val="32"/>
          <w:szCs w:val="32"/>
          <w:shd w:val="clear" w:color="auto" w:fill="FFFFFF"/>
        </w:rPr>
        <w:t>较上年支出数增加0.09万元，增长42.86%，主要原因是</w:t>
      </w:r>
      <w:r>
        <w:rPr>
          <w:rFonts w:hint="eastAsia" w:ascii="方正仿宋_GBK" w:hAnsi="方正仿宋_GBK" w:eastAsia="方正仿宋_GBK" w:cs="方正仿宋_GBK"/>
          <w:sz w:val="32"/>
          <w:szCs w:val="32"/>
          <w:shd w:val="clear" w:color="auto" w:fill="FFFFFF"/>
          <w:lang w:eastAsia="zh-CN"/>
        </w:rPr>
        <w:t>本年来荣飞行检查次数增多。</w:t>
      </w:r>
    </w:p>
    <w:p>
      <w:pPr>
        <w:pStyle w:val="16"/>
        <w:keepNext w:val="0"/>
        <w:keepLines w:val="0"/>
        <w:widowControl/>
        <w:suppressLineNumbers w:val="0"/>
        <w:autoSpaceDE/>
        <w:autoSpaceDN w:val="0"/>
        <w:spacing w:before="0" w:beforeAutospacing="0" w:after="0" w:afterAutospacing="0"/>
        <w:ind w:left="0" w:firstLine="640"/>
        <w:jc w:val="both"/>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（三）“三公”经费实物量情况</w:t>
      </w:r>
    </w:p>
    <w:p>
      <w:pPr>
        <w:pStyle w:val="16"/>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98.33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3.06</w:t>
      </w:r>
      <w:r>
        <w:rPr>
          <w:rFonts w:ascii="方正仿宋_GBK" w:hAnsi="方正仿宋_GBK" w:eastAsia="方正仿宋_GBK" w:cs="方正仿宋_GBK"/>
          <w:sz w:val="32"/>
          <w:szCs w:val="32"/>
          <w:shd w:val="clear" w:color="auto" w:fill="FFFFFF"/>
        </w:rPr>
        <w:t>万元。</w:t>
      </w:r>
    </w:p>
    <w:p>
      <w:pPr>
        <w:pStyle w:val="16"/>
        <w:keepNext w:val="0"/>
        <w:keepLines w:val="0"/>
        <w:widowControl/>
        <w:suppressLineNumbers w:val="0"/>
        <w:autoSpaceDE/>
        <w:autoSpaceDN w:val="0"/>
        <w:spacing w:before="0" w:beforeAutospacing="0" w:after="0" w:afterAutospacing="0"/>
        <w:ind w:left="0" w:firstLine="640"/>
        <w:jc w:val="both"/>
        <w:rPr>
          <w:rFonts w:hint="default" w:ascii="方正黑体_GBK" w:hAnsi="方正黑体_GBK" w:eastAsia="方正黑体_GBK" w:cs="方正黑体_GBK"/>
          <w:b w:val="0"/>
          <w:bCs w:val="0"/>
          <w:kern w:val="0"/>
          <w:sz w:val="32"/>
          <w:szCs w:val="32"/>
          <w:shd w:val="clear" w:fill="FFFFFF"/>
        </w:rPr>
      </w:pPr>
      <w:r>
        <w:rPr>
          <w:rFonts w:hint="eastAsia" w:ascii="方正黑体_GBK" w:hAnsi="方正黑体_GBK" w:eastAsia="方正黑体_GBK" w:cs="方正黑体_GBK"/>
          <w:b w:val="0"/>
          <w:bCs w:val="0"/>
          <w:kern w:val="0"/>
          <w:sz w:val="32"/>
          <w:szCs w:val="32"/>
          <w:shd w:val="clear" w:fill="FFFFFF"/>
        </w:rPr>
        <w:t>四、其他需要说明的事项</w:t>
      </w:r>
    </w:p>
    <w:p>
      <w:pPr>
        <w:pStyle w:val="16"/>
        <w:keepNext w:val="0"/>
        <w:keepLines w:val="0"/>
        <w:widowControl/>
        <w:suppressLineNumbers w:val="0"/>
        <w:autoSpaceDE/>
        <w:autoSpaceDN w:val="0"/>
        <w:spacing w:before="0" w:beforeAutospacing="0" w:after="0" w:afterAutospacing="0"/>
        <w:ind w:left="0" w:firstLine="640"/>
        <w:jc w:val="both"/>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  （一）财政拨款会议费和培训费情况说明</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p>
    <w:p>
      <w:pPr>
        <w:pStyle w:val="16"/>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主要原因是本年度未发生会议费费用。</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1.35</w:t>
      </w:r>
      <w:r>
        <w:rPr>
          <w:rFonts w:ascii="方正仿宋_GBK" w:hAnsi="方正仿宋_GBK" w:eastAsia="方正仿宋_GBK" w:cs="方正仿宋_GBK"/>
          <w:sz w:val="32"/>
          <w:szCs w:val="32"/>
          <w:shd w:val="clear" w:color="auto" w:fill="FFFFFF"/>
        </w:rPr>
        <w:t>万元，较上年决算数减少0.40万元，下降22.86%，主要原因是</w:t>
      </w:r>
      <w:r>
        <w:rPr>
          <w:rFonts w:hint="eastAsia" w:ascii="方正仿宋_GBK" w:hAnsi="方正仿宋_GBK" w:eastAsia="方正仿宋_GBK" w:cs="方正仿宋_GBK"/>
          <w:sz w:val="32"/>
          <w:szCs w:val="32"/>
          <w:shd w:val="clear" w:color="auto" w:fill="FFFFFF"/>
          <w:lang w:eastAsia="zh-CN"/>
        </w:rPr>
        <w:t>干部教育培训减少</w:t>
      </w:r>
      <w:r>
        <w:rPr>
          <w:rFonts w:ascii="方正仿宋_GBK" w:hAnsi="方正仿宋_GBK" w:eastAsia="方正仿宋_GBK" w:cs="方正仿宋_GBK"/>
          <w:sz w:val="32"/>
          <w:szCs w:val="32"/>
          <w:shd w:val="clear" w:color="auto" w:fill="FFFFFF"/>
        </w:rPr>
        <w:t>。</w:t>
      </w:r>
    </w:p>
    <w:p>
      <w:pPr>
        <w:pStyle w:val="16"/>
        <w:keepNext w:val="0"/>
        <w:keepLines w:val="0"/>
        <w:widowControl/>
        <w:suppressLineNumbers w:val="0"/>
        <w:autoSpaceDE/>
        <w:autoSpaceDN w:val="0"/>
        <w:spacing w:before="0" w:beforeAutospacing="0" w:after="0" w:afterAutospacing="0"/>
        <w:ind w:left="0" w:firstLine="640"/>
        <w:jc w:val="both"/>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（二）机关运行经费情况说明</w:t>
      </w:r>
    </w:p>
    <w:p>
      <w:pPr>
        <w:pStyle w:val="16"/>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ind w:left="0"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32.33</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lang w:eastAsia="zh-CN"/>
        </w:rPr>
        <w:t>办公费、水电费、邮电费、物业管理费等。</w:t>
      </w:r>
      <w:r>
        <w:rPr>
          <w:rFonts w:ascii="方正仿宋_GBK" w:hAnsi="方正仿宋_GBK" w:eastAsia="方正仿宋_GBK" w:cs="方正仿宋_GBK"/>
          <w:sz w:val="32"/>
          <w:szCs w:val="32"/>
          <w:shd w:val="clear" w:color="auto" w:fill="FFFFFF"/>
        </w:rPr>
        <w:t>机关运行经费较上年支出数增加0.44万元，增长1.38%，主要原因是</w:t>
      </w:r>
      <w:r>
        <w:rPr>
          <w:rFonts w:hint="eastAsia" w:ascii="方正仿宋_GBK" w:hAnsi="方正仿宋_GBK" w:eastAsia="方正仿宋_GBK" w:cs="方正仿宋_GBK"/>
          <w:sz w:val="32"/>
          <w:szCs w:val="32"/>
          <w:shd w:val="clear" w:color="auto" w:fill="FFFFFF"/>
          <w:lang w:eastAsia="zh-CN"/>
        </w:rPr>
        <w:t>本年购买办公用品支出增加。</w:t>
      </w:r>
    </w:p>
    <w:p>
      <w:pPr>
        <w:pStyle w:val="16"/>
        <w:keepNext w:val="0"/>
        <w:keepLines w:val="0"/>
        <w:widowControl/>
        <w:suppressLineNumbers w:val="0"/>
        <w:autoSpaceDE/>
        <w:autoSpaceDN w:val="0"/>
        <w:spacing w:before="0" w:beforeAutospacing="0" w:after="0" w:afterAutospacing="0"/>
        <w:ind w:left="0" w:firstLine="640"/>
        <w:jc w:val="both"/>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（三）国有资产占用情况说明</w:t>
      </w:r>
    </w:p>
    <w:p>
      <w:pPr>
        <w:pStyle w:val="16"/>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6"/>
        <w:keepNext w:val="0"/>
        <w:keepLines w:val="0"/>
        <w:widowControl/>
        <w:suppressLineNumbers w:val="0"/>
        <w:autoSpaceDE/>
        <w:autoSpaceDN w:val="0"/>
        <w:spacing w:before="0" w:beforeAutospacing="0" w:after="0" w:afterAutospacing="0"/>
        <w:ind w:left="0" w:firstLine="640"/>
        <w:jc w:val="both"/>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（四）政府采购支出情况说明</w:t>
      </w:r>
    </w:p>
    <w:p>
      <w:pPr>
        <w:pStyle w:val="16"/>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ind w:left="0"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2023年度我单位未发生政府采购事项，无相关经费支出。</w:t>
      </w:r>
    </w:p>
    <w:p>
      <w:pPr>
        <w:pStyle w:val="16"/>
        <w:keepNext w:val="0"/>
        <w:keepLines w:val="0"/>
        <w:widowControl/>
        <w:suppressLineNumbers w:val="0"/>
        <w:autoSpaceDE/>
        <w:autoSpaceDN w:val="0"/>
        <w:spacing w:before="0" w:beforeAutospacing="0" w:after="0" w:afterAutospacing="0"/>
        <w:ind w:left="0" w:firstLine="640"/>
        <w:jc w:val="both"/>
        <w:rPr>
          <w:rFonts w:hint="default" w:ascii="方正黑体_GBK" w:hAnsi="方正黑体_GBK" w:eastAsia="方正黑体_GBK" w:cs="方正黑体_GBK"/>
          <w:b w:val="0"/>
          <w:bCs w:val="0"/>
          <w:kern w:val="0"/>
          <w:sz w:val="32"/>
          <w:szCs w:val="32"/>
          <w:shd w:val="clear" w:fill="FFFFFF"/>
        </w:rPr>
      </w:pPr>
      <w:r>
        <w:rPr>
          <w:rFonts w:hint="eastAsia" w:ascii="方正黑体_GBK" w:hAnsi="方正黑体_GBK" w:eastAsia="方正黑体_GBK" w:cs="方正黑体_GBK"/>
          <w:b w:val="0"/>
          <w:bCs w:val="0"/>
          <w:kern w:val="0"/>
          <w:sz w:val="32"/>
          <w:szCs w:val="32"/>
          <w:shd w:val="clear" w:fill="FFFFFF"/>
          <w:lang w:val="en-US" w:eastAsia="zh-CN"/>
        </w:rPr>
        <w:t>五、</w:t>
      </w:r>
      <w:r>
        <w:rPr>
          <w:rFonts w:hint="eastAsia" w:ascii="方正黑体_GBK" w:hAnsi="方正黑体_GBK" w:eastAsia="方正黑体_GBK" w:cs="方正黑体_GBK"/>
          <w:b w:val="0"/>
          <w:bCs w:val="0"/>
          <w:kern w:val="0"/>
          <w:sz w:val="32"/>
          <w:szCs w:val="32"/>
          <w:shd w:val="clear" w:fill="FFFFFF"/>
        </w:rPr>
        <w:t>预算绩效管理情况说明</w:t>
      </w:r>
    </w:p>
    <w:p>
      <w:pPr>
        <w:pStyle w:val="16"/>
        <w:keepNext w:val="0"/>
        <w:keepLines w:val="0"/>
        <w:widowControl/>
        <w:suppressLineNumbers w:val="0"/>
        <w:autoSpaceDE/>
        <w:autoSpaceDN w:val="0"/>
        <w:spacing w:before="0" w:beforeAutospacing="0" w:after="0" w:afterAutospacing="0"/>
        <w:ind w:left="0" w:firstLine="640"/>
        <w:jc w:val="both"/>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（一）单位自评情况</w:t>
      </w:r>
    </w:p>
    <w:p>
      <w:pPr>
        <w:pStyle w:val="16"/>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ind w:left="0"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3个</w:t>
      </w:r>
      <w:r>
        <w:rPr>
          <w:rFonts w:hint="eastAsia" w:ascii="方正仿宋_GBK" w:hAnsi="方正仿宋_GBK" w:eastAsia="方正仿宋_GBK" w:cs="方正仿宋_GBK"/>
          <w:sz w:val="32"/>
          <w:szCs w:val="32"/>
          <w:shd w:val="clear" w:color="auto" w:fill="FFFFFF"/>
        </w:rPr>
        <w:t>项目开展了绩效自评，涉及项目支出资金</w:t>
      </w:r>
      <w:r>
        <w:rPr>
          <w:rFonts w:hint="eastAsia" w:ascii="方正仿宋_GBK" w:hAnsi="方正仿宋_GBK" w:eastAsia="方正仿宋_GBK" w:cs="方正仿宋_GBK"/>
          <w:sz w:val="32"/>
          <w:szCs w:val="32"/>
          <w:shd w:val="clear" w:color="auto" w:fill="FFFFFF"/>
          <w:lang w:val="en-US" w:eastAsia="zh-CN"/>
        </w:rPr>
        <w:t>41.91</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6"/>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ind w:left="0"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本单位项目支出绩效自评表</w:t>
      </w:r>
    </w:p>
    <w:tbl>
      <w:tblPr>
        <w:tblStyle w:val="7"/>
        <w:tblW w:w="8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77"/>
        <w:gridCol w:w="650"/>
        <w:gridCol w:w="520"/>
        <w:gridCol w:w="660"/>
        <w:gridCol w:w="810"/>
        <w:gridCol w:w="945"/>
        <w:gridCol w:w="592"/>
        <w:gridCol w:w="581"/>
        <w:gridCol w:w="581"/>
        <w:gridCol w:w="781"/>
        <w:gridCol w:w="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1" w:hRule="exact"/>
        </w:trPr>
        <w:tc>
          <w:tcPr>
            <w:tcW w:w="869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8" w:hRule="exact"/>
        </w:trPr>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医疗保障基金监管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50015322T000000084952</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8" w:hRule="atLeast"/>
        </w:trPr>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134-重庆市荣昌区医疗保障局</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006-社保科</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唐宇然</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0"/>
                <w:szCs w:val="20"/>
                <w:u w:val="none"/>
                <w:lang w:val="en-US" w:eastAsia="zh-CN" w:bidi="ar"/>
              </w:rPr>
              <w:t>联系电话：</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46257677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8" w:hRule="exact"/>
        </w:trPr>
        <w:tc>
          <w:tcPr>
            <w:tcW w:w="869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2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3" w:hRule="atLeast"/>
        </w:trPr>
        <w:tc>
          <w:tcPr>
            <w:tcW w:w="242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380,000.00 </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87,140.00 </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87,140.00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8" w:hRule="atLeast"/>
        </w:trPr>
        <w:tc>
          <w:tcPr>
            <w:tcW w:w="242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380,000.00 </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87,140.00 </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87,140.00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10.00</w:t>
            </w: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3" w:hRule="atLeast"/>
        </w:trPr>
        <w:tc>
          <w:tcPr>
            <w:tcW w:w="242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380,000.00 </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87,140.00 </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87,140.00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3" w:hRule="exact"/>
        </w:trPr>
        <w:tc>
          <w:tcPr>
            <w:tcW w:w="869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1" w:hRule="exact"/>
        </w:trPr>
        <w:tc>
          <w:tcPr>
            <w:tcW w:w="36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292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9" w:hRule="atLeast"/>
        </w:trPr>
        <w:tc>
          <w:tcPr>
            <w:tcW w:w="360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宣传贯彻《医疗保障基金使用监督管理条例》，打击欺诈骗保行为，确保基金安全平稳运行</w:t>
            </w:r>
          </w:p>
        </w:tc>
        <w:tc>
          <w:tcPr>
            <w:tcW w:w="292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宋体" w:hAnsi="宋体" w:eastAsia="宋体" w:cs="宋体"/>
                <w:i w:val="0"/>
                <w:color w:val="000000"/>
                <w:sz w:val="18"/>
                <w:szCs w:val="18"/>
                <w:u w:val="none"/>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认真宣传贯彻《医疗保障基金使用监督管理条例》，严厉打击欺诈骗保行为，确保了基金安全平稳运行。查处违约金及罚金金153.98万元，协议机构检查率100%，追回医保基金579万元，检查结果公开率100%，检查人员无被投诉情况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exact"/>
        </w:trPr>
        <w:tc>
          <w:tcPr>
            <w:tcW w:w="869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查处违约金及罚金金额</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28.25</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协议机构检查率</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5.26</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追回医保基金金额</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151.74</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检查结果公开率</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5.26</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检查人员被投诉次数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见附件</w:t>
            </w:r>
          </w:p>
        </w:tc>
      </w:tr>
    </w:tbl>
    <w:p>
      <w:pPr>
        <w:pStyle w:val="12"/>
        <w:autoSpaceDE w:val="0"/>
        <w:spacing w:before="0" w:beforeAutospacing="0" w:line="600" w:lineRule="exact"/>
        <w:rPr>
          <w:rFonts w:hint="eastAsia" w:ascii="方正仿宋_GBK" w:hAnsi="方正仿宋_GBK" w:eastAsia="方正仿宋_GBK" w:cs="方正仿宋_GBK"/>
          <w:sz w:val="32"/>
          <w:szCs w:val="32"/>
          <w:shd w:val="clear" w:color="auto" w:fill="FFFFFF"/>
          <w:lang w:eastAsia="zh-CN"/>
        </w:rPr>
        <w:sectPr>
          <w:footerReference r:id="rId3" w:type="default"/>
          <w:pgSz w:w="11915" w:h="16840"/>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7"/>
        <w:tblW w:w="83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47"/>
        <w:gridCol w:w="90"/>
        <w:gridCol w:w="426"/>
        <w:gridCol w:w="99"/>
        <w:gridCol w:w="600"/>
        <w:gridCol w:w="60"/>
        <w:gridCol w:w="1005"/>
        <w:gridCol w:w="90"/>
        <w:gridCol w:w="527"/>
        <w:gridCol w:w="298"/>
        <w:gridCol w:w="420"/>
        <w:gridCol w:w="315"/>
        <w:gridCol w:w="300"/>
        <w:gridCol w:w="315"/>
        <w:gridCol w:w="285"/>
        <w:gridCol w:w="210"/>
        <w:gridCol w:w="450"/>
        <w:gridCol w:w="15"/>
        <w:gridCol w:w="585"/>
        <w:gridCol w:w="105"/>
        <w:gridCol w:w="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1" w:hRule="exact"/>
        </w:trPr>
        <w:tc>
          <w:tcPr>
            <w:tcW w:w="8339"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0" w:hRule="atLeast"/>
        </w:trPr>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2022年中央财政医疗服务与保障能力提升（医疗保障能力提升部分）</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1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50015322T000002082951</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 w:hRule="atLeast"/>
        </w:trPr>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134-重庆市荣昌区医疗保障局</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1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006-社保科</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王陈</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46251612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3" w:hRule="exact"/>
        </w:trPr>
        <w:tc>
          <w:tcPr>
            <w:tcW w:w="8339"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3" w:hRule="atLeast"/>
        </w:trPr>
        <w:tc>
          <w:tcPr>
            <w:tcW w:w="19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5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1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0" w:hRule="atLeast"/>
        </w:trPr>
        <w:tc>
          <w:tcPr>
            <w:tcW w:w="196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185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972,733.30 </w:t>
            </w:r>
          </w:p>
        </w:tc>
        <w:tc>
          <w:tcPr>
            <w:tcW w:w="1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235,081.00 </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235,081.00 </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5" w:hRule="atLeast"/>
        </w:trPr>
        <w:tc>
          <w:tcPr>
            <w:tcW w:w="196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85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972,733.30 </w:t>
            </w:r>
          </w:p>
        </w:tc>
        <w:tc>
          <w:tcPr>
            <w:tcW w:w="1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235,081.00 </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235,081.00 </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5" w:hRule="atLeast"/>
        </w:trPr>
        <w:tc>
          <w:tcPr>
            <w:tcW w:w="196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185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972,733.30 </w:t>
            </w:r>
          </w:p>
        </w:tc>
        <w:tc>
          <w:tcPr>
            <w:tcW w:w="1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235,081.00 </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235,081.00 </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3" w:hRule="exact"/>
        </w:trPr>
        <w:tc>
          <w:tcPr>
            <w:tcW w:w="8339"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1" w:hRule="atLeast"/>
        </w:trPr>
        <w:tc>
          <w:tcPr>
            <w:tcW w:w="3817"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267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185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3817"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提升综合监管、医保法</w:t>
            </w:r>
            <w:r>
              <w:rPr>
                <w:rFonts w:hint="eastAsia" w:cs="宋体"/>
                <w:i w:val="0"/>
                <w:color w:val="000000"/>
                <w:kern w:val="0"/>
                <w:sz w:val="18"/>
                <w:szCs w:val="18"/>
                <w:u w:val="none"/>
                <w:lang w:val="en-US" w:eastAsia="zh-CN" w:bidi="ar"/>
              </w:rPr>
              <w:t>治</w:t>
            </w:r>
            <w:r>
              <w:rPr>
                <w:rFonts w:hint="eastAsia" w:ascii="宋体" w:hAnsi="宋体" w:eastAsia="宋体" w:cs="宋体"/>
                <w:i w:val="0"/>
                <w:color w:val="000000"/>
                <w:kern w:val="0"/>
                <w:sz w:val="18"/>
                <w:szCs w:val="18"/>
                <w:u w:val="none"/>
                <w:lang w:val="en-US" w:eastAsia="zh-CN" w:bidi="ar"/>
              </w:rPr>
              <w:t>建设、基金预警和风险防控、医保支付方式改革、医药价格监控和招采落地监控、宣传引导、经办服务、医保标准化水平、人才培训、“两病”工作落地。</w:t>
            </w:r>
          </w:p>
        </w:tc>
        <w:tc>
          <w:tcPr>
            <w:tcW w:w="2670"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提升综合监管、医保法</w:t>
            </w:r>
            <w:r>
              <w:rPr>
                <w:rFonts w:hint="eastAsia" w:cs="宋体"/>
                <w:i w:val="0"/>
                <w:color w:val="000000"/>
                <w:kern w:val="0"/>
                <w:sz w:val="18"/>
                <w:szCs w:val="18"/>
                <w:u w:val="none"/>
                <w:lang w:val="en-US" w:eastAsia="zh-CN" w:bidi="ar"/>
              </w:rPr>
              <w:t>治</w:t>
            </w:r>
            <w:r>
              <w:rPr>
                <w:rFonts w:hint="eastAsia" w:ascii="宋体" w:hAnsi="宋体" w:eastAsia="宋体" w:cs="宋体"/>
                <w:i w:val="0"/>
                <w:color w:val="000000"/>
                <w:kern w:val="0"/>
                <w:sz w:val="18"/>
                <w:szCs w:val="18"/>
                <w:u w:val="none"/>
                <w:lang w:val="en-US" w:eastAsia="zh-CN" w:bidi="ar"/>
              </w:rPr>
              <w:t>建设、基金预警和风险防控、医保支付方式改革、医药价格监控和招采落地监控、宣传引导、经办服务、医保标准化水平、人才培训、“两病”工作落地。</w:t>
            </w:r>
          </w:p>
        </w:tc>
        <w:tc>
          <w:tcPr>
            <w:tcW w:w="1852"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完成了年初设定的绩效目标，定点医疗机构监督检查及检查问题公开率均为100%，医保标准化水平和医保宣传能力得到了有效改善，参保人员对医保服务的满意度达90%。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3" w:hRule="exact"/>
        </w:trPr>
        <w:tc>
          <w:tcPr>
            <w:tcW w:w="8339"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1" w:hRule="atLeast"/>
        </w:trPr>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定点医疗机构监督检查覆盖率</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11.11</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3" w:hRule="atLeast"/>
        </w:trPr>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医保标准化水平</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有效改善</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3" w:hRule="atLeast"/>
        </w:trPr>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医保宣传能力</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有效改善</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检查问题公开率</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11.11</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参保人员对医保服务满意度</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18.75</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1" w:hRule="exact"/>
        </w:trPr>
        <w:tc>
          <w:tcPr>
            <w:tcW w:w="8339"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18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医疗服务与保障能力提升</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13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50015323T000003536330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7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3" w:hRule="atLeast"/>
        </w:trPr>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118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134-重庆市荣昌区医疗保障局</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13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006-社保科</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王陈</w:t>
            </w:r>
          </w:p>
        </w:tc>
        <w:tc>
          <w:tcPr>
            <w:tcW w:w="7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0"/>
                <w:szCs w:val="20"/>
                <w:u w:val="none"/>
                <w:lang w:val="en-US" w:eastAsia="zh-CN" w:bidi="ar"/>
              </w:rPr>
              <w:t>联系电话：</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46251612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3" w:hRule="exact"/>
        </w:trPr>
        <w:tc>
          <w:tcPr>
            <w:tcW w:w="8339"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3" w:hRule="atLeast"/>
        </w:trPr>
        <w:tc>
          <w:tcPr>
            <w:tcW w:w="206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13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7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8" w:hRule="atLeast"/>
        </w:trPr>
        <w:tc>
          <w:tcPr>
            <w:tcW w:w="206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2,500,000.00 </w:t>
            </w:r>
          </w:p>
        </w:tc>
        <w:tc>
          <w:tcPr>
            <w:tcW w:w="13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96,946.00 </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96,946.00 </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7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8" w:hRule="atLeast"/>
        </w:trPr>
        <w:tc>
          <w:tcPr>
            <w:tcW w:w="206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2,500,000.00 </w:t>
            </w:r>
          </w:p>
        </w:tc>
        <w:tc>
          <w:tcPr>
            <w:tcW w:w="13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96,946.00 </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96,946.00 </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8" w:hRule="atLeast"/>
        </w:trPr>
        <w:tc>
          <w:tcPr>
            <w:tcW w:w="206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2,500,000.00 </w:t>
            </w:r>
          </w:p>
        </w:tc>
        <w:tc>
          <w:tcPr>
            <w:tcW w:w="13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96,946.00 </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96,946.00 </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exact"/>
        </w:trPr>
        <w:tc>
          <w:tcPr>
            <w:tcW w:w="8339"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3727"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255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06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0" w:hRule="atLeast"/>
        </w:trPr>
        <w:tc>
          <w:tcPr>
            <w:tcW w:w="3727"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提升综合监管、医保法</w:t>
            </w:r>
            <w:r>
              <w:rPr>
                <w:rFonts w:hint="eastAsia" w:cs="宋体"/>
                <w:i w:val="0"/>
                <w:color w:val="000000"/>
                <w:kern w:val="0"/>
                <w:sz w:val="18"/>
                <w:szCs w:val="18"/>
                <w:u w:val="none"/>
                <w:lang w:val="en-US" w:eastAsia="zh-CN" w:bidi="ar"/>
              </w:rPr>
              <w:t>治</w:t>
            </w:r>
            <w:bookmarkStart w:id="0" w:name="_GoBack"/>
            <w:bookmarkEnd w:id="0"/>
            <w:r>
              <w:rPr>
                <w:rFonts w:hint="eastAsia" w:ascii="宋体" w:hAnsi="宋体" w:eastAsia="宋体" w:cs="宋体"/>
                <w:i w:val="0"/>
                <w:color w:val="000000"/>
                <w:kern w:val="0"/>
                <w:sz w:val="18"/>
                <w:szCs w:val="18"/>
                <w:u w:val="none"/>
                <w:lang w:val="en-US" w:eastAsia="zh-CN" w:bidi="ar"/>
              </w:rPr>
              <w:t>建设、基金预警和风险防控、医保支付方式改革、医药价格监控和招采落地监控、宣传引导、经办服务、医保标准化水平、人才队伍建设、“两病”工作落地</w:t>
            </w:r>
          </w:p>
        </w:tc>
        <w:tc>
          <w:tcPr>
            <w:tcW w:w="2550"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宋体" w:hAnsi="宋体" w:eastAsia="宋体" w:cs="宋体"/>
                <w:i w:val="0"/>
                <w:color w:val="000000"/>
                <w:sz w:val="18"/>
                <w:szCs w:val="18"/>
                <w:u w:val="none"/>
              </w:rPr>
            </w:pPr>
          </w:p>
        </w:tc>
        <w:tc>
          <w:tcPr>
            <w:tcW w:w="2062"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面完成年初设定的绩效目标，召开医保工作会议2次，定点医疗机构监督检查率达到100%，跨省异地就医直接结算率达到90%，医保标准化水平显著提高，医保经办服务能力明显提高，参保人员对医保服务的满意度达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3" w:hRule="exact"/>
        </w:trPr>
        <w:tc>
          <w:tcPr>
            <w:tcW w:w="8339"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6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7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召开医保工作会议次数</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定点医疗机构监督检查覆盖率</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11.11</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跨省异地就医直接结算率</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28.57</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医保标准化水平</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显著提高</w:t>
            </w:r>
          </w:p>
        </w:tc>
        <w:tc>
          <w:tcPr>
            <w:tcW w:w="6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医保经办服务能力</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有所提高</w:t>
            </w:r>
          </w:p>
        </w:tc>
        <w:tc>
          <w:tcPr>
            <w:tcW w:w="6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参保人员对医保服务的满意度</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bl>
    <w:p>
      <w:pPr>
        <w:pStyle w:val="16"/>
        <w:keepNext w:val="0"/>
        <w:keepLines w:val="0"/>
        <w:widowControl/>
        <w:suppressLineNumbers w:val="0"/>
        <w:autoSpaceDE/>
        <w:autoSpaceDN w:val="0"/>
        <w:spacing w:before="0" w:beforeAutospacing="0" w:after="0" w:afterAutospacing="0"/>
        <w:ind w:left="0" w:firstLine="640"/>
        <w:jc w:val="both"/>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（二）单位绩效评价情况</w:t>
      </w:r>
    </w:p>
    <w:p>
      <w:pPr>
        <w:pStyle w:val="16"/>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ind w:left="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6"/>
        <w:keepNext w:val="0"/>
        <w:keepLines w:val="0"/>
        <w:widowControl/>
        <w:suppressLineNumbers w:val="0"/>
        <w:autoSpaceDE/>
        <w:autoSpaceDN w:val="0"/>
        <w:spacing w:before="0" w:beforeAutospacing="0" w:after="0" w:afterAutospacing="0"/>
        <w:ind w:left="0" w:firstLine="640"/>
        <w:jc w:val="both"/>
        <w:rPr>
          <w:rFonts w:hint="default" w:ascii="方正黑体_GBK" w:hAnsi="方正黑体_GBK" w:eastAsia="方正黑体_GBK" w:cs="方正黑体_GBK"/>
          <w:b w:val="0"/>
          <w:bCs w:val="0"/>
          <w:kern w:val="0"/>
          <w:sz w:val="32"/>
          <w:szCs w:val="32"/>
          <w:shd w:val="clear" w:fill="FFFFFF"/>
        </w:rPr>
      </w:pPr>
      <w:r>
        <w:rPr>
          <w:rFonts w:hint="eastAsia" w:ascii="方正黑体_GBK" w:hAnsi="方正黑体_GBK" w:eastAsia="方正黑体_GBK" w:cs="方正黑体_GBK"/>
          <w:b w:val="0"/>
          <w:bCs w:val="0"/>
          <w:kern w:val="0"/>
          <w:sz w:val="32"/>
          <w:szCs w:val="32"/>
          <w:shd w:val="clear" w:fill="FFFFFF"/>
        </w:rPr>
        <w:t>  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shd w:val="clear" w:fill="FFFFFF"/>
          <w:lang w:val="en-US" w:eastAsia="zh-CN" w:bidi="ar"/>
        </w:rPr>
      </w:pPr>
      <w:r>
        <w:rPr>
          <w:rFonts w:hint="eastAsia" w:ascii="方正楷体_GBK" w:hAnsi="方正楷体_GBK" w:eastAsia="方正楷体_GBK" w:cs="方正楷体_GBK"/>
          <w:b w:val="0"/>
          <w:bCs w:val="0"/>
          <w:kern w:val="0"/>
          <w:sz w:val="32"/>
          <w:szCs w:val="32"/>
          <w:shd w:val="clear" w:fill="FFFFFF"/>
          <w:lang w:val="en-US" w:eastAsia="zh-CN" w:bidi="ar"/>
        </w:rPr>
        <w:t> （一）财政拨款收入：</w:t>
      </w:r>
      <w:r>
        <w:rPr>
          <w:rFonts w:hint="eastAsia" w:ascii="方正仿宋_GBK" w:hAnsi="方正仿宋_GBK" w:eastAsia="方正仿宋_GBK" w:cs="方正仿宋_GBK"/>
          <w:kern w:val="0"/>
          <w:sz w:val="32"/>
          <w:szCs w:val="32"/>
          <w:shd w:val="clear" w:fill="FFFFFF"/>
          <w:lang w:val="en-US" w:eastAsia="zh-CN" w:bidi="ar"/>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shd w:val="clear" w:fill="FFFFFF"/>
          <w:lang w:val="en-US" w:eastAsia="zh-CN" w:bidi="ar"/>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kern w:val="0"/>
          <w:sz w:val="32"/>
          <w:szCs w:val="32"/>
          <w:shd w:val="clear" w:fill="FFFFFF"/>
          <w:lang w:val="en-US" w:eastAsia="zh-CN" w:bidi="ar"/>
        </w:rPr>
        <w:t>（二）事业收入：</w:t>
      </w:r>
      <w:r>
        <w:rPr>
          <w:rFonts w:hint="eastAsia" w:ascii="方正仿宋_GBK" w:hAnsi="方正仿宋_GBK" w:eastAsia="方正仿宋_GBK" w:cs="方正仿宋_GBK"/>
          <w:kern w:val="0"/>
          <w:sz w:val="32"/>
          <w:szCs w:val="32"/>
          <w:shd w:val="clear" w:fill="FFFFFF"/>
          <w:lang w:val="en-US" w:eastAsia="zh-CN" w:bidi="ar"/>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shd w:val="clear" w:fill="FFFFFF"/>
          <w:lang w:val="en-US" w:eastAsia="zh-CN" w:bidi="ar"/>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kern w:val="0"/>
          <w:sz w:val="32"/>
          <w:szCs w:val="32"/>
          <w:shd w:val="clear" w:fill="FFFFFF"/>
          <w:lang w:val="en-US" w:eastAsia="zh-CN" w:bidi="ar"/>
        </w:rPr>
        <w:t>（三）经营收入：</w:t>
      </w:r>
      <w:r>
        <w:rPr>
          <w:rFonts w:hint="eastAsia" w:ascii="方正仿宋_GBK" w:hAnsi="方正仿宋_GBK" w:eastAsia="方正仿宋_GBK" w:cs="方正仿宋_GBK"/>
          <w:kern w:val="0"/>
          <w:sz w:val="32"/>
          <w:szCs w:val="32"/>
          <w:shd w:val="clear" w:fill="FFFFFF"/>
          <w:lang w:val="en-US" w:eastAsia="zh-CN" w:bidi="ar"/>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shd w:val="clear" w:fill="FFFFFF"/>
          <w:lang w:val="en-US" w:eastAsia="zh-CN" w:bidi="ar"/>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kern w:val="0"/>
          <w:sz w:val="32"/>
          <w:szCs w:val="32"/>
          <w:shd w:val="clear" w:fill="FFFFFF"/>
          <w:lang w:val="en-US" w:eastAsia="zh-CN" w:bidi="ar"/>
        </w:rPr>
        <w:t>（四）其他收入：</w:t>
      </w:r>
      <w:r>
        <w:rPr>
          <w:rFonts w:hint="eastAsia" w:ascii="方正仿宋_GBK" w:hAnsi="方正仿宋_GBK" w:eastAsia="方正仿宋_GBK" w:cs="方正仿宋_GBK"/>
          <w:kern w:val="0"/>
          <w:sz w:val="32"/>
          <w:szCs w:val="32"/>
          <w:shd w:val="clear" w:fill="FFFFFF"/>
          <w:lang w:val="en-US" w:eastAsia="zh-CN" w:bidi="ar"/>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shd w:val="clear" w:fill="FFFFFF"/>
          <w:lang w:val="en-US" w:eastAsia="zh-CN" w:bidi="ar"/>
        </w:rPr>
      </w:pPr>
      <w:r>
        <w:rPr>
          <w:rFonts w:hint="eastAsia" w:ascii="方正楷体_GBK" w:hAnsi="方正楷体_GBK" w:eastAsia="方正楷体_GBK" w:cs="方正楷体_GBK"/>
          <w:b w:val="0"/>
          <w:bCs w:val="0"/>
          <w:kern w:val="0"/>
          <w:sz w:val="32"/>
          <w:szCs w:val="32"/>
          <w:shd w:val="clear" w:fill="FFFFFF"/>
          <w:lang w:val="en-US" w:eastAsia="zh-CN" w:bidi="ar"/>
        </w:rPr>
        <w:t>（五）使用非财政拨款结余：</w:t>
      </w:r>
      <w:r>
        <w:rPr>
          <w:rFonts w:hint="eastAsia" w:ascii="方正仿宋_GBK" w:hAnsi="方正仿宋_GBK" w:eastAsia="方正仿宋_GBK" w:cs="方正仿宋_GBK"/>
          <w:kern w:val="0"/>
          <w:sz w:val="32"/>
          <w:szCs w:val="32"/>
          <w:shd w:val="clear" w:fill="FFFFFF"/>
          <w:lang w:val="en-US" w:eastAsia="zh-CN" w:bidi="ar"/>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shd w:val="clear" w:fill="FFFFFF"/>
          <w:lang w:val="en-US" w:eastAsia="zh-CN" w:bidi="ar"/>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kern w:val="0"/>
          <w:sz w:val="32"/>
          <w:szCs w:val="32"/>
          <w:shd w:val="clear" w:fill="FFFFFF"/>
          <w:lang w:val="en-US" w:eastAsia="zh-CN" w:bidi="ar"/>
        </w:rPr>
        <w:t>（六）年初结转和结余：</w:t>
      </w:r>
      <w:r>
        <w:rPr>
          <w:rFonts w:hint="eastAsia" w:ascii="方正仿宋_GBK" w:hAnsi="方正仿宋_GBK" w:eastAsia="方正仿宋_GBK" w:cs="方正仿宋_GBK"/>
          <w:kern w:val="0"/>
          <w:sz w:val="32"/>
          <w:szCs w:val="32"/>
          <w:shd w:val="clear" w:fill="FFFFFF"/>
          <w:lang w:val="en-US" w:eastAsia="zh-CN" w:bidi="ar"/>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shd w:val="clear" w:fill="FFFFFF"/>
          <w:lang w:val="en-US" w:eastAsia="zh-CN" w:bidi="ar"/>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kern w:val="0"/>
          <w:sz w:val="32"/>
          <w:szCs w:val="32"/>
          <w:shd w:val="clear" w:fill="FFFFFF"/>
          <w:lang w:val="en-US" w:eastAsia="zh-CN" w:bidi="ar"/>
        </w:rPr>
        <w:t>（七）结余分配：</w:t>
      </w:r>
      <w:r>
        <w:rPr>
          <w:rFonts w:hint="eastAsia" w:ascii="方正仿宋_GBK" w:hAnsi="方正仿宋_GBK" w:eastAsia="方正仿宋_GBK" w:cs="方正仿宋_GBK"/>
          <w:kern w:val="0"/>
          <w:sz w:val="32"/>
          <w:szCs w:val="32"/>
          <w:shd w:val="clear" w:fill="FFFFFF"/>
          <w:lang w:val="en-US" w:eastAsia="zh-CN" w:bidi="ar"/>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shd w:val="clear" w:fill="FFFFFF"/>
          <w:lang w:val="en-US" w:eastAsia="zh-CN" w:bidi="ar"/>
        </w:rPr>
      </w:pPr>
      <w:r>
        <w:rPr>
          <w:rFonts w:hint="eastAsia" w:ascii="方正楷体_GBK" w:hAnsi="方正楷体_GBK" w:eastAsia="方正楷体_GBK" w:cs="方正楷体_GBK"/>
          <w:b w:val="0"/>
          <w:bCs w:val="0"/>
          <w:kern w:val="0"/>
          <w:sz w:val="32"/>
          <w:szCs w:val="32"/>
          <w:shd w:val="clear" w:fill="FFFFFF"/>
          <w:lang w:val="en-US" w:eastAsia="zh-CN" w:bidi="ar"/>
        </w:rPr>
        <w:t> （八）年末结转和结余：</w:t>
      </w:r>
      <w:r>
        <w:rPr>
          <w:rFonts w:hint="eastAsia" w:ascii="方正仿宋_GBK" w:hAnsi="方正仿宋_GBK" w:eastAsia="方正仿宋_GBK" w:cs="方正仿宋_GBK"/>
          <w:kern w:val="0"/>
          <w:sz w:val="32"/>
          <w:szCs w:val="32"/>
          <w:shd w:val="clear" w:fill="FFFFFF"/>
          <w:lang w:val="en-US" w:eastAsia="zh-CN" w:bidi="ar"/>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kern w:val="0"/>
          <w:sz w:val="32"/>
          <w:szCs w:val="32"/>
          <w:shd w:val="clear" w:fill="FFFFFF"/>
          <w:lang w:val="en-US" w:eastAsia="zh-CN" w:bidi="ar"/>
        </w:rPr>
        <w:t>（九）基本支出：</w:t>
      </w:r>
      <w:r>
        <w:rPr>
          <w:rFonts w:hint="eastAsia" w:ascii="方正仿宋_GBK" w:hAnsi="方正仿宋_GBK" w:eastAsia="方正仿宋_GBK" w:cs="方正仿宋_GBK"/>
          <w:kern w:val="0"/>
          <w:sz w:val="32"/>
          <w:szCs w:val="32"/>
          <w:shd w:val="clear" w:fill="FFFFFF"/>
          <w:lang w:val="en-US" w:eastAsia="zh-CN" w:bidi="ar"/>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shd w:val="clear" w:fill="FFFFFF"/>
          <w:lang w:val="en-US" w:eastAsia="zh-CN" w:bidi="ar"/>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kern w:val="0"/>
          <w:sz w:val="32"/>
          <w:szCs w:val="32"/>
          <w:shd w:val="clear" w:fill="FFFFFF"/>
          <w:lang w:val="en-US" w:eastAsia="zh-CN" w:bidi="ar"/>
        </w:rPr>
        <w:t>（十）项目支出：</w:t>
      </w:r>
      <w:r>
        <w:rPr>
          <w:rFonts w:hint="eastAsia" w:ascii="方正仿宋_GBK" w:hAnsi="方正仿宋_GBK" w:eastAsia="方正仿宋_GBK" w:cs="方正仿宋_GBK"/>
          <w:kern w:val="0"/>
          <w:sz w:val="32"/>
          <w:szCs w:val="32"/>
          <w:shd w:val="clear" w:fill="FFFFFF"/>
          <w:lang w:val="en-US" w:eastAsia="zh-CN" w:bidi="ar"/>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kern w:val="0"/>
          <w:sz w:val="32"/>
          <w:szCs w:val="32"/>
          <w:shd w:val="clear" w:fill="FFFFFF"/>
          <w:lang w:val="en-US" w:eastAsia="zh-CN" w:bidi="ar"/>
        </w:rPr>
        <w:t> （十一）经营支出：</w:t>
      </w:r>
      <w:r>
        <w:rPr>
          <w:rFonts w:hint="eastAsia" w:ascii="方正仿宋_GBK" w:hAnsi="方正仿宋_GBK" w:eastAsia="方正仿宋_GBK" w:cs="方正仿宋_GBK"/>
          <w:kern w:val="0"/>
          <w:sz w:val="32"/>
          <w:szCs w:val="32"/>
          <w:shd w:val="clear" w:fill="FFFFFF"/>
          <w:lang w:val="en-US" w:eastAsia="zh-CN" w:bidi="ar"/>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shd w:val="clear" w:fill="FFFFFF"/>
          <w:lang w:val="en-US" w:eastAsia="zh-CN" w:bidi="ar"/>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kern w:val="0"/>
          <w:sz w:val="32"/>
          <w:szCs w:val="32"/>
          <w:shd w:val="clear" w:fill="FFFFFF"/>
          <w:lang w:val="en-US" w:eastAsia="zh-CN" w:bidi="ar"/>
        </w:rPr>
        <w:t>（十二）“三公”经费：</w:t>
      </w:r>
      <w:r>
        <w:rPr>
          <w:rFonts w:hint="eastAsia" w:ascii="方正仿宋_GBK" w:hAnsi="方正仿宋_GBK" w:eastAsia="方正仿宋_GBK" w:cs="方正仿宋_GBK"/>
          <w:kern w:val="0"/>
          <w:sz w:val="32"/>
          <w:szCs w:val="32"/>
          <w:shd w:val="clear" w:fill="FFFFFF"/>
          <w:lang w:val="en-US" w:eastAsia="zh-CN" w:bidi="ar"/>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shd w:val="clear" w:fill="FFFFFF"/>
          <w:lang w:val="en-US" w:eastAsia="zh-CN" w:bidi="ar"/>
        </w:rPr>
      </w:pPr>
      <w:r>
        <w:rPr>
          <w:rFonts w:hint="eastAsia" w:ascii="方正楷体_GBK" w:hAnsi="方正楷体_GBK" w:eastAsia="方正楷体_GBK" w:cs="方正楷体_GBK"/>
          <w:b w:val="0"/>
          <w:bCs w:val="0"/>
          <w:kern w:val="0"/>
          <w:sz w:val="32"/>
          <w:szCs w:val="32"/>
          <w:shd w:val="clear" w:fill="FFFFFF"/>
          <w:lang w:val="en-US" w:eastAsia="zh-CN" w:bidi="ar"/>
        </w:rPr>
        <w:t> （十三）机关运行经费：</w:t>
      </w:r>
      <w:r>
        <w:rPr>
          <w:rFonts w:hint="eastAsia" w:ascii="方正仿宋_GBK" w:hAnsi="方正仿宋_GBK" w:eastAsia="方正仿宋_GBK" w:cs="方正仿宋_GBK"/>
          <w:kern w:val="0"/>
          <w:sz w:val="32"/>
          <w:szCs w:val="32"/>
          <w:shd w:val="clear" w:fill="FFFFFF"/>
          <w:lang w:val="en-US" w:eastAsia="zh-CN" w:bidi="ar"/>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shd w:val="clear" w:fill="FFFFFF"/>
          <w:lang w:val="en-US" w:eastAsia="zh-CN" w:bidi="ar"/>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kern w:val="0"/>
          <w:sz w:val="32"/>
          <w:szCs w:val="32"/>
          <w:shd w:val="clear" w:fill="FFFFFF"/>
          <w:lang w:val="en-US" w:eastAsia="zh-CN" w:bidi="ar"/>
        </w:rPr>
        <w:t>（十四）工资福利支出（支出经济分类科目类级）：</w:t>
      </w:r>
      <w:r>
        <w:rPr>
          <w:rFonts w:hint="eastAsia" w:ascii="方正仿宋_GBK" w:hAnsi="方正仿宋_GBK" w:eastAsia="方正仿宋_GBK" w:cs="方正仿宋_GBK"/>
          <w:kern w:val="0"/>
          <w:sz w:val="32"/>
          <w:szCs w:val="32"/>
          <w:shd w:val="clear" w:fill="FFFFFF"/>
          <w:lang w:val="en-US" w:eastAsia="zh-CN" w:bidi="ar"/>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shd w:val="clear" w:fill="FFFFFF"/>
          <w:lang w:val="en-US" w:eastAsia="zh-CN" w:bidi="ar"/>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kern w:val="0"/>
          <w:sz w:val="32"/>
          <w:szCs w:val="32"/>
          <w:shd w:val="clear" w:fill="FFFFFF"/>
          <w:lang w:val="en-US" w:eastAsia="zh-CN" w:bidi="ar"/>
        </w:rPr>
        <w:t>（十五）商品和服务支出（支出经济分类科目类级）：</w:t>
      </w:r>
      <w:r>
        <w:rPr>
          <w:rFonts w:hint="eastAsia" w:ascii="方正仿宋_GBK" w:hAnsi="方正仿宋_GBK" w:eastAsia="方正仿宋_GBK" w:cs="方正仿宋_GBK"/>
          <w:kern w:val="0"/>
          <w:sz w:val="32"/>
          <w:szCs w:val="32"/>
          <w:shd w:val="clear" w:fill="FFFFFF"/>
          <w:lang w:val="en-US" w:eastAsia="zh-CN" w:bidi="ar"/>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shd w:val="clear" w:fill="FFFFFF"/>
          <w:lang w:val="en-US" w:eastAsia="zh-CN" w:bidi="ar"/>
        </w:rPr>
      </w:pPr>
      <w:r>
        <w:rPr>
          <w:rStyle w:val="10"/>
          <w:rFonts w:ascii="楷体" w:hAnsi="楷体" w:eastAsia="楷体" w:cs="楷体"/>
          <w:sz w:val="32"/>
          <w:szCs w:val="32"/>
          <w:shd w:val="clear" w:color="auto" w:fill="FFFFFF"/>
        </w:rPr>
        <w:t> </w:t>
      </w:r>
      <w:r>
        <w:rPr>
          <w:rFonts w:hint="eastAsia" w:ascii="方正楷体_GBK" w:hAnsi="方正楷体_GBK" w:eastAsia="方正楷体_GBK" w:cs="方正楷体_GBK"/>
          <w:b w:val="0"/>
          <w:bCs w:val="0"/>
          <w:kern w:val="0"/>
          <w:sz w:val="32"/>
          <w:szCs w:val="32"/>
          <w:shd w:val="clear" w:fill="FFFFFF"/>
          <w:lang w:val="en-US" w:eastAsia="zh-CN" w:bidi="ar"/>
        </w:rPr>
        <w:t>（十六）对个人和家庭的补助（支出经济分类科目类级）：</w:t>
      </w:r>
      <w:r>
        <w:rPr>
          <w:rFonts w:hint="eastAsia" w:ascii="方正仿宋_GBK" w:hAnsi="方正仿宋_GBK" w:eastAsia="方正仿宋_GBK" w:cs="方正仿宋_GBK"/>
          <w:kern w:val="0"/>
          <w:sz w:val="32"/>
          <w:szCs w:val="32"/>
          <w:shd w:val="clear" w:fill="FFFFFF"/>
          <w:lang w:val="en-US" w:eastAsia="zh-CN" w:bidi="ar"/>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shd w:val="clear" w:fill="FFFFFF"/>
          <w:lang w:val="en-US" w:eastAsia="zh-CN" w:bidi="ar"/>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kern w:val="0"/>
          <w:sz w:val="32"/>
          <w:szCs w:val="32"/>
          <w:shd w:val="clear" w:fill="FFFFFF"/>
          <w:lang w:val="en-US" w:eastAsia="zh-CN" w:bidi="ar"/>
        </w:rPr>
        <w:t>（十七）其他资本性支出（支出经济分类科目类级）：</w:t>
      </w:r>
      <w:r>
        <w:rPr>
          <w:rFonts w:hint="eastAsia" w:ascii="方正仿宋_GBK" w:hAnsi="方正仿宋_GBK" w:eastAsia="方正仿宋_GBK" w:cs="方正仿宋_GBK"/>
          <w:kern w:val="0"/>
          <w:sz w:val="32"/>
          <w:szCs w:val="32"/>
          <w:shd w:val="clear" w:fill="FFFFFF"/>
          <w:lang w:val="en-US" w:eastAsia="zh-CN" w:bidi="ar"/>
        </w:rPr>
        <w:t>反映非各级发展与改革部门集中安排的用于购置固定资产、战略性和应急性储备、土地和无形资产，以及构建基础设施、大型修缮和财政支持企业更新改造所发生的支出。</w:t>
      </w:r>
    </w:p>
    <w:p>
      <w:pPr>
        <w:pStyle w:val="16"/>
        <w:keepNext w:val="0"/>
        <w:keepLines w:val="0"/>
        <w:widowControl/>
        <w:suppressLineNumbers w:val="0"/>
        <w:autoSpaceDE/>
        <w:autoSpaceDN w:val="0"/>
        <w:spacing w:before="0" w:beforeAutospacing="0" w:after="0" w:afterAutospacing="0"/>
        <w:ind w:left="0" w:firstLine="640"/>
        <w:jc w:val="both"/>
        <w:rPr>
          <w:rFonts w:hint="default" w:ascii="方正黑体_GBK" w:hAnsi="方正黑体_GBK" w:eastAsia="方正黑体_GBK" w:cs="方正黑体_GBK"/>
          <w:b w:val="0"/>
          <w:bCs w:val="0"/>
          <w:kern w:val="0"/>
          <w:sz w:val="32"/>
          <w:szCs w:val="32"/>
          <w:shd w:val="clear" w:fill="FFFFFF"/>
        </w:rPr>
      </w:pPr>
      <w:r>
        <w:rPr>
          <w:rFonts w:hint="eastAsia" w:ascii="方正黑体_GBK" w:hAnsi="方正黑体_GBK" w:eastAsia="方正黑体_GBK" w:cs="方正黑体_GBK"/>
          <w:b w:val="0"/>
          <w:bCs w:val="0"/>
          <w:kern w:val="0"/>
          <w:sz w:val="32"/>
          <w:szCs w:val="32"/>
          <w:shd w:val="clear" w:fill="FFFFFF"/>
        </w:rPr>
        <w:t>  七、决算公开联系方式及信息反馈渠道</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kern w:val="0"/>
          <w:sz w:val="32"/>
          <w:szCs w:val="32"/>
          <w:shd w:val="clear" w:fill="FFFFFF"/>
          <w:lang w:val="en-US" w:eastAsia="zh-CN" w:bidi="ar"/>
        </w:rPr>
        <w:sectPr>
          <w:pgSz w:w="11915" w:h="16840"/>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方正仿宋_GBK" w:hAnsi="方正仿宋_GBK" w:eastAsia="方正仿宋_GBK" w:cs="方正仿宋_GBK"/>
          <w:kern w:val="0"/>
          <w:sz w:val="32"/>
          <w:szCs w:val="32"/>
          <w:shd w:val="clear" w:fill="FFFFFF"/>
          <w:lang w:val="en-US" w:eastAsia="zh-CN" w:bidi="ar"/>
        </w:rPr>
        <w:t>本单位决算公开信息反馈和联系方式：易鑫  023-46251612</w:t>
      </w:r>
    </w:p>
    <w:p>
      <w:pPr>
        <w:rPr>
          <w:rFonts w:hint="default" w:cs="宋体"/>
          <w:sz w:val="21"/>
          <w:szCs w:val="21"/>
        </w:rPr>
      </w:pPr>
    </w:p>
    <w:tbl>
      <w:tblPr>
        <w:tblStyle w:val="7"/>
        <w:tblW w:w="10803" w:type="dxa"/>
        <w:tblInd w:w="0" w:type="dxa"/>
        <w:tblLayout w:type="fixed"/>
        <w:tblCellMar>
          <w:top w:w="0" w:type="dxa"/>
          <w:left w:w="0" w:type="dxa"/>
          <w:bottom w:w="0" w:type="dxa"/>
          <w:right w:w="0" w:type="dxa"/>
        </w:tblCellMar>
      </w:tblPr>
      <w:tblGrid>
        <w:gridCol w:w="3595"/>
        <w:gridCol w:w="1417"/>
        <w:gridCol w:w="3374"/>
        <w:gridCol w:w="2417"/>
      </w:tblGrid>
      <w:tr>
        <w:tblPrEx>
          <w:tblCellMar>
            <w:top w:w="0" w:type="dxa"/>
            <w:left w:w="0" w:type="dxa"/>
            <w:bottom w:w="0" w:type="dxa"/>
            <w:right w:w="0" w:type="dxa"/>
          </w:tblCellMar>
        </w:tblPrEx>
        <w:trPr>
          <w:trHeight w:val="232" w:hRule="atLeast"/>
        </w:trPr>
        <w:tc>
          <w:tcPr>
            <w:tcW w:w="1080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0803" w:type="dxa"/>
            <w:gridSpan w:val="4"/>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359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重庆市荣昌区医疗保障局本级</w:t>
            </w:r>
          </w:p>
        </w:tc>
        <w:tc>
          <w:tcPr>
            <w:tcW w:w="7208" w:type="dxa"/>
            <w:gridSpan w:val="3"/>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5012" w:type="dxa"/>
            <w:gridSpan w:val="2"/>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5791" w:type="dxa"/>
            <w:gridSpan w:val="2"/>
            <w:tcBorders>
              <w:top w:val="single" w:color="auto"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1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一、一般公共预算财政拨款收入</w:t>
            </w:r>
          </w:p>
        </w:tc>
        <w:tc>
          <w:tcPr>
            <w:tcW w:w="1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204.84</w:t>
            </w:r>
            <w:r>
              <w:rPr>
                <w:color w:val="auto"/>
                <w:sz w:val="20"/>
                <w:u w:color="auto"/>
              </w:rPr>
              <w:t xml:space="preserve"> </w:t>
            </w: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一、一般公共服务支出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二、政府性基金预算财政拨款收入</w:t>
            </w:r>
          </w:p>
        </w:tc>
        <w:tc>
          <w:tcPr>
            <w:tcW w:w="1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二、外交支出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三、国有资本经营预算财政拨款收入</w:t>
            </w:r>
          </w:p>
        </w:tc>
        <w:tc>
          <w:tcPr>
            <w:tcW w:w="1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三、国防支出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四、上级补助收入</w:t>
            </w:r>
          </w:p>
        </w:tc>
        <w:tc>
          <w:tcPr>
            <w:tcW w:w="1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四、公共安全支出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五、事业收入</w:t>
            </w:r>
          </w:p>
        </w:tc>
        <w:tc>
          <w:tcPr>
            <w:tcW w:w="1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五、教育支出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0.76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六、经营收入</w:t>
            </w:r>
          </w:p>
        </w:tc>
        <w:tc>
          <w:tcPr>
            <w:tcW w:w="1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六、科学技术支出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七、附属单位上缴收入</w:t>
            </w:r>
          </w:p>
        </w:tc>
        <w:tc>
          <w:tcPr>
            <w:tcW w:w="1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七、文化旅游体育与传媒支出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八、其他收入</w:t>
            </w:r>
          </w:p>
        </w:tc>
        <w:tc>
          <w:tcPr>
            <w:tcW w:w="1417"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八、社会保障和就业支出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22.77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auto"/>
                <w:sz w:val="20"/>
                <w:szCs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九、卫生健康支出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175.65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auto"/>
                <w:sz w:val="20"/>
                <w:szCs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十、节能环保支出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auto"/>
                <w:sz w:val="20"/>
                <w:szCs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十一、城乡社区支出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auto"/>
                <w:sz w:val="20"/>
                <w:szCs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十二、农林水支出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auto"/>
                <w:sz w:val="20"/>
                <w:szCs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auto"/>
                <w:sz w:val="20"/>
                <w:szCs w:val="20"/>
              </w:rPr>
            </w:pP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十三、交通运输支出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auto"/>
                <w:sz w:val="20"/>
                <w:szCs w:val="20"/>
              </w:rPr>
            </w:pPr>
          </w:p>
        </w:tc>
        <w:tc>
          <w:tcPr>
            <w:tcW w:w="1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auto"/>
                <w:sz w:val="20"/>
                <w:szCs w:val="20"/>
              </w:rPr>
            </w:pP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十四、资源勘探工业信息等支出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auto"/>
                <w:sz w:val="20"/>
                <w:szCs w:val="20"/>
              </w:rPr>
            </w:pPr>
          </w:p>
        </w:tc>
        <w:tc>
          <w:tcPr>
            <w:tcW w:w="1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auto"/>
                <w:sz w:val="20"/>
                <w:szCs w:val="20"/>
              </w:rPr>
            </w:pP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十五、商业服务业等支出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auto"/>
                <w:sz w:val="20"/>
                <w:szCs w:val="20"/>
              </w:rPr>
            </w:pPr>
          </w:p>
        </w:tc>
        <w:tc>
          <w:tcPr>
            <w:tcW w:w="1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auto"/>
                <w:sz w:val="20"/>
                <w:szCs w:val="20"/>
              </w:rPr>
            </w:pP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十六、金融支出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auto"/>
                <w:sz w:val="20"/>
                <w:szCs w:val="20"/>
              </w:rPr>
            </w:pPr>
          </w:p>
        </w:tc>
        <w:tc>
          <w:tcPr>
            <w:tcW w:w="1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auto"/>
                <w:sz w:val="20"/>
                <w:szCs w:val="20"/>
              </w:rPr>
            </w:pP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十七、援助其他地区支出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auto"/>
                <w:sz w:val="20"/>
                <w:szCs w:val="20"/>
              </w:rPr>
            </w:pPr>
          </w:p>
        </w:tc>
        <w:tc>
          <w:tcPr>
            <w:tcW w:w="1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auto"/>
                <w:sz w:val="20"/>
                <w:szCs w:val="20"/>
              </w:rPr>
            </w:pP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十八、自然资源海洋气象等支出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auto"/>
                <w:sz w:val="20"/>
                <w:szCs w:val="20"/>
              </w:rPr>
            </w:pPr>
          </w:p>
        </w:tc>
        <w:tc>
          <w:tcPr>
            <w:tcW w:w="1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auto"/>
                <w:sz w:val="20"/>
                <w:szCs w:val="20"/>
              </w:rPr>
            </w:pP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十九、住房保障支出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auto"/>
                <w:sz w:val="20"/>
                <w:szCs w:val="20"/>
              </w:rPr>
            </w:pPr>
          </w:p>
        </w:tc>
        <w:tc>
          <w:tcPr>
            <w:tcW w:w="1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auto"/>
                <w:sz w:val="20"/>
                <w:szCs w:val="20"/>
              </w:rPr>
            </w:pP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二十、粮油物资储备支出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auto"/>
                <w:sz w:val="20"/>
                <w:szCs w:val="20"/>
              </w:rPr>
            </w:pPr>
          </w:p>
        </w:tc>
        <w:tc>
          <w:tcPr>
            <w:tcW w:w="1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auto"/>
                <w:sz w:val="20"/>
                <w:szCs w:val="20"/>
              </w:rPr>
            </w:pP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二十一、国有资本经营预算支出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auto"/>
                <w:sz w:val="20"/>
                <w:szCs w:val="20"/>
              </w:rPr>
            </w:pPr>
          </w:p>
        </w:tc>
        <w:tc>
          <w:tcPr>
            <w:tcW w:w="1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auto"/>
                <w:sz w:val="20"/>
                <w:szCs w:val="20"/>
              </w:rPr>
            </w:pP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二十二、灾害防治及应急管理支出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auto"/>
                <w:sz w:val="20"/>
                <w:szCs w:val="20"/>
              </w:rPr>
            </w:pPr>
          </w:p>
        </w:tc>
        <w:tc>
          <w:tcPr>
            <w:tcW w:w="1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auto"/>
                <w:sz w:val="20"/>
                <w:szCs w:val="20"/>
              </w:rPr>
            </w:pP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二十三、其他支出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rPr>
                <w:rFonts w:hint="default" w:cs="宋体"/>
                <w:b/>
                <w:color w:val="auto"/>
                <w:sz w:val="20"/>
                <w:szCs w:val="20"/>
              </w:rPr>
            </w:pPr>
          </w:p>
        </w:tc>
        <w:tc>
          <w:tcPr>
            <w:tcW w:w="1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auto"/>
                <w:sz w:val="20"/>
                <w:szCs w:val="20"/>
              </w:rPr>
            </w:pP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二十四、债务还本支出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auto"/>
                <w:sz w:val="20"/>
                <w:szCs w:val="20"/>
              </w:rPr>
            </w:pPr>
          </w:p>
        </w:tc>
        <w:tc>
          <w:tcPr>
            <w:tcW w:w="1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auto"/>
                <w:sz w:val="20"/>
                <w:szCs w:val="20"/>
              </w:rPr>
            </w:pP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二十五、债务付息支出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auto"/>
                <w:sz w:val="20"/>
                <w:szCs w:val="20"/>
              </w:rPr>
            </w:pPr>
          </w:p>
        </w:tc>
        <w:tc>
          <w:tcPr>
            <w:tcW w:w="1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auto"/>
                <w:sz w:val="20"/>
                <w:szCs w:val="20"/>
              </w:rPr>
            </w:pP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二十六、抗疫特别国债安排的支出</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本年收入合计</w:t>
            </w:r>
          </w:p>
        </w:tc>
        <w:tc>
          <w:tcPr>
            <w:tcW w:w="1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204.84</w:t>
            </w:r>
            <w:r>
              <w:rPr>
                <w:color w:val="auto"/>
                <w:sz w:val="20"/>
                <w:u w:color="auto"/>
              </w:rPr>
              <w:t xml:space="preserve"> </w:t>
            </w: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本年支出合计</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204.84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使用非财政拨款结余和专用结余</w:t>
            </w:r>
          </w:p>
        </w:tc>
        <w:tc>
          <w:tcPr>
            <w:tcW w:w="1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结余分配</w:t>
            </w:r>
          </w:p>
        </w:tc>
        <w:tc>
          <w:tcPr>
            <w:tcW w:w="2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年初结转和结余</w:t>
            </w:r>
          </w:p>
        </w:tc>
        <w:tc>
          <w:tcPr>
            <w:tcW w:w="14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33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年末结转和结余</w:t>
            </w:r>
          </w:p>
        </w:tc>
        <w:tc>
          <w:tcPr>
            <w:tcW w:w="2417" w:type="dxa"/>
            <w:tcBorders>
              <w:top w:val="nil"/>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35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204.84</w:t>
            </w:r>
            <w:r>
              <w:rPr>
                <w:color w:val="auto"/>
                <w:sz w:val="20"/>
                <w:u w:color="auto"/>
              </w:rPr>
              <w:t xml:space="preserve"> </w:t>
            </w:r>
          </w:p>
        </w:tc>
        <w:tc>
          <w:tcPr>
            <w:tcW w:w="3374" w:type="dxa"/>
            <w:tcBorders>
              <w:top w:val="nil"/>
              <w:left w:val="nil"/>
              <w:bottom w:val="single" w:color="000000"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24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204.84</w:t>
            </w:r>
            <w:r>
              <w:rPr>
                <w:color w:val="000000"/>
                <w:sz w:val="20"/>
                <w:u w:color="auto"/>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p>
    <w:tbl>
      <w:tblPr>
        <w:tblStyle w:val="7"/>
        <w:tblW w:w="10803" w:type="dxa"/>
        <w:tblInd w:w="0" w:type="dxa"/>
        <w:tblLayout w:type="fixed"/>
        <w:tblCellMar>
          <w:top w:w="0" w:type="dxa"/>
          <w:left w:w="0" w:type="dxa"/>
          <w:bottom w:w="0" w:type="dxa"/>
          <w:right w:w="0" w:type="dxa"/>
        </w:tblCellMar>
      </w:tblPr>
      <w:tblGrid>
        <w:gridCol w:w="1196"/>
        <w:gridCol w:w="2364"/>
        <w:gridCol w:w="729"/>
        <w:gridCol w:w="867"/>
        <w:gridCol w:w="866"/>
        <w:gridCol w:w="866"/>
        <w:gridCol w:w="960"/>
        <w:gridCol w:w="918"/>
        <w:gridCol w:w="1011"/>
        <w:gridCol w:w="1026"/>
      </w:tblGrid>
      <w:tr>
        <w:tblPrEx>
          <w:tblCellMar>
            <w:top w:w="0" w:type="dxa"/>
            <w:left w:w="0" w:type="dxa"/>
            <w:bottom w:w="0" w:type="dxa"/>
            <w:right w:w="0" w:type="dxa"/>
          </w:tblCellMar>
        </w:tblPrEx>
        <w:trPr>
          <w:trHeight w:val="641" w:hRule="atLeast"/>
        </w:trPr>
        <w:tc>
          <w:tcPr>
            <w:tcW w:w="108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3560" w:type="dxa"/>
            <w:gridSpan w:val="2"/>
            <w:vMerge w:val="restart"/>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重庆市荣昌区医疗保障局本级</w:t>
            </w:r>
          </w:p>
        </w:tc>
        <w:tc>
          <w:tcPr>
            <w:tcW w:w="7243"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3560" w:type="dxa"/>
            <w:gridSpan w:val="2"/>
            <w:vMerge w:val="continue"/>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243" w:type="dxa"/>
            <w:gridSpan w:val="8"/>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3560" w:type="dxa"/>
            <w:gridSpan w:val="2"/>
            <w:tcBorders>
              <w:top w:val="single" w:color="auto" w:sz="4" w:space="0"/>
              <w:left w:val="single" w:color="000000" w:sz="4" w:space="0"/>
              <w:bottom w:val="single" w:color="000000" w:sz="4" w:space="0"/>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729" w:type="dxa"/>
            <w:vMerge w:val="restart"/>
            <w:tcBorders>
              <w:top w:val="single" w:color="auto"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867" w:type="dxa"/>
            <w:vMerge w:val="restart"/>
            <w:tcBorders>
              <w:top w:val="single" w:color="auto"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866" w:type="dxa"/>
            <w:vMerge w:val="restart"/>
            <w:tcBorders>
              <w:top w:val="single" w:color="auto"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1826" w:type="dxa"/>
            <w:gridSpan w:val="2"/>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918" w:type="dxa"/>
            <w:vMerge w:val="restart"/>
            <w:tcBorders>
              <w:top w:val="single" w:color="auto"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011" w:type="dxa"/>
            <w:vMerge w:val="restart"/>
            <w:tcBorders>
              <w:top w:val="single" w:color="auto"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026" w:type="dxa"/>
            <w:vMerge w:val="restart"/>
            <w:tcBorders>
              <w:top w:val="single" w:color="auto"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196"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364" w:type="dxa"/>
            <w:vMerge w:val="restar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196"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2364"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196"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2364"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196"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2364"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356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72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204.84</w:t>
            </w:r>
            <w:r>
              <w:rPr>
                <w:b/>
                <w:color w:val="000000"/>
                <w:sz w:val="20"/>
                <w:u w:color="auto"/>
              </w:rPr>
              <w:t xml:space="preserve"> </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204.84</w:t>
            </w:r>
            <w:r>
              <w:rPr>
                <w:b/>
                <w:color w:val="000000"/>
                <w:sz w:val="20"/>
                <w:u w:color="auto"/>
              </w:rPr>
              <w:t xml:space="preserve"> </w:t>
            </w:r>
          </w:p>
        </w:tc>
        <w:tc>
          <w:tcPr>
            <w:tcW w:w="8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8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9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9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01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02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3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0.76</w:t>
            </w:r>
            <w:r>
              <w:rPr>
                <w:b/>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0.76</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3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0.76</w:t>
            </w:r>
            <w:r>
              <w:rPr>
                <w:b/>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0.76</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3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0.76</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0.76</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3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22.77</w:t>
            </w:r>
            <w:r>
              <w:rPr>
                <w:b/>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22.77</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3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22.77</w:t>
            </w:r>
            <w:r>
              <w:rPr>
                <w:b/>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22.77</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3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12.89</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12.89</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3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6.44</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6.44</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3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3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175.65</w:t>
            </w:r>
            <w:r>
              <w:rPr>
                <w:b/>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175.65</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3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8.38</w:t>
            </w:r>
            <w:r>
              <w:rPr>
                <w:b/>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8.38</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3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23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3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23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167.27</w:t>
            </w:r>
            <w:r>
              <w:rPr>
                <w:b/>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167.27</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2101501</w:t>
            </w:r>
          </w:p>
        </w:tc>
        <w:tc>
          <w:tcPr>
            <w:tcW w:w="23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125.36</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125.36</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2101504</w:t>
            </w:r>
          </w:p>
        </w:tc>
        <w:tc>
          <w:tcPr>
            <w:tcW w:w="23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8.09</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8.09</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23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16.38</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16.38</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23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17.44</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17.44</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3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5.67</w:t>
            </w:r>
            <w:r>
              <w:rPr>
                <w:b/>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5.67</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3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5.67</w:t>
            </w:r>
            <w:r>
              <w:rPr>
                <w:b/>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5.67</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3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5.67</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5.67</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0"/>
          <w:szCs w:val="20"/>
        </w:rPr>
        <w:br w:type="page"/>
      </w:r>
    </w:p>
    <w:tbl>
      <w:tblPr>
        <w:tblStyle w:val="7"/>
        <w:tblW w:w="10803" w:type="dxa"/>
        <w:tblInd w:w="0" w:type="dxa"/>
        <w:tblLayout w:type="fixed"/>
        <w:tblCellMar>
          <w:top w:w="0" w:type="dxa"/>
          <w:left w:w="0" w:type="dxa"/>
          <w:bottom w:w="0" w:type="dxa"/>
          <w:right w:w="0" w:type="dxa"/>
        </w:tblCellMar>
      </w:tblPr>
      <w:tblGrid>
        <w:gridCol w:w="1267"/>
        <w:gridCol w:w="2521"/>
        <w:gridCol w:w="1030"/>
        <w:gridCol w:w="1195"/>
        <w:gridCol w:w="1195"/>
        <w:gridCol w:w="1184"/>
        <w:gridCol w:w="1184"/>
        <w:gridCol w:w="1227"/>
      </w:tblGrid>
      <w:tr>
        <w:tblPrEx>
          <w:tblCellMar>
            <w:top w:w="0" w:type="dxa"/>
            <w:left w:w="0" w:type="dxa"/>
            <w:bottom w:w="0" w:type="dxa"/>
            <w:right w:w="0" w:type="dxa"/>
          </w:tblCellMar>
        </w:tblPrEx>
        <w:trPr>
          <w:trHeight w:val="654" w:hRule="atLeast"/>
        </w:trPr>
        <w:tc>
          <w:tcPr>
            <w:tcW w:w="10803"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10803" w:type="dxa"/>
            <w:gridSpan w:val="8"/>
            <w:tcBorders>
              <w:top w:val="nil"/>
              <w:left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3788" w:type="dxa"/>
            <w:gridSpan w:val="2"/>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重庆市荣昌区医疗保障局本级 </w:t>
            </w:r>
          </w:p>
        </w:tc>
        <w:tc>
          <w:tcPr>
            <w:tcW w:w="7015" w:type="dxa"/>
            <w:gridSpan w:val="6"/>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378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67"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521" w:type="dxa"/>
            <w:vMerge w:val="restar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6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2521"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6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2521"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6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2521"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378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204.84</w:t>
            </w:r>
            <w:r>
              <w:rPr>
                <w:b/>
                <w:color w:val="000000"/>
                <w:sz w:val="20"/>
                <w:u w:color="auto"/>
              </w:rPr>
              <w:t xml:space="preserve"> </w:t>
            </w:r>
          </w:p>
        </w:tc>
        <w:tc>
          <w:tcPr>
            <w:tcW w:w="11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162.93</w:t>
            </w:r>
            <w:r>
              <w:rPr>
                <w:b/>
                <w:color w:val="000000"/>
                <w:sz w:val="20"/>
                <w:u w:color="auto"/>
              </w:rPr>
              <w:t xml:space="preserve"> </w:t>
            </w:r>
          </w:p>
        </w:tc>
        <w:tc>
          <w:tcPr>
            <w:tcW w:w="11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41.92</w:t>
            </w:r>
            <w:r>
              <w:rPr>
                <w:b/>
                <w:color w:val="000000"/>
                <w:sz w:val="20"/>
                <w:u w:color="auto"/>
              </w:rPr>
              <w:t xml:space="preserve"> </w:t>
            </w:r>
          </w:p>
        </w:tc>
        <w:tc>
          <w:tcPr>
            <w:tcW w:w="1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0.76</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0.76</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0.76</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0.76</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0.76</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0.76</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22.77</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22.77</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22.77</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22.77</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12.89</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12.89</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6.44</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6.44</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175.65</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133.73</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41.92</w:t>
            </w:r>
            <w:r>
              <w:rPr>
                <w:b/>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8.38</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8.38</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2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2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167.27</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125.36</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41.92</w:t>
            </w:r>
            <w:r>
              <w:rPr>
                <w:b/>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2101501</w:t>
            </w:r>
          </w:p>
        </w:tc>
        <w:tc>
          <w:tcPr>
            <w:tcW w:w="2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125.36</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125.36</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2101504</w:t>
            </w:r>
          </w:p>
        </w:tc>
        <w:tc>
          <w:tcPr>
            <w:tcW w:w="2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8.09</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8.09</w:t>
            </w: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2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16.38</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16.38</w:t>
            </w: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2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17.44</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17.44</w:t>
            </w: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5.67</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5.67</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5.67</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5.67</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5.67</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5.67</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0803" w:type="dxa"/>
        <w:tblInd w:w="0" w:type="dxa"/>
        <w:tblLayout w:type="fixed"/>
        <w:tblCellMar>
          <w:top w:w="0" w:type="dxa"/>
          <w:left w:w="0" w:type="dxa"/>
          <w:bottom w:w="0" w:type="dxa"/>
          <w:right w:w="0" w:type="dxa"/>
        </w:tblCellMar>
      </w:tblPr>
      <w:tblGrid>
        <w:gridCol w:w="2185"/>
        <w:gridCol w:w="1543"/>
        <w:gridCol w:w="1915"/>
        <w:gridCol w:w="1247"/>
        <w:gridCol w:w="1246"/>
        <w:gridCol w:w="1247"/>
        <w:gridCol w:w="1420"/>
      </w:tblGrid>
      <w:tr>
        <w:tblPrEx>
          <w:tblCellMar>
            <w:top w:w="0" w:type="dxa"/>
            <w:left w:w="0" w:type="dxa"/>
            <w:bottom w:w="0" w:type="dxa"/>
            <w:right w:w="0" w:type="dxa"/>
          </w:tblCellMar>
        </w:tblPrEx>
        <w:trPr>
          <w:trHeight w:val="90" w:hRule="atLeast"/>
        </w:trPr>
        <w:tc>
          <w:tcPr>
            <w:tcW w:w="10803"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3728"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重庆市荣昌区医疗保障局本级</w:t>
            </w:r>
          </w:p>
        </w:tc>
        <w:tc>
          <w:tcPr>
            <w:tcW w:w="7075" w:type="dxa"/>
            <w:gridSpan w:val="5"/>
            <w:tcBorders>
              <w:top w:val="nil"/>
              <w:left w:val="nil"/>
              <w:bottom w:val="nil"/>
              <w:right w:val="nil"/>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3728" w:type="dxa"/>
            <w:gridSpan w:val="2"/>
            <w:vMerge w:val="continue"/>
            <w:tcBorders>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075" w:type="dxa"/>
            <w:gridSpan w:val="5"/>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707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18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4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91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5160"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1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91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204.84</w:t>
            </w:r>
            <w:r>
              <w:rPr>
                <w:color w:val="000000"/>
                <w:sz w:val="18"/>
                <w:u w:color="auto"/>
              </w:rPr>
              <w:t xml:space="preserve"> </w:t>
            </w: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0.76</w:t>
            </w: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0.76</w:t>
            </w: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22.77</w:t>
            </w: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22.77</w:t>
            </w: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175.65</w:t>
            </w: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175.65</w:t>
            </w: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5.67</w:t>
            </w: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5.67</w:t>
            </w: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204.84</w:t>
            </w:r>
            <w:r>
              <w:rPr>
                <w:color w:val="000000"/>
                <w:sz w:val="18"/>
                <w:u w:color="auto"/>
              </w:rPr>
              <w:t xml:space="preserve"> </w:t>
            </w: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204.84</w:t>
            </w: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204.84</w:t>
            </w: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204.84</w:t>
            </w:r>
            <w:r>
              <w:rPr>
                <w:color w:val="000000"/>
                <w:sz w:val="18"/>
                <w:u w:color="auto"/>
              </w:rPr>
              <w:t xml:space="preserve"> </w:t>
            </w:r>
          </w:p>
        </w:tc>
        <w:tc>
          <w:tcPr>
            <w:tcW w:w="1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204.84</w:t>
            </w: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204.84</w:t>
            </w:r>
            <w:r>
              <w:rPr>
                <w:color w:val="000000"/>
                <w:sz w:val="18"/>
                <w:u w:color="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0803" w:type="dxa"/>
        <w:tblInd w:w="0" w:type="dxa"/>
        <w:tblLayout w:type="fixed"/>
        <w:tblCellMar>
          <w:top w:w="0" w:type="dxa"/>
          <w:left w:w="0" w:type="dxa"/>
          <w:bottom w:w="0" w:type="dxa"/>
          <w:right w:w="0" w:type="dxa"/>
        </w:tblCellMar>
      </w:tblPr>
      <w:tblGrid>
        <w:gridCol w:w="1305"/>
        <w:gridCol w:w="2493"/>
        <w:gridCol w:w="2331"/>
        <w:gridCol w:w="2332"/>
        <w:gridCol w:w="2342"/>
      </w:tblGrid>
      <w:tr>
        <w:tblPrEx>
          <w:tblCellMar>
            <w:top w:w="0" w:type="dxa"/>
            <w:left w:w="0" w:type="dxa"/>
            <w:bottom w:w="0" w:type="dxa"/>
            <w:right w:w="0" w:type="dxa"/>
          </w:tblCellMar>
        </w:tblPrEx>
        <w:trPr>
          <w:trHeight w:val="510" w:hRule="atLeast"/>
        </w:trPr>
        <w:tc>
          <w:tcPr>
            <w:tcW w:w="10803" w:type="dxa"/>
            <w:gridSpan w:val="5"/>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3798"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重庆市荣昌区医疗保障局本级</w:t>
            </w:r>
          </w:p>
        </w:tc>
        <w:tc>
          <w:tcPr>
            <w:tcW w:w="7005"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3798" w:type="dxa"/>
            <w:gridSpan w:val="2"/>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005"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379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7005" w:type="dxa"/>
            <w:gridSpan w:val="3"/>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49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33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332"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342"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9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33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33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34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9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33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33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34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3798" w:type="dxa"/>
            <w:gridSpan w:val="2"/>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3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204.84</w:t>
            </w:r>
            <w:r>
              <w:rPr>
                <w:b/>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162.93</w:t>
            </w:r>
            <w:r>
              <w:rPr>
                <w:b/>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41.92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4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23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0.76</w:t>
            </w:r>
            <w:r>
              <w:rPr>
                <w:b/>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0.76</w:t>
            </w:r>
            <w:r>
              <w:rPr>
                <w:b/>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4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23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0.76</w:t>
            </w:r>
            <w:r>
              <w:rPr>
                <w:b/>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0.76</w:t>
            </w:r>
            <w:r>
              <w:rPr>
                <w:b/>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4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23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0.76</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0.76</w:t>
            </w: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4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23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22.77</w:t>
            </w:r>
            <w:r>
              <w:rPr>
                <w:b/>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22.77</w:t>
            </w:r>
            <w:r>
              <w:rPr>
                <w:b/>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4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23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22.77</w:t>
            </w:r>
            <w:r>
              <w:rPr>
                <w:b/>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22.77</w:t>
            </w:r>
            <w:r>
              <w:rPr>
                <w:b/>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4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23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12.89</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12.89</w:t>
            </w: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4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23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6.44</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6.44</w:t>
            </w: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4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23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4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23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175.65</w:t>
            </w:r>
            <w:r>
              <w:rPr>
                <w:b/>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133.73</w:t>
            </w:r>
            <w:r>
              <w:rPr>
                <w:b/>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41.92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4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23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8.38</w:t>
            </w:r>
            <w:r>
              <w:rPr>
                <w:b/>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8.38</w:t>
            </w:r>
            <w:r>
              <w:rPr>
                <w:b/>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4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23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4.50</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4.50</w:t>
            </w: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24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23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2.12</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2.12</w:t>
            </w: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4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23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1.75</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1.75</w:t>
            </w: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24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23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167.27</w:t>
            </w:r>
            <w:r>
              <w:rPr>
                <w:b/>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125.36</w:t>
            </w:r>
            <w:r>
              <w:rPr>
                <w:b/>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41.92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2101501</w:t>
            </w:r>
          </w:p>
        </w:tc>
        <w:tc>
          <w:tcPr>
            <w:tcW w:w="24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23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125.36</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125.36</w:t>
            </w: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2101504</w:t>
            </w:r>
          </w:p>
        </w:tc>
        <w:tc>
          <w:tcPr>
            <w:tcW w:w="24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23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8.09</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24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23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16.38</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24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23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17.44</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4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23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5.67</w:t>
            </w:r>
            <w:r>
              <w:rPr>
                <w:b/>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5.67</w:t>
            </w:r>
            <w:r>
              <w:rPr>
                <w:b/>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4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23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5.67</w:t>
            </w:r>
            <w:r>
              <w:rPr>
                <w:b/>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5.67</w:t>
            </w:r>
            <w:r>
              <w:rPr>
                <w:b/>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4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23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5.67</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5.67</w:t>
            </w: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0803" w:type="dxa"/>
        <w:tblInd w:w="0" w:type="dxa"/>
        <w:tblLayout w:type="fixed"/>
        <w:tblCellMar>
          <w:top w:w="0" w:type="dxa"/>
          <w:left w:w="0" w:type="dxa"/>
          <w:bottom w:w="0" w:type="dxa"/>
          <w:right w:w="0" w:type="dxa"/>
        </w:tblCellMar>
      </w:tblPr>
      <w:tblGrid>
        <w:gridCol w:w="620"/>
        <w:gridCol w:w="2292"/>
        <w:gridCol w:w="756"/>
        <w:gridCol w:w="576"/>
        <w:gridCol w:w="1452"/>
        <w:gridCol w:w="729"/>
        <w:gridCol w:w="568"/>
        <w:gridCol w:w="2481"/>
        <w:gridCol w:w="1329"/>
      </w:tblGrid>
      <w:tr>
        <w:tblPrEx>
          <w:tblCellMar>
            <w:top w:w="0" w:type="dxa"/>
            <w:left w:w="0" w:type="dxa"/>
            <w:bottom w:w="0" w:type="dxa"/>
            <w:right w:w="0" w:type="dxa"/>
          </w:tblCellMar>
        </w:tblPrEx>
        <w:trPr>
          <w:trHeight w:val="90" w:hRule="atLeast"/>
        </w:trPr>
        <w:tc>
          <w:tcPr>
            <w:tcW w:w="10803" w:type="dxa"/>
            <w:gridSpan w:val="9"/>
            <w:tcBorders>
              <w:top w:val="nil"/>
              <w:left w:val="nil"/>
              <w:bottom w:val="nil"/>
              <w:right w:val="nil"/>
            </w:tcBorders>
            <w:shd w:val="clear" w:color="auto" w:fill="FFFFFF" w:themeFill="background1"/>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912"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重庆市荣昌区医疗保障局本级</w:t>
            </w:r>
          </w:p>
        </w:tc>
        <w:tc>
          <w:tcPr>
            <w:tcW w:w="7891"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912" w:type="dxa"/>
            <w:gridSpan w:val="2"/>
            <w:vMerge w:val="continue"/>
            <w:tcBorders>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891"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366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7135" w:type="dxa"/>
            <w:gridSpan w:val="6"/>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20"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292"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75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576"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452"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729"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568"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48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29"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20"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229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75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576"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45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729"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568"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248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329"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127.37</w:t>
            </w: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32.33</w:t>
            </w: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28.68</w:t>
            </w: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w:t>
            </w: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21.45</w:t>
            </w: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41.86</w:t>
            </w: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12.89</w:t>
            </w: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6.44</w:t>
            </w: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2.88</w:t>
            </w: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4.50</w:t>
            </w: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w:t>
            </w: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w:t>
            </w: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5.67</w:t>
            </w: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0.98</w:t>
            </w: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3.22</w:t>
            </w: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0.76</w:t>
            </w: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w:t>
            </w: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5.93</w:t>
            </w: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0.91</w:t>
            </w: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3.06</w:t>
            </w: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5.62</w:t>
            </w: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9.54</w:t>
            </w: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2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4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12"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75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130.59</w:t>
            </w:r>
            <w:r>
              <w:rPr>
                <w:color w:val="000000"/>
                <w:sz w:val="18"/>
                <w:u w:color="auto"/>
              </w:rPr>
              <w:t xml:space="preserve"> </w:t>
            </w:r>
          </w:p>
        </w:tc>
        <w:tc>
          <w:tcPr>
            <w:tcW w:w="5806"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32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0803" w:type="dxa"/>
        <w:tblInd w:w="0" w:type="dxa"/>
        <w:tblLayout w:type="fixed"/>
        <w:tblCellMar>
          <w:top w:w="0" w:type="dxa"/>
          <w:left w:w="0" w:type="dxa"/>
          <w:bottom w:w="0" w:type="dxa"/>
          <w:right w:w="0" w:type="dxa"/>
        </w:tblCellMar>
      </w:tblPr>
      <w:tblGrid>
        <w:gridCol w:w="1302"/>
        <w:gridCol w:w="2354"/>
        <w:gridCol w:w="1015"/>
        <w:gridCol w:w="1199"/>
        <w:gridCol w:w="1200"/>
        <w:gridCol w:w="1199"/>
        <w:gridCol w:w="1244"/>
        <w:gridCol w:w="1290"/>
      </w:tblGrid>
      <w:tr>
        <w:tblPrEx>
          <w:tblCellMar>
            <w:top w:w="0" w:type="dxa"/>
            <w:left w:w="0" w:type="dxa"/>
            <w:bottom w:w="0" w:type="dxa"/>
            <w:right w:w="0" w:type="dxa"/>
          </w:tblCellMar>
        </w:tblPrEx>
        <w:trPr>
          <w:trHeight w:val="644" w:hRule="atLeast"/>
        </w:trPr>
        <w:tc>
          <w:tcPr>
            <w:tcW w:w="10803"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3656"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重庆市荣昌区医疗保障局本级</w:t>
            </w:r>
          </w:p>
        </w:tc>
        <w:tc>
          <w:tcPr>
            <w:tcW w:w="7147" w:type="dxa"/>
            <w:gridSpan w:val="6"/>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3656" w:type="dxa"/>
            <w:gridSpan w:val="2"/>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147" w:type="dxa"/>
            <w:gridSpan w:val="6"/>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3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015"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3643" w:type="dxa"/>
            <w:gridSpan w:val="3"/>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0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1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0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99"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24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1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0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99"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4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1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0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99"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4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3656" w:type="dxa"/>
            <w:gridSpan w:val="2"/>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9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9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4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0803" w:type="dxa"/>
        <w:tblInd w:w="0" w:type="dxa"/>
        <w:tblLayout w:type="fixed"/>
        <w:tblCellMar>
          <w:top w:w="0" w:type="dxa"/>
          <w:left w:w="0" w:type="dxa"/>
          <w:bottom w:w="0" w:type="dxa"/>
          <w:right w:w="0" w:type="dxa"/>
        </w:tblCellMar>
      </w:tblPr>
      <w:tblGrid>
        <w:gridCol w:w="1322"/>
        <w:gridCol w:w="2502"/>
        <w:gridCol w:w="2090"/>
        <w:gridCol w:w="2441"/>
        <w:gridCol w:w="2448"/>
      </w:tblGrid>
      <w:tr>
        <w:tblPrEx>
          <w:tblCellMar>
            <w:top w:w="0" w:type="dxa"/>
            <w:left w:w="0" w:type="dxa"/>
            <w:bottom w:w="0" w:type="dxa"/>
            <w:right w:w="0" w:type="dxa"/>
          </w:tblCellMar>
        </w:tblPrEx>
        <w:trPr>
          <w:trHeight w:val="650" w:hRule="atLeast"/>
        </w:trPr>
        <w:tc>
          <w:tcPr>
            <w:tcW w:w="10803"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3824"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重庆市荣昌区医疗保障局本级</w:t>
            </w:r>
          </w:p>
        </w:tc>
        <w:tc>
          <w:tcPr>
            <w:tcW w:w="6979"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3824" w:type="dxa"/>
            <w:gridSpan w:val="2"/>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6979"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382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97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322"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502"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2090"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4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448"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322"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50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90"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4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48"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322"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50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90"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4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48"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322"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50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90"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4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48"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382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0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24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default" w:cs="宋体"/>
                <w:b/>
                <w:color w:val="000000"/>
                <w:sz w:val="20"/>
                <w:szCs w:val="20"/>
              </w:rPr>
            </w:pPr>
          </w:p>
        </w:tc>
        <w:tc>
          <w:tcPr>
            <w:tcW w:w="244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0803" w:type="dxa"/>
        <w:tblInd w:w="0" w:type="dxa"/>
        <w:tblLayout w:type="fixed"/>
        <w:tblCellMar>
          <w:top w:w="0" w:type="dxa"/>
          <w:left w:w="0" w:type="dxa"/>
          <w:bottom w:w="0" w:type="dxa"/>
          <w:right w:w="0" w:type="dxa"/>
        </w:tblCellMar>
      </w:tblPr>
      <w:tblGrid>
        <w:gridCol w:w="3680"/>
        <w:gridCol w:w="818"/>
        <w:gridCol w:w="1534"/>
        <w:gridCol w:w="3274"/>
        <w:gridCol w:w="1497"/>
      </w:tblGrid>
      <w:tr>
        <w:tblPrEx>
          <w:tblCellMar>
            <w:top w:w="0" w:type="dxa"/>
            <w:left w:w="0" w:type="dxa"/>
            <w:bottom w:w="0" w:type="dxa"/>
            <w:right w:w="0" w:type="dxa"/>
          </w:tblCellMar>
        </w:tblPrEx>
        <w:trPr>
          <w:trHeight w:val="175" w:hRule="atLeast"/>
        </w:trPr>
        <w:tc>
          <w:tcPr>
            <w:tcW w:w="10803" w:type="dxa"/>
            <w:gridSpan w:val="5"/>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10803" w:type="dxa"/>
            <w:gridSpan w:val="5"/>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0" w:type="dxa"/>
            <w:bottom w:w="0" w:type="dxa"/>
            <w:right w:w="0" w:type="dxa"/>
          </w:tblCellMar>
        </w:tblPrEx>
        <w:trPr>
          <w:trHeight w:val="175" w:hRule="atLeast"/>
        </w:trPr>
        <w:tc>
          <w:tcPr>
            <w:tcW w:w="3680" w:type="dxa"/>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重庆市荣昌区医疗保障局本级</w:t>
            </w:r>
          </w:p>
        </w:tc>
        <w:tc>
          <w:tcPr>
            <w:tcW w:w="7123" w:type="dxa"/>
            <w:gridSpan w:val="4"/>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84" w:hRule="atLeast"/>
        </w:trPr>
        <w:tc>
          <w:tcPr>
            <w:tcW w:w="368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153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2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149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184" w:hRule="atLeast"/>
        </w:trPr>
        <w:tc>
          <w:tcPr>
            <w:tcW w:w="368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2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149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32.33</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368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3.36</w:t>
            </w:r>
            <w:r>
              <w:rPr>
                <w:color w:val="000000"/>
                <w:sz w:val="20"/>
                <w:u w:color="auto"/>
              </w:rPr>
              <w:t xml:space="preserve"> </w:t>
            </w:r>
          </w:p>
        </w:tc>
        <w:tc>
          <w:tcPr>
            <w:tcW w:w="153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3.36</w:t>
            </w: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149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32.33</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368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3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149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368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3.06</w:t>
            </w:r>
            <w:r>
              <w:rPr>
                <w:color w:val="000000"/>
                <w:sz w:val="20"/>
                <w:u w:color="auto"/>
              </w:rPr>
              <w:t xml:space="preserve"> </w:t>
            </w:r>
          </w:p>
        </w:tc>
        <w:tc>
          <w:tcPr>
            <w:tcW w:w="153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3.06</w:t>
            </w: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149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368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3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149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368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3.06</w:t>
            </w:r>
            <w:r>
              <w:rPr>
                <w:color w:val="000000"/>
                <w:sz w:val="20"/>
                <w:u w:color="auto"/>
              </w:rPr>
              <w:t xml:space="preserve"> </w:t>
            </w:r>
          </w:p>
        </w:tc>
        <w:tc>
          <w:tcPr>
            <w:tcW w:w="153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3.06</w:t>
            </w: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149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368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0.30</w:t>
            </w:r>
            <w:r>
              <w:rPr>
                <w:color w:val="000000"/>
                <w:sz w:val="20"/>
                <w:u w:color="auto"/>
              </w:rPr>
              <w:t xml:space="preserve"> </w:t>
            </w:r>
          </w:p>
        </w:tc>
        <w:tc>
          <w:tcPr>
            <w:tcW w:w="153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0.30</w:t>
            </w: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149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368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0.30</w:t>
            </w: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149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368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149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368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149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368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2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149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368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149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368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149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368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149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368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149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368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w:t>
            </w: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149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368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149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368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30</w:t>
            </w: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149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368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149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368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149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368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149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69" w:hRule="atLeast"/>
        </w:trPr>
        <w:tc>
          <w:tcPr>
            <w:tcW w:w="368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9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rPr>
                <w:rFonts w:hint="default" w:cs="宋体"/>
                <w:color w:val="000000"/>
                <w:sz w:val="20"/>
                <w:szCs w:val="20"/>
              </w:rPr>
            </w:pPr>
          </w:p>
        </w:tc>
      </w:tr>
      <w:tr>
        <w:tblPrEx>
          <w:tblCellMar>
            <w:top w:w="0" w:type="dxa"/>
            <w:left w:w="0" w:type="dxa"/>
            <w:bottom w:w="0" w:type="dxa"/>
            <w:right w:w="0" w:type="dxa"/>
          </w:tblCellMar>
        </w:tblPrEx>
        <w:trPr>
          <w:trHeight w:val="244" w:hRule="atLeast"/>
        </w:trPr>
        <w:tc>
          <w:tcPr>
            <w:tcW w:w="368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1.35</w:t>
            </w: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9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1907" w:h="16839"/>
      <w:pgMar w:top="454" w:right="567" w:bottom="1037" w:left="56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B02605"/>
    <w:multiLevelType w:val="singleLevel"/>
    <w:tmpl w:val="1CB0260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B254B"/>
    <w:rsid w:val="00550ABE"/>
    <w:rsid w:val="0059521E"/>
    <w:rsid w:val="005B687F"/>
    <w:rsid w:val="00677DB7"/>
    <w:rsid w:val="00770383"/>
    <w:rsid w:val="007819D4"/>
    <w:rsid w:val="007B419D"/>
    <w:rsid w:val="009B67B8"/>
    <w:rsid w:val="009D2B67"/>
    <w:rsid w:val="00B03CCD"/>
    <w:rsid w:val="00C20C3E"/>
    <w:rsid w:val="00D638EE"/>
    <w:rsid w:val="00F73F90"/>
    <w:rsid w:val="011149CC"/>
    <w:rsid w:val="01474EBF"/>
    <w:rsid w:val="01F3521E"/>
    <w:rsid w:val="02186A33"/>
    <w:rsid w:val="022D1862"/>
    <w:rsid w:val="03664EA1"/>
    <w:rsid w:val="03B87EA0"/>
    <w:rsid w:val="03E3214F"/>
    <w:rsid w:val="044C50BA"/>
    <w:rsid w:val="04645D73"/>
    <w:rsid w:val="048B2A85"/>
    <w:rsid w:val="04F0635E"/>
    <w:rsid w:val="05215C24"/>
    <w:rsid w:val="053E0CAE"/>
    <w:rsid w:val="058A602C"/>
    <w:rsid w:val="05BC6D49"/>
    <w:rsid w:val="060B0977"/>
    <w:rsid w:val="06194FF1"/>
    <w:rsid w:val="06393A45"/>
    <w:rsid w:val="067A73C6"/>
    <w:rsid w:val="06A2550B"/>
    <w:rsid w:val="06A6261C"/>
    <w:rsid w:val="06F80EE2"/>
    <w:rsid w:val="07001CCA"/>
    <w:rsid w:val="075678DB"/>
    <w:rsid w:val="079D7CC7"/>
    <w:rsid w:val="08051BCA"/>
    <w:rsid w:val="08515A10"/>
    <w:rsid w:val="086C12F4"/>
    <w:rsid w:val="08705944"/>
    <w:rsid w:val="089336D5"/>
    <w:rsid w:val="08BA052C"/>
    <w:rsid w:val="08CD6EE3"/>
    <w:rsid w:val="08DB07BA"/>
    <w:rsid w:val="09280895"/>
    <w:rsid w:val="0969353F"/>
    <w:rsid w:val="098305D0"/>
    <w:rsid w:val="0A3317EA"/>
    <w:rsid w:val="0A5C4B69"/>
    <w:rsid w:val="0A741136"/>
    <w:rsid w:val="0A86124A"/>
    <w:rsid w:val="0AB4001B"/>
    <w:rsid w:val="0AB54CC0"/>
    <w:rsid w:val="0AC17331"/>
    <w:rsid w:val="0B9335CE"/>
    <w:rsid w:val="0BF2311A"/>
    <w:rsid w:val="0C344BA6"/>
    <w:rsid w:val="0C6E64CE"/>
    <w:rsid w:val="0C7927C4"/>
    <w:rsid w:val="0C9B098C"/>
    <w:rsid w:val="0D2758F1"/>
    <w:rsid w:val="0D673E11"/>
    <w:rsid w:val="0DCC6EC8"/>
    <w:rsid w:val="0DDA54E4"/>
    <w:rsid w:val="0E3A5F83"/>
    <w:rsid w:val="0F09511B"/>
    <w:rsid w:val="0F195CD1"/>
    <w:rsid w:val="0F836721"/>
    <w:rsid w:val="0FA25D96"/>
    <w:rsid w:val="107B59E5"/>
    <w:rsid w:val="10D41361"/>
    <w:rsid w:val="10EC0126"/>
    <w:rsid w:val="10F70B9A"/>
    <w:rsid w:val="111445C7"/>
    <w:rsid w:val="114278C6"/>
    <w:rsid w:val="1158083A"/>
    <w:rsid w:val="11641613"/>
    <w:rsid w:val="11643A4B"/>
    <w:rsid w:val="11961D4C"/>
    <w:rsid w:val="11D06000"/>
    <w:rsid w:val="11ED0F98"/>
    <w:rsid w:val="11F03528"/>
    <w:rsid w:val="12C921C4"/>
    <w:rsid w:val="13871C70"/>
    <w:rsid w:val="139C67BB"/>
    <w:rsid w:val="13A71CB4"/>
    <w:rsid w:val="13AF1D43"/>
    <w:rsid w:val="13CE1647"/>
    <w:rsid w:val="13FC61B5"/>
    <w:rsid w:val="13FD55AB"/>
    <w:rsid w:val="14200702"/>
    <w:rsid w:val="14451B4C"/>
    <w:rsid w:val="146001D7"/>
    <w:rsid w:val="14E1249F"/>
    <w:rsid w:val="161E116E"/>
    <w:rsid w:val="163A6CEE"/>
    <w:rsid w:val="173708E3"/>
    <w:rsid w:val="175D1764"/>
    <w:rsid w:val="1780739A"/>
    <w:rsid w:val="178A352D"/>
    <w:rsid w:val="17AE7CCD"/>
    <w:rsid w:val="17C374FC"/>
    <w:rsid w:val="181F066F"/>
    <w:rsid w:val="182222B7"/>
    <w:rsid w:val="182E4AB6"/>
    <w:rsid w:val="1849366A"/>
    <w:rsid w:val="189079DC"/>
    <w:rsid w:val="189B0D0B"/>
    <w:rsid w:val="18B43F7C"/>
    <w:rsid w:val="190172AB"/>
    <w:rsid w:val="194A1770"/>
    <w:rsid w:val="19B906A4"/>
    <w:rsid w:val="1A2A4906"/>
    <w:rsid w:val="1A9B1013"/>
    <w:rsid w:val="1B221E58"/>
    <w:rsid w:val="1B6F15B6"/>
    <w:rsid w:val="1BAA2EDC"/>
    <w:rsid w:val="1BD63D54"/>
    <w:rsid w:val="1CA55E64"/>
    <w:rsid w:val="1D014A01"/>
    <w:rsid w:val="1D022362"/>
    <w:rsid w:val="1D1B04B0"/>
    <w:rsid w:val="1DA52501"/>
    <w:rsid w:val="1DBD6767"/>
    <w:rsid w:val="1DC52125"/>
    <w:rsid w:val="1DD26311"/>
    <w:rsid w:val="1E374ACB"/>
    <w:rsid w:val="1E611426"/>
    <w:rsid w:val="1ECF0A66"/>
    <w:rsid w:val="1EF67CA4"/>
    <w:rsid w:val="1F020D3A"/>
    <w:rsid w:val="1F0D7232"/>
    <w:rsid w:val="1F2C5189"/>
    <w:rsid w:val="1F4B0B02"/>
    <w:rsid w:val="1F6B3698"/>
    <w:rsid w:val="1FBB35CD"/>
    <w:rsid w:val="1FC85FB0"/>
    <w:rsid w:val="1FCD26AF"/>
    <w:rsid w:val="1FCE19E7"/>
    <w:rsid w:val="20642787"/>
    <w:rsid w:val="2072138E"/>
    <w:rsid w:val="209B183B"/>
    <w:rsid w:val="21556F04"/>
    <w:rsid w:val="21D10F81"/>
    <w:rsid w:val="21E237F3"/>
    <w:rsid w:val="22403BD3"/>
    <w:rsid w:val="22DA20BB"/>
    <w:rsid w:val="22F92970"/>
    <w:rsid w:val="23156A1D"/>
    <w:rsid w:val="23D24851"/>
    <w:rsid w:val="23F70746"/>
    <w:rsid w:val="24757D6B"/>
    <w:rsid w:val="24B92327"/>
    <w:rsid w:val="24C14514"/>
    <w:rsid w:val="24DD6008"/>
    <w:rsid w:val="2533755C"/>
    <w:rsid w:val="25791755"/>
    <w:rsid w:val="25C42B4A"/>
    <w:rsid w:val="25DC6E72"/>
    <w:rsid w:val="25FC3175"/>
    <w:rsid w:val="26391C6A"/>
    <w:rsid w:val="26396DF4"/>
    <w:rsid w:val="269A79D6"/>
    <w:rsid w:val="27167136"/>
    <w:rsid w:val="271B442C"/>
    <w:rsid w:val="272D7620"/>
    <w:rsid w:val="277B2154"/>
    <w:rsid w:val="27B23302"/>
    <w:rsid w:val="27F154AB"/>
    <w:rsid w:val="283205FE"/>
    <w:rsid w:val="28343B01"/>
    <w:rsid w:val="28552291"/>
    <w:rsid w:val="2881460C"/>
    <w:rsid w:val="28D14D1B"/>
    <w:rsid w:val="28E8012C"/>
    <w:rsid w:val="29116D6A"/>
    <w:rsid w:val="29310A5F"/>
    <w:rsid w:val="299946CD"/>
    <w:rsid w:val="29C37A35"/>
    <w:rsid w:val="2A076083"/>
    <w:rsid w:val="2A0D7208"/>
    <w:rsid w:val="2A73162E"/>
    <w:rsid w:val="2A8049CB"/>
    <w:rsid w:val="2AB93746"/>
    <w:rsid w:val="2B167953"/>
    <w:rsid w:val="2B200583"/>
    <w:rsid w:val="2B8209DE"/>
    <w:rsid w:val="2C636760"/>
    <w:rsid w:val="2C6762A3"/>
    <w:rsid w:val="2DAA4235"/>
    <w:rsid w:val="2E132621"/>
    <w:rsid w:val="2E1C2DEC"/>
    <w:rsid w:val="2E27798F"/>
    <w:rsid w:val="2EA56AF7"/>
    <w:rsid w:val="2EC8403A"/>
    <w:rsid w:val="2FCA4B37"/>
    <w:rsid w:val="2FE029D7"/>
    <w:rsid w:val="2FF06E00"/>
    <w:rsid w:val="302D0419"/>
    <w:rsid w:val="30586FEC"/>
    <w:rsid w:val="30EF26D5"/>
    <w:rsid w:val="310344E4"/>
    <w:rsid w:val="315F0B22"/>
    <w:rsid w:val="31D84415"/>
    <w:rsid w:val="32285F6F"/>
    <w:rsid w:val="32770556"/>
    <w:rsid w:val="32990513"/>
    <w:rsid w:val="329C0913"/>
    <w:rsid w:val="32AA0460"/>
    <w:rsid w:val="32CD7A68"/>
    <w:rsid w:val="33270899"/>
    <w:rsid w:val="3336223D"/>
    <w:rsid w:val="3337290D"/>
    <w:rsid w:val="33C17F75"/>
    <w:rsid w:val="33E31118"/>
    <w:rsid w:val="33EF7674"/>
    <w:rsid w:val="33F0102A"/>
    <w:rsid w:val="342750E4"/>
    <w:rsid w:val="342D7BC6"/>
    <w:rsid w:val="34FB69F8"/>
    <w:rsid w:val="352930DB"/>
    <w:rsid w:val="35573069"/>
    <w:rsid w:val="355F6038"/>
    <w:rsid w:val="358C217E"/>
    <w:rsid w:val="35BA3691"/>
    <w:rsid w:val="361022B4"/>
    <w:rsid w:val="36C9128A"/>
    <w:rsid w:val="37841E99"/>
    <w:rsid w:val="37BF1123"/>
    <w:rsid w:val="383C3F15"/>
    <w:rsid w:val="38637D01"/>
    <w:rsid w:val="38BE4696"/>
    <w:rsid w:val="39014694"/>
    <w:rsid w:val="3939115E"/>
    <w:rsid w:val="3968031D"/>
    <w:rsid w:val="39807CF6"/>
    <w:rsid w:val="398C67F7"/>
    <w:rsid w:val="39B82A39"/>
    <w:rsid w:val="39C42CA8"/>
    <w:rsid w:val="39DC4FD6"/>
    <w:rsid w:val="39E07968"/>
    <w:rsid w:val="39F03D7A"/>
    <w:rsid w:val="39F33306"/>
    <w:rsid w:val="3A2C1C67"/>
    <w:rsid w:val="3A775585"/>
    <w:rsid w:val="3A867008"/>
    <w:rsid w:val="3A8B0918"/>
    <w:rsid w:val="3A9C1E66"/>
    <w:rsid w:val="3ADD3182"/>
    <w:rsid w:val="3ADD7F09"/>
    <w:rsid w:val="3B1705E5"/>
    <w:rsid w:val="3B18334B"/>
    <w:rsid w:val="3B36794F"/>
    <w:rsid w:val="3B6F6EE0"/>
    <w:rsid w:val="3BE321CE"/>
    <w:rsid w:val="3C566AD6"/>
    <w:rsid w:val="3C594871"/>
    <w:rsid w:val="3C6A5B02"/>
    <w:rsid w:val="3D2757A1"/>
    <w:rsid w:val="3D3D4FC4"/>
    <w:rsid w:val="3D41598E"/>
    <w:rsid w:val="3D423410"/>
    <w:rsid w:val="3D8D717E"/>
    <w:rsid w:val="3DDF3AB1"/>
    <w:rsid w:val="3DE73B9D"/>
    <w:rsid w:val="3E1D0952"/>
    <w:rsid w:val="3E390124"/>
    <w:rsid w:val="3E42660A"/>
    <w:rsid w:val="3E7555B1"/>
    <w:rsid w:val="3E787ED9"/>
    <w:rsid w:val="3E9E58CA"/>
    <w:rsid w:val="3F032E93"/>
    <w:rsid w:val="3F0527E5"/>
    <w:rsid w:val="3F5969BB"/>
    <w:rsid w:val="3F694D83"/>
    <w:rsid w:val="3F885DCC"/>
    <w:rsid w:val="3FCD675E"/>
    <w:rsid w:val="4004000C"/>
    <w:rsid w:val="40595BA0"/>
    <w:rsid w:val="40BD5482"/>
    <w:rsid w:val="411B6CE5"/>
    <w:rsid w:val="412070D7"/>
    <w:rsid w:val="41314E40"/>
    <w:rsid w:val="4182299D"/>
    <w:rsid w:val="41E0734B"/>
    <w:rsid w:val="426623FD"/>
    <w:rsid w:val="426C1EA8"/>
    <w:rsid w:val="42736402"/>
    <w:rsid w:val="42E86A87"/>
    <w:rsid w:val="43307B09"/>
    <w:rsid w:val="439A3EB9"/>
    <w:rsid w:val="43A7408E"/>
    <w:rsid w:val="43BB152F"/>
    <w:rsid w:val="447F2A6D"/>
    <w:rsid w:val="4492750F"/>
    <w:rsid w:val="44C37687"/>
    <w:rsid w:val="45543D4A"/>
    <w:rsid w:val="45CB699A"/>
    <w:rsid w:val="45E66B3C"/>
    <w:rsid w:val="45EF19CA"/>
    <w:rsid w:val="46317690"/>
    <w:rsid w:val="465B470D"/>
    <w:rsid w:val="467960AA"/>
    <w:rsid w:val="469D6AD4"/>
    <w:rsid w:val="46E57930"/>
    <w:rsid w:val="471E6C84"/>
    <w:rsid w:val="4748792B"/>
    <w:rsid w:val="475C3CD2"/>
    <w:rsid w:val="475D719D"/>
    <w:rsid w:val="47674801"/>
    <w:rsid w:val="47900FD0"/>
    <w:rsid w:val="479122A0"/>
    <w:rsid w:val="48225EF7"/>
    <w:rsid w:val="485350F5"/>
    <w:rsid w:val="48547F3A"/>
    <w:rsid w:val="486401D4"/>
    <w:rsid w:val="488F422B"/>
    <w:rsid w:val="48E36915"/>
    <w:rsid w:val="48EB6572"/>
    <w:rsid w:val="495C4A24"/>
    <w:rsid w:val="497135DF"/>
    <w:rsid w:val="4A263DF2"/>
    <w:rsid w:val="4A6F6675"/>
    <w:rsid w:val="4AD743D6"/>
    <w:rsid w:val="4B135857"/>
    <w:rsid w:val="4B484194"/>
    <w:rsid w:val="4B7324F9"/>
    <w:rsid w:val="4B7951CB"/>
    <w:rsid w:val="4B7C315C"/>
    <w:rsid w:val="4B974814"/>
    <w:rsid w:val="4BAF6637"/>
    <w:rsid w:val="4BF329A5"/>
    <w:rsid w:val="4D534390"/>
    <w:rsid w:val="4D556B27"/>
    <w:rsid w:val="4DAC4ACA"/>
    <w:rsid w:val="4DBE01D2"/>
    <w:rsid w:val="4E264AC2"/>
    <w:rsid w:val="4EA10EDC"/>
    <w:rsid w:val="4EB71DCB"/>
    <w:rsid w:val="4F0C6BA3"/>
    <w:rsid w:val="4F186D58"/>
    <w:rsid w:val="4F8D6993"/>
    <w:rsid w:val="50F06B6E"/>
    <w:rsid w:val="512D063D"/>
    <w:rsid w:val="51B24B1C"/>
    <w:rsid w:val="51D21804"/>
    <w:rsid w:val="52234D33"/>
    <w:rsid w:val="522F6E0C"/>
    <w:rsid w:val="52463BA1"/>
    <w:rsid w:val="529B0B51"/>
    <w:rsid w:val="52F163D4"/>
    <w:rsid w:val="53183661"/>
    <w:rsid w:val="531A2DB4"/>
    <w:rsid w:val="53C0244D"/>
    <w:rsid w:val="53DD4D4E"/>
    <w:rsid w:val="53E578CE"/>
    <w:rsid w:val="541330F0"/>
    <w:rsid w:val="54272666"/>
    <w:rsid w:val="543B029D"/>
    <w:rsid w:val="544278CB"/>
    <w:rsid w:val="54861779"/>
    <w:rsid w:val="550E3B1C"/>
    <w:rsid w:val="552256E1"/>
    <w:rsid w:val="554E5773"/>
    <w:rsid w:val="555A3CBC"/>
    <w:rsid w:val="5582012B"/>
    <w:rsid w:val="55877F62"/>
    <w:rsid w:val="558E4E05"/>
    <w:rsid w:val="559F7C0B"/>
    <w:rsid w:val="55B17584"/>
    <w:rsid w:val="55BE2E85"/>
    <w:rsid w:val="55E103A0"/>
    <w:rsid w:val="56297D2F"/>
    <w:rsid w:val="56523D40"/>
    <w:rsid w:val="56530F5D"/>
    <w:rsid w:val="567700D3"/>
    <w:rsid w:val="56C41A65"/>
    <w:rsid w:val="56FE2FC7"/>
    <w:rsid w:val="56FF7E9E"/>
    <w:rsid w:val="570E1063"/>
    <w:rsid w:val="57637102"/>
    <w:rsid w:val="578867FC"/>
    <w:rsid w:val="57945266"/>
    <w:rsid w:val="5842572D"/>
    <w:rsid w:val="5878198D"/>
    <w:rsid w:val="587C03AD"/>
    <w:rsid w:val="58B71C77"/>
    <w:rsid w:val="5A3B59D6"/>
    <w:rsid w:val="5AD134D8"/>
    <w:rsid w:val="5B3C777A"/>
    <w:rsid w:val="5BCE6692"/>
    <w:rsid w:val="5C263CE4"/>
    <w:rsid w:val="5C3C0960"/>
    <w:rsid w:val="5C5D2777"/>
    <w:rsid w:val="5C9E0E2D"/>
    <w:rsid w:val="5CC340BC"/>
    <w:rsid w:val="5CF66BF3"/>
    <w:rsid w:val="5D290C69"/>
    <w:rsid w:val="5D437E8D"/>
    <w:rsid w:val="5D937EE7"/>
    <w:rsid w:val="5DFB7811"/>
    <w:rsid w:val="5F2D4A41"/>
    <w:rsid w:val="5F833C40"/>
    <w:rsid w:val="6059007A"/>
    <w:rsid w:val="60C74F6C"/>
    <w:rsid w:val="60FD70A9"/>
    <w:rsid w:val="61025A59"/>
    <w:rsid w:val="612869CC"/>
    <w:rsid w:val="613D5BBC"/>
    <w:rsid w:val="61536C39"/>
    <w:rsid w:val="61B45987"/>
    <w:rsid w:val="620F67EC"/>
    <w:rsid w:val="62944DD7"/>
    <w:rsid w:val="62D26144"/>
    <w:rsid w:val="62FD063E"/>
    <w:rsid w:val="6319381F"/>
    <w:rsid w:val="63546E84"/>
    <w:rsid w:val="63C03FB5"/>
    <w:rsid w:val="63C25DC5"/>
    <w:rsid w:val="63C62057"/>
    <w:rsid w:val="63E85179"/>
    <w:rsid w:val="64571EF5"/>
    <w:rsid w:val="64C007D5"/>
    <w:rsid w:val="64FB113D"/>
    <w:rsid w:val="656152C6"/>
    <w:rsid w:val="65721B0C"/>
    <w:rsid w:val="6587477F"/>
    <w:rsid w:val="658C3A08"/>
    <w:rsid w:val="65C031CA"/>
    <w:rsid w:val="65CE6852"/>
    <w:rsid w:val="66267C04"/>
    <w:rsid w:val="663F505A"/>
    <w:rsid w:val="668657E9"/>
    <w:rsid w:val="66CF713B"/>
    <w:rsid w:val="66EE5541"/>
    <w:rsid w:val="66F51579"/>
    <w:rsid w:val="66FC7364"/>
    <w:rsid w:val="673A09E8"/>
    <w:rsid w:val="678443EA"/>
    <w:rsid w:val="67924660"/>
    <w:rsid w:val="681577C9"/>
    <w:rsid w:val="68407834"/>
    <w:rsid w:val="68457236"/>
    <w:rsid w:val="686624CA"/>
    <w:rsid w:val="6883293E"/>
    <w:rsid w:val="688412AD"/>
    <w:rsid w:val="68AA5747"/>
    <w:rsid w:val="68EB1B71"/>
    <w:rsid w:val="6A5D2D6C"/>
    <w:rsid w:val="6A6C7940"/>
    <w:rsid w:val="6A71652B"/>
    <w:rsid w:val="6AAD2300"/>
    <w:rsid w:val="6B474EF5"/>
    <w:rsid w:val="6B5E1044"/>
    <w:rsid w:val="6B9A4795"/>
    <w:rsid w:val="6C053E44"/>
    <w:rsid w:val="6C0A5AC5"/>
    <w:rsid w:val="6C560CAE"/>
    <w:rsid w:val="6C576495"/>
    <w:rsid w:val="6C5975D6"/>
    <w:rsid w:val="6CB52539"/>
    <w:rsid w:val="6D667EA6"/>
    <w:rsid w:val="6D903FF5"/>
    <w:rsid w:val="6DA955B8"/>
    <w:rsid w:val="6DBE449A"/>
    <w:rsid w:val="6DE346AB"/>
    <w:rsid w:val="6DE5391A"/>
    <w:rsid w:val="6DF645F4"/>
    <w:rsid w:val="6E215111"/>
    <w:rsid w:val="6E47697D"/>
    <w:rsid w:val="6EFD1324"/>
    <w:rsid w:val="6F5A53AC"/>
    <w:rsid w:val="6FAC003D"/>
    <w:rsid w:val="6FE55E12"/>
    <w:rsid w:val="6FFB2E76"/>
    <w:rsid w:val="705D46B1"/>
    <w:rsid w:val="70614A6E"/>
    <w:rsid w:val="708F6F7F"/>
    <w:rsid w:val="70C042C9"/>
    <w:rsid w:val="70D94BD3"/>
    <w:rsid w:val="71271C2E"/>
    <w:rsid w:val="71C34D91"/>
    <w:rsid w:val="722469BF"/>
    <w:rsid w:val="72DB435C"/>
    <w:rsid w:val="72E2613A"/>
    <w:rsid w:val="72F771F4"/>
    <w:rsid w:val="73934AD2"/>
    <w:rsid w:val="73A103C3"/>
    <w:rsid w:val="73B17F3D"/>
    <w:rsid w:val="74582180"/>
    <w:rsid w:val="74BD4012"/>
    <w:rsid w:val="750837F0"/>
    <w:rsid w:val="754758CF"/>
    <w:rsid w:val="756E14B8"/>
    <w:rsid w:val="75AE2AF5"/>
    <w:rsid w:val="761B4221"/>
    <w:rsid w:val="764F62AB"/>
    <w:rsid w:val="765C45EC"/>
    <w:rsid w:val="768A7619"/>
    <w:rsid w:val="76BA7A61"/>
    <w:rsid w:val="772D77AB"/>
    <w:rsid w:val="772E1EBA"/>
    <w:rsid w:val="77974C0A"/>
    <w:rsid w:val="77C2468B"/>
    <w:rsid w:val="7813790D"/>
    <w:rsid w:val="781926BC"/>
    <w:rsid w:val="78AF7AED"/>
    <w:rsid w:val="794B2E8D"/>
    <w:rsid w:val="796D60A4"/>
    <w:rsid w:val="79A031D5"/>
    <w:rsid w:val="7A1525F7"/>
    <w:rsid w:val="7A2B6E4E"/>
    <w:rsid w:val="7AB21783"/>
    <w:rsid w:val="7AD0650C"/>
    <w:rsid w:val="7B254951"/>
    <w:rsid w:val="7B420052"/>
    <w:rsid w:val="7B484ED1"/>
    <w:rsid w:val="7BD06A28"/>
    <w:rsid w:val="7C3A7C0B"/>
    <w:rsid w:val="7C5248E4"/>
    <w:rsid w:val="7C566698"/>
    <w:rsid w:val="7C5866A3"/>
    <w:rsid w:val="7C5C03ED"/>
    <w:rsid w:val="7CD633DE"/>
    <w:rsid w:val="7CE50175"/>
    <w:rsid w:val="7CE65BF7"/>
    <w:rsid w:val="7D2D472C"/>
    <w:rsid w:val="7D40500C"/>
    <w:rsid w:val="7D4F69DE"/>
    <w:rsid w:val="7D7406BB"/>
    <w:rsid w:val="7DE012CB"/>
    <w:rsid w:val="7DE94331"/>
    <w:rsid w:val="7F446A19"/>
    <w:rsid w:val="7F681EFE"/>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p0"/>
    <w:basedOn w:val="1"/>
    <w:qFormat/>
    <w:uiPriority w:val="0"/>
    <w:pPr>
      <w:spacing w:before="0" w:beforeAutospacing="0" w:after="0" w:afterAutospacing="0"/>
      <w:ind w:left="0" w:right="0"/>
      <w:jc w:val="left"/>
    </w:pPr>
    <w:rPr>
      <w:rFonts w:hint="default" w:ascii="Times New Roman" w:hAnsi="Times New Roman" w:eastAsia="宋体" w:cs="Times New Roman"/>
      <w:kern w:val="0"/>
      <w:sz w:val="32"/>
      <w:szCs w:val="32"/>
      <w:lang w:val="en-US" w:eastAsia="zh-CN" w:bidi="ar"/>
    </w:rPr>
  </w:style>
  <w:style w:type="paragraph" w:customStyle="1" w:styleId="17">
    <w:name w:val="普通(网站)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8">
    <w:name w:val="17"/>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37</TotalTime>
  <ScaleCrop>false</ScaleCrop>
  <LinksUpToDate>false</LinksUpToDate>
  <CharactersWithSpaces>26776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.凉染</cp:lastModifiedBy>
  <dcterms:modified xsi:type="dcterms:W3CDTF">2024-09-05T08:14:21Z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BB46EABDBB2749749395447164B066B3_12</vt:lpwstr>
  </property>
</Properties>
</file>