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B11" w:rsidRPr="00504A0D" w:rsidRDefault="00CB7FD1" w:rsidP="00D94262">
      <w:pPr>
        <w:widowControl/>
        <w:shd w:val="clear" w:color="auto" w:fill="FFFFFF"/>
        <w:spacing w:beforeLines="100" w:afterLines="100"/>
        <w:jc w:val="center"/>
        <w:rPr>
          <w:rFonts w:ascii="方正小标宋简体" w:eastAsia="方正小标宋简体"/>
          <w:bCs/>
          <w:color w:val="000000" w:themeColor="text1"/>
          <w:kern w:val="0"/>
          <w:sz w:val="36"/>
          <w:szCs w:val="36"/>
        </w:rPr>
      </w:pPr>
      <w:r w:rsidRPr="00504A0D">
        <w:rPr>
          <w:rFonts w:ascii="方正小标宋简体" w:eastAsia="方正小标宋简体" w:hint="eastAsia"/>
          <w:bCs/>
          <w:color w:val="000000" w:themeColor="text1"/>
          <w:kern w:val="0"/>
          <w:sz w:val="36"/>
          <w:szCs w:val="36"/>
        </w:rPr>
        <w:t>2021年重庆市荣昌区国民经济和社会发展统计公报</w:t>
      </w:r>
    </w:p>
    <w:p w:rsidR="002A5B11" w:rsidRPr="00504A0D" w:rsidRDefault="00CB7FD1">
      <w:pPr>
        <w:spacing w:line="480" w:lineRule="auto"/>
        <w:jc w:val="center"/>
        <w:rPr>
          <w:rFonts w:ascii="方正楷体简体" w:eastAsia="方正楷体简体" w:hAnsi="宋体"/>
          <w:color w:val="000000" w:themeColor="text1"/>
          <w:sz w:val="28"/>
          <w:szCs w:val="28"/>
        </w:rPr>
      </w:pPr>
      <w:r w:rsidRPr="00504A0D">
        <w:rPr>
          <w:rFonts w:ascii="方正楷体简体" w:eastAsia="方正楷体简体" w:hAnsi="宋体" w:hint="eastAsia"/>
          <w:color w:val="000000" w:themeColor="text1"/>
          <w:sz w:val="28"/>
          <w:szCs w:val="28"/>
        </w:rPr>
        <w:t>重庆市荣昌区统计局</w:t>
      </w:r>
    </w:p>
    <w:p w:rsidR="002A5B11" w:rsidRPr="00504A0D" w:rsidRDefault="00CB7FD1" w:rsidP="00D94262">
      <w:pPr>
        <w:spacing w:afterLines="100" w:line="480" w:lineRule="auto"/>
        <w:jc w:val="center"/>
        <w:rPr>
          <w:rFonts w:ascii="方正楷体简体" w:eastAsia="方正楷体简体" w:hAnsi="宋体"/>
          <w:color w:val="000000" w:themeColor="text1"/>
          <w:sz w:val="28"/>
          <w:szCs w:val="28"/>
        </w:rPr>
      </w:pPr>
      <w:r w:rsidRPr="00504A0D">
        <w:rPr>
          <w:rFonts w:ascii="方正楷体简体" w:eastAsia="方正楷体简体" w:hAnsi="宋体" w:hint="eastAsia"/>
          <w:color w:val="000000" w:themeColor="text1"/>
          <w:sz w:val="28"/>
          <w:szCs w:val="28"/>
        </w:rPr>
        <w:t>2022年3月14日</w:t>
      </w:r>
    </w:p>
    <w:p w:rsidR="002A5B11" w:rsidRPr="00504A0D" w:rsidRDefault="00CB7FD1">
      <w:pPr>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2021年，面对错综复杂的外部环境和经济恢复发展中的多重矛盾问题，荣昌区委、区政府坚持以习近平新时代中国特色社会主义思想为指导，坚决落实市委、市政府和区委决策部署，统筹疫情防控和经济社会发展，坚持稳中求进工作总基调，做好“六稳”“六保”工作，把握新发展阶段，贯彻新发展理念，融入新发展格局，全区经济稳步恢复、稳中向好，增长动能不断积聚，民生福祉持续增进，高质量发展取得积极成效，实现了“十四五”良好开局。</w:t>
      </w:r>
    </w:p>
    <w:p w:rsidR="002A5B11" w:rsidRPr="00504A0D" w:rsidRDefault="00CB7FD1">
      <w:pPr>
        <w:pStyle w:val="a7"/>
        <w:tabs>
          <w:tab w:val="left" w:pos="550"/>
        </w:tabs>
        <w:spacing w:before="0" w:beforeAutospacing="0" w:after="0" w:afterAutospacing="0" w:line="460" w:lineRule="exact"/>
        <w:ind w:right="44" w:firstLineChars="200" w:firstLine="422"/>
        <w:jc w:val="both"/>
        <w:rPr>
          <w:b/>
          <w:bCs/>
          <w:color w:val="000000" w:themeColor="text1"/>
          <w:sz w:val="21"/>
          <w:szCs w:val="21"/>
        </w:rPr>
      </w:pPr>
      <w:r w:rsidRPr="00504A0D">
        <w:rPr>
          <w:rFonts w:hint="eastAsia"/>
          <w:b/>
          <w:bCs/>
          <w:color w:val="000000" w:themeColor="text1"/>
          <w:sz w:val="21"/>
          <w:szCs w:val="21"/>
        </w:rPr>
        <w:tab/>
        <w:t>一、综合</w:t>
      </w:r>
    </w:p>
    <w:p w:rsidR="002A5B11" w:rsidRPr="00504A0D" w:rsidRDefault="00CB7FD1">
      <w:pPr>
        <w:pStyle w:val="a7"/>
        <w:spacing w:before="0" w:beforeAutospacing="0" w:after="0" w:afterAutospacing="0" w:line="460" w:lineRule="exact"/>
        <w:ind w:right="44" w:firstLineChars="200" w:firstLine="420"/>
        <w:jc w:val="both"/>
        <w:rPr>
          <w:color w:val="000000" w:themeColor="text1"/>
          <w:sz w:val="21"/>
          <w:szCs w:val="21"/>
        </w:rPr>
      </w:pPr>
      <w:r w:rsidRPr="00504A0D">
        <w:rPr>
          <w:rFonts w:hint="eastAsia"/>
          <w:color w:val="000000" w:themeColor="text1"/>
          <w:sz w:val="21"/>
          <w:szCs w:val="21"/>
        </w:rPr>
        <w:t>全年实现地区生产总值8134660万元，比上年增长9.4%。按产业分，第一产业增加值662812万元，增长8.8 %；第二产业增加值4498274万元，增长9.8%；第三产业增加值2973574万元，增长9.0%。第一产业增加值占地区生产总值的比重为8.1%，比上年下降0.9个百分点；第二产业增加值比重为55.3%，比上年增长0.4个百分点；第三产业增加值比重为36.6%，比上年增长0.5个百分点。</w:t>
      </w:r>
    </w:p>
    <w:p w:rsidR="002A5B11" w:rsidRPr="00504A0D" w:rsidRDefault="00CB7FD1">
      <w:pPr>
        <w:pStyle w:val="a7"/>
        <w:spacing w:before="0" w:beforeAutospacing="0" w:after="0" w:afterAutospacing="0" w:line="460" w:lineRule="exact"/>
        <w:ind w:right="44" w:firstLineChars="200" w:firstLine="420"/>
        <w:jc w:val="both"/>
        <w:rPr>
          <w:color w:val="000000" w:themeColor="text1"/>
          <w:sz w:val="21"/>
          <w:szCs w:val="21"/>
        </w:rPr>
      </w:pPr>
      <w:r w:rsidRPr="00504A0D">
        <w:rPr>
          <w:rFonts w:hint="eastAsia"/>
          <w:color w:val="000000" w:themeColor="text1"/>
          <w:sz w:val="21"/>
          <w:szCs w:val="21"/>
        </w:rPr>
        <w:t>按常住人口计算，2021年全区人均生产总值达到121485元，比上年增长9.3%。</w:t>
      </w:r>
    </w:p>
    <w:p w:rsidR="002A5B11" w:rsidRPr="00504A0D" w:rsidRDefault="00CB7FD1">
      <w:pPr>
        <w:pStyle w:val="a7"/>
        <w:spacing w:before="0" w:beforeAutospacing="0" w:after="0" w:afterAutospacing="0" w:line="460" w:lineRule="exact"/>
        <w:ind w:right="44" w:firstLineChars="200" w:firstLine="420"/>
        <w:jc w:val="both"/>
        <w:rPr>
          <w:color w:val="000000" w:themeColor="text1"/>
          <w:sz w:val="21"/>
          <w:szCs w:val="21"/>
        </w:rPr>
      </w:pPr>
      <w:r w:rsidRPr="00504A0D">
        <w:rPr>
          <w:rFonts w:hint="eastAsia"/>
          <w:color w:val="000000" w:themeColor="text1"/>
          <w:sz w:val="21"/>
          <w:szCs w:val="21"/>
        </w:rPr>
        <w:t>年末全区常住人口67.00万人，比上年增加0.08万人。其中城镇人口40.76万人，增加0.69万人，城镇化率60.84%，比上年提高0.96个百分点。</w:t>
      </w:r>
    </w:p>
    <w:p w:rsidR="002A5B11" w:rsidRPr="00504A0D" w:rsidRDefault="00CB7FD1">
      <w:pPr>
        <w:pStyle w:val="a7"/>
        <w:spacing w:before="0" w:beforeAutospacing="0" w:after="0" w:afterAutospacing="0" w:line="460" w:lineRule="exact"/>
        <w:ind w:right="44" w:firstLineChars="200" w:firstLine="420"/>
        <w:jc w:val="both"/>
        <w:rPr>
          <w:color w:val="000000" w:themeColor="text1"/>
          <w:sz w:val="21"/>
          <w:szCs w:val="21"/>
        </w:rPr>
      </w:pPr>
      <w:r w:rsidRPr="00504A0D">
        <w:rPr>
          <w:rFonts w:hint="eastAsia"/>
          <w:color w:val="000000" w:themeColor="text1"/>
          <w:sz w:val="21"/>
          <w:szCs w:val="21"/>
        </w:rPr>
        <w:t>年末全区户籍人口843484人，比上年减少3584人。其中城镇人口426758人，乡村人口416726人。分性别看，男性人口428157人，女性人口415327人，人口性别比（以女性为1，男性对女性的比例）为1.03。户籍户数313570户。全年出生人口5048人，出生人口性别比为1.04，出生率为6.0‰；死亡人口6558人，死亡率为7.8‰；自然增长率为-1.8‰。</w:t>
      </w: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lastRenderedPageBreak/>
        <w:t>表1　2021年人口数及其构成</w:t>
      </w:r>
    </w:p>
    <w:tbl>
      <w:tblPr>
        <w:tblW w:w="7692" w:type="dxa"/>
        <w:jc w:val="center"/>
        <w:tblInd w:w="646" w:type="dxa"/>
        <w:tblLayout w:type="fixed"/>
        <w:tblLook w:val="04A0"/>
      </w:tblPr>
      <w:tblGrid>
        <w:gridCol w:w="4053"/>
        <w:gridCol w:w="1730"/>
        <w:gridCol w:w="1909"/>
      </w:tblGrid>
      <w:tr w:rsidR="002A5B11" w:rsidRPr="00504A0D">
        <w:trPr>
          <w:trHeight w:hRule="exact" w:val="680"/>
          <w:jc w:val="center"/>
        </w:trPr>
        <w:tc>
          <w:tcPr>
            <w:tcW w:w="4053" w:type="dxa"/>
            <w:tcBorders>
              <w:top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指标名称</w:t>
            </w:r>
          </w:p>
        </w:tc>
        <w:tc>
          <w:tcPr>
            <w:tcW w:w="1730" w:type="dxa"/>
            <w:tcBorders>
              <w:top w:val="single" w:sz="4" w:space="0" w:color="auto"/>
              <w:left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年末数</w:t>
            </w:r>
          </w:p>
        </w:tc>
        <w:tc>
          <w:tcPr>
            <w:tcW w:w="1909" w:type="dxa"/>
            <w:tcBorders>
              <w:top w:val="single" w:sz="4" w:space="0" w:color="auto"/>
              <w:left w:val="single" w:sz="4" w:space="0" w:color="auto"/>
              <w:bottom w:val="single" w:sz="4" w:space="0" w:color="auto"/>
            </w:tcBorders>
            <w:vAlign w:val="center"/>
          </w:tcPr>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比重（％）</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常住人口（万人）</w:t>
            </w:r>
          </w:p>
        </w:tc>
        <w:tc>
          <w:tcPr>
            <w:tcW w:w="1730" w:type="dxa"/>
            <w:tcBorders>
              <w:left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67.00</w:t>
            </w:r>
          </w:p>
        </w:tc>
        <w:tc>
          <w:tcPr>
            <w:tcW w:w="1909" w:type="dxa"/>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100</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widowControl/>
              <w:shd w:val="clear" w:color="auto" w:fill="FFFFFF"/>
              <w:spacing w:line="460" w:lineRule="exact"/>
              <w:ind w:firstLineChars="300" w:firstLine="630"/>
              <w:rPr>
                <w:rFonts w:ascii="宋体" w:hAnsi="宋体" w:cs="宋体"/>
                <w:color w:val="000000" w:themeColor="text1"/>
                <w:kern w:val="0"/>
                <w:szCs w:val="21"/>
              </w:rPr>
            </w:pPr>
            <w:r w:rsidRPr="00504A0D">
              <w:rPr>
                <w:rFonts w:ascii="宋体" w:hAnsi="宋体" w:cs="宋体" w:hint="eastAsia"/>
                <w:color w:val="000000" w:themeColor="text1"/>
                <w:kern w:val="0"/>
                <w:szCs w:val="21"/>
              </w:rPr>
              <w:t>其中：城镇人口（万人）</w:t>
            </w:r>
          </w:p>
        </w:tc>
        <w:tc>
          <w:tcPr>
            <w:tcW w:w="1730" w:type="dxa"/>
            <w:tcBorders>
              <w:left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40.76</w:t>
            </w:r>
          </w:p>
        </w:tc>
        <w:tc>
          <w:tcPr>
            <w:tcW w:w="1909" w:type="dxa"/>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60.84</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widowControl/>
              <w:shd w:val="clear" w:color="auto" w:fill="FFFFFF"/>
              <w:spacing w:line="460" w:lineRule="exact"/>
              <w:ind w:firstLineChars="200" w:firstLine="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农村人口（万人）</w:t>
            </w:r>
          </w:p>
        </w:tc>
        <w:tc>
          <w:tcPr>
            <w:tcW w:w="1730"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26.24</w:t>
            </w:r>
          </w:p>
        </w:tc>
        <w:tc>
          <w:tcPr>
            <w:tcW w:w="1909"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39.16</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户籍总人口（人）</w:t>
            </w:r>
          </w:p>
        </w:tc>
        <w:tc>
          <w:tcPr>
            <w:tcW w:w="1730"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843484</w:t>
            </w:r>
          </w:p>
        </w:tc>
        <w:tc>
          <w:tcPr>
            <w:tcW w:w="1909"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100</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widowControl/>
              <w:spacing w:line="460" w:lineRule="exac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其中：城镇人口（人）</w:t>
            </w:r>
          </w:p>
        </w:tc>
        <w:tc>
          <w:tcPr>
            <w:tcW w:w="1730"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426758</w:t>
            </w:r>
          </w:p>
        </w:tc>
        <w:tc>
          <w:tcPr>
            <w:tcW w:w="1909"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50.6</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乡村人口（人）</w:t>
            </w:r>
          </w:p>
        </w:tc>
        <w:tc>
          <w:tcPr>
            <w:tcW w:w="1730"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416726</w:t>
            </w:r>
          </w:p>
        </w:tc>
        <w:tc>
          <w:tcPr>
            <w:tcW w:w="1909" w:type="dxa"/>
            <w:tcBorders>
              <w:top w:val="nil"/>
              <w:left w:val="nil"/>
              <w:bottom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49.4</w:t>
            </w:r>
          </w:p>
        </w:tc>
      </w:tr>
      <w:tr w:rsidR="002A5B11" w:rsidRPr="00504A0D">
        <w:trPr>
          <w:trHeight w:hRule="exact" w:val="624"/>
          <w:jc w:val="center"/>
        </w:trPr>
        <w:tc>
          <w:tcPr>
            <w:tcW w:w="4053" w:type="dxa"/>
            <w:tcBorders>
              <w:right w:val="single" w:sz="4" w:space="0" w:color="auto"/>
            </w:tcBorders>
            <w:vAlign w:val="center"/>
          </w:tcPr>
          <w:p w:rsidR="002A5B11" w:rsidRPr="00504A0D" w:rsidRDefault="00CB7FD1">
            <w:pPr>
              <w:spacing w:line="460" w:lineRule="exact"/>
              <w:ind w:firstLineChars="300" w:firstLine="630"/>
              <w:rPr>
                <w:rFonts w:ascii="宋体" w:hAnsi="宋体" w:cs="宋体"/>
                <w:color w:val="000000" w:themeColor="text1"/>
                <w:kern w:val="0"/>
                <w:szCs w:val="21"/>
              </w:rPr>
            </w:pPr>
            <w:r w:rsidRPr="00504A0D">
              <w:rPr>
                <w:rFonts w:ascii="宋体" w:hAnsi="宋体" w:cs="宋体" w:hint="eastAsia"/>
                <w:color w:val="000000" w:themeColor="text1"/>
                <w:kern w:val="0"/>
                <w:szCs w:val="21"/>
              </w:rPr>
              <w:t>其中：男性（人）</w:t>
            </w:r>
          </w:p>
        </w:tc>
        <w:tc>
          <w:tcPr>
            <w:tcW w:w="1730" w:type="dxa"/>
            <w:tcBorders>
              <w:top w:val="nil"/>
              <w:left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428157</w:t>
            </w:r>
          </w:p>
        </w:tc>
        <w:tc>
          <w:tcPr>
            <w:tcW w:w="1909" w:type="dxa"/>
            <w:tcBorders>
              <w:top w:val="nil"/>
              <w:left w:val="nil"/>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50.8</w:t>
            </w:r>
          </w:p>
        </w:tc>
      </w:tr>
      <w:tr w:rsidR="002A5B11" w:rsidRPr="00504A0D">
        <w:trPr>
          <w:trHeight w:hRule="exact" w:val="624"/>
          <w:jc w:val="center"/>
        </w:trPr>
        <w:tc>
          <w:tcPr>
            <w:tcW w:w="4053" w:type="dxa"/>
            <w:tcBorders>
              <w:bottom w:val="single" w:sz="4" w:space="0" w:color="auto"/>
              <w:right w:val="single" w:sz="4" w:space="0" w:color="auto"/>
            </w:tcBorders>
            <w:vAlign w:val="center"/>
          </w:tcPr>
          <w:p w:rsidR="002A5B11" w:rsidRPr="00504A0D" w:rsidRDefault="00CB7FD1">
            <w:pPr>
              <w:spacing w:line="460" w:lineRule="exact"/>
              <w:ind w:firstLineChars="600" w:firstLine="1260"/>
              <w:rPr>
                <w:rFonts w:ascii="宋体" w:hAnsi="宋体" w:cs="宋体"/>
                <w:color w:val="000000" w:themeColor="text1"/>
                <w:kern w:val="0"/>
                <w:szCs w:val="21"/>
              </w:rPr>
            </w:pPr>
            <w:r w:rsidRPr="00504A0D">
              <w:rPr>
                <w:rFonts w:ascii="宋体" w:hAnsi="宋体" w:cs="宋体" w:hint="eastAsia"/>
                <w:color w:val="000000" w:themeColor="text1"/>
                <w:kern w:val="0"/>
                <w:szCs w:val="21"/>
              </w:rPr>
              <w:t>女性（人）</w:t>
            </w:r>
          </w:p>
        </w:tc>
        <w:tc>
          <w:tcPr>
            <w:tcW w:w="1730" w:type="dxa"/>
            <w:tcBorders>
              <w:top w:val="nil"/>
              <w:left w:val="nil"/>
              <w:bottom w:val="single" w:sz="4" w:space="0" w:color="auto"/>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415327</w:t>
            </w:r>
          </w:p>
        </w:tc>
        <w:tc>
          <w:tcPr>
            <w:tcW w:w="1909" w:type="dxa"/>
            <w:tcBorders>
              <w:top w:val="nil"/>
              <w:left w:val="nil"/>
              <w:bottom w:val="single" w:sz="4" w:space="0" w:color="auto"/>
              <w:right w:val="nil"/>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49.2</w:t>
            </w:r>
          </w:p>
        </w:tc>
      </w:tr>
    </w:tbl>
    <w:p w:rsidR="002A5B11" w:rsidRPr="00504A0D" w:rsidRDefault="002A5B11">
      <w:pPr>
        <w:pStyle w:val="a7"/>
        <w:spacing w:before="0" w:beforeAutospacing="0" w:after="0" w:afterAutospacing="0" w:line="460" w:lineRule="exact"/>
        <w:ind w:right="45"/>
        <w:rPr>
          <w:color w:val="000000" w:themeColor="text1"/>
          <w:sz w:val="21"/>
          <w:szCs w:val="21"/>
        </w:rPr>
      </w:pPr>
    </w:p>
    <w:p w:rsidR="002A5B11" w:rsidRPr="00504A0D" w:rsidRDefault="00CB7FD1">
      <w:pPr>
        <w:pStyle w:val="a7"/>
        <w:spacing w:before="0" w:beforeAutospacing="0" w:after="0" w:afterAutospacing="0" w:line="460" w:lineRule="exact"/>
        <w:ind w:right="45"/>
        <w:rPr>
          <w:color w:val="000000" w:themeColor="text1"/>
          <w:sz w:val="21"/>
          <w:szCs w:val="21"/>
        </w:rPr>
      </w:pPr>
      <w:r w:rsidRPr="00504A0D">
        <w:rPr>
          <w:rFonts w:hint="eastAsia"/>
          <w:noProof/>
          <w:color w:val="000000" w:themeColor="text1"/>
          <w:sz w:val="21"/>
          <w:szCs w:val="21"/>
        </w:rPr>
        <w:drawing>
          <wp:anchor distT="0" distB="0" distL="114300" distR="114300" simplePos="0" relativeHeight="251658240" behindDoc="0" locked="0" layoutInCell="1" allowOverlap="1">
            <wp:simplePos x="0" y="0"/>
            <wp:positionH relativeFrom="column">
              <wp:posOffset>300355</wp:posOffset>
            </wp:positionH>
            <wp:positionV relativeFrom="paragraph">
              <wp:posOffset>153670</wp:posOffset>
            </wp:positionV>
            <wp:extent cx="5276850" cy="3237865"/>
            <wp:effectExtent l="4445" t="4445" r="14605" b="15240"/>
            <wp:wrapTopAndBottom/>
            <wp:docPr id="10"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2A5B11" w:rsidRPr="00504A0D" w:rsidRDefault="00CB7FD1">
      <w:pPr>
        <w:pStyle w:val="a7"/>
        <w:spacing w:before="0" w:beforeAutospacing="0" w:after="0" w:afterAutospacing="0" w:line="460" w:lineRule="exact"/>
        <w:ind w:right="45"/>
        <w:rPr>
          <w:color w:val="000000" w:themeColor="text1"/>
          <w:sz w:val="21"/>
          <w:szCs w:val="21"/>
        </w:rPr>
      </w:pPr>
      <w:r w:rsidRPr="00504A0D">
        <w:rPr>
          <w:rFonts w:hint="eastAsia"/>
          <w:noProof/>
          <w:color w:val="000000" w:themeColor="text1"/>
          <w:sz w:val="21"/>
          <w:szCs w:val="21"/>
        </w:rPr>
        <w:lastRenderedPageBreak/>
        <w:drawing>
          <wp:anchor distT="0" distB="0" distL="114300" distR="114300" simplePos="0" relativeHeight="251659264" behindDoc="0" locked="0" layoutInCell="1" allowOverlap="1">
            <wp:simplePos x="0" y="0"/>
            <wp:positionH relativeFrom="column">
              <wp:posOffset>91440</wp:posOffset>
            </wp:positionH>
            <wp:positionV relativeFrom="paragraph">
              <wp:posOffset>86360</wp:posOffset>
            </wp:positionV>
            <wp:extent cx="5286375" cy="3075940"/>
            <wp:effectExtent l="4445" t="4445" r="5080" b="5715"/>
            <wp:wrapTopAndBottom/>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2021年城镇新增就业人员13704人,比上年下降12.5%。新增转移农村劳动力1278人，比上年增长5.2%。年末城镇登记失业人数5251人，城镇登记失业率3.40％。</w:t>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截止2021年末，全区共有各类市场主体69549户，比上年增长3.0%。其中内资企业15526户，外资企业55户，个体工商户53282户，农民专业合作社686户。</w:t>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全年一般公共预算收入318948万元，比上年增长5.6%。其中税收收入146207万元，下降17.7%；非税收收入172741万元，增长38.7%。一般公共预算支出795854万元，下降16.0%。其中，一般公共服务支出74613万元，下降14.7%；教育支出199263万元，增长0.3%；科学技术支出14262万元，增长1.3%；社会保障和就业支出94398万元，下降19.0%；卫生健康支出87591万元，下降20.4%；城乡社区支出49330万元，下降31.5%；农林水支出103292万元，增长0.8%；交通运输支出40473万元，下降21.3%。</w:t>
      </w:r>
    </w:p>
    <w:p w:rsidR="002A5B11" w:rsidRPr="00504A0D" w:rsidRDefault="00CB7FD1">
      <w:pPr>
        <w:widowControl/>
        <w:shd w:val="clear" w:color="auto" w:fill="FFFFFF"/>
        <w:spacing w:line="460" w:lineRule="exact"/>
        <w:ind w:firstLineChars="200" w:firstLine="422"/>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二、农业</w:t>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全年完成农林牧渔业总产值1007870万元，比上年增长3.4%。全年粮食播种面积664905亩，粮食产量289910吨，增长0.3%。蔬菜播种面积298938亩，蔬菜产量613344吨，与上年持平。肉类总产量64324吨，增长32.2%。</w:t>
      </w: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2A5B11">
      <w:pPr>
        <w:widowControl/>
        <w:shd w:val="clear" w:color="auto" w:fill="FFFFFF"/>
        <w:spacing w:line="460" w:lineRule="exact"/>
        <w:ind w:firstLineChars="200" w:firstLine="420"/>
        <w:jc w:val="center"/>
        <w:rPr>
          <w:rFonts w:ascii="宋体" w:hAnsi="宋体" w:cs="宋体"/>
          <w:color w:val="000000" w:themeColor="text1"/>
          <w:kern w:val="0"/>
          <w:szCs w:val="21"/>
        </w:rPr>
      </w:pPr>
    </w:p>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lastRenderedPageBreak/>
        <w:t>表2　2021年主要农产品产量及其增长速度</w:t>
      </w:r>
    </w:p>
    <w:tbl>
      <w:tblPr>
        <w:tblW w:w="8403" w:type="dxa"/>
        <w:jc w:val="center"/>
        <w:tblLayout w:type="fixed"/>
        <w:tblCellMar>
          <w:top w:w="15" w:type="dxa"/>
          <w:left w:w="15" w:type="dxa"/>
          <w:bottom w:w="15" w:type="dxa"/>
          <w:right w:w="15" w:type="dxa"/>
        </w:tblCellMar>
        <w:tblLook w:val="04A0"/>
      </w:tblPr>
      <w:tblGrid>
        <w:gridCol w:w="3313"/>
        <w:gridCol w:w="1867"/>
        <w:gridCol w:w="1712"/>
        <w:gridCol w:w="1511"/>
      </w:tblGrid>
      <w:tr w:rsidR="002A5B11" w:rsidRPr="00504A0D">
        <w:trPr>
          <w:trHeight w:hRule="exact" w:val="525"/>
          <w:jc w:val="center"/>
        </w:trPr>
        <w:tc>
          <w:tcPr>
            <w:tcW w:w="3313" w:type="dxa"/>
            <w:tcBorders>
              <w:top w:val="single" w:sz="4" w:space="0" w:color="000000"/>
              <w:bottom w:val="single" w:sz="4" w:space="0" w:color="000000"/>
              <w:right w:val="single" w:sz="4" w:space="0" w:color="000000"/>
            </w:tcBorders>
            <w:vAlign w:val="center"/>
          </w:tcPr>
          <w:p w:rsidR="002A5B11" w:rsidRPr="00504A0D" w:rsidRDefault="00CB7FD1">
            <w:pPr>
              <w:pStyle w:val="a7"/>
              <w:tabs>
                <w:tab w:val="left" w:pos="580"/>
              </w:tabs>
              <w:spacing w:before="0" w:beforeAutospacing="0" w:after="0" w:afterAutospacing="0" w:line="460" w:lineRule="exact"/>
              <w:ind w:left="45" w:right="45" w:firstLineChars="200" w:firstLine="420"/>
              <w:rPr>
                <w:color w:val="000000" w:themeColor="text1"/>
                <w:sz w:val="21"/>
                <w:szCs w:val="21"/>
              </w:rPr>
            </w:pPr>
            <w:r w:rsidRPr="00504A0D">
              <w:rPr>
                <w:rFonts w:hint="eastAsia"/>
                <w:color w:val="000000" w:themeColor="text1"/>
                <w:sz w:val="21"/>
                <w:szCs w:val="21"/>
              </w:rPr>
              <w:tab/>
              <w:t>产品名称</w:t>
            </w:r>
          </w:p>
        </w:tc>
        <w:tc>
          <w:tcPr>
            <w:tcW w:w="1867" w:type="dxa"/>
            <w:tcBorders>
              <w:top w:val="single" w:sz="4" w:space="0" w:color="000000"/>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单位</w:t>
            </w:r>
          </w:p>
        </w:tc>
        <w:tc>
          <w:tcPr>
            <w:tcW w:w="1712" w:type="dxa"/>
            <w:tcBorders>
              <w:top w:val="single" w:sz="4" w:space="0" w:color="000000"/>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2021年</w:t>
            </w:r>
          </w:p>
        </w:tc>
        <w:tc>
          <w:tcPr>
            <w:tcW w:w="1511" w:type="dxa"/>
            <w:tcBorders>
              <w:top w:val="single" w:sz="4" w:space="0" w:color="000000"/>
              <w:bottom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粮食播种面积</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亩</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664905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0.1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粮食产量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289910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0.3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＃小麦</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21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16.7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稻谷</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175241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0.0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玉米</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39290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2.8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高粱</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5443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-8.3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油料产量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25978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3.5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蔬菜面积</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亩</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298938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0.1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蔬菜产量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613344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0.0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肉类产量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64324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32.2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＃猪肉</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49867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47.1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＃禽肉</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11663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-3.5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生猪出栏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万头</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64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43.5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羊出栏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万头</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-0.7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家禽出栏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万只</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758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-4.0 </w:t>
            </w:r>
          </w:p>
        </w:tc>
      </w:tr>
      <w:tr w:rsidR="002A5B11" w:rsidRPr="00504A0D">
        <w:trPr>
          <w:trHeight w:hRule="exact" w:val="525"/>
          <w:jc w:val="center"/>
        </w:trPr>
        <w:tc>
          <w:tcPr>
            <w:tcW w:w="3313" w:type="dxa"/>
            <w:tcBorders>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禽蛋产量</w:t>
            </w:r>
          </w:p>
        </w:tc>
        <w:tc>
          <w:tcPr>
            <w:tcW w:w="1867" w:type="dxa"/>
            <w:tcBorders>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12456 </w:t>
            </w:r>
          </w:p>
        </w:tc>
        <w:tc>
          <w:tcPr>
            <w:tcW w:w="1511" w:type="dxa"/>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3.2 </w:t>
            </w:r>
          </w:p>
        </w:tc>
      </w:tr>
      <w:tr w:rsidR="002A5B11" w:rsidRPr="00504A0D">
        <w:trPr>
          <w:trHeight w:hRule="exact" w:val="525"/>
          <w:jc w:val="center"/>
        </w:trPr>
        <w:tc>
          <w:tcPr>
            <w:tcW w:w="3313" w:type="dxa"/>
            <w:tcBorders>
              <w:bottom w:val="single" w:sz="4" w:space="0" w:color="000000"/>
              <w:right w:val="single" w:sz="4" w:space="0" w:color="000000"/>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牛奶产量</w:t>
            </w:r>
          </w:p>
        </w:tc>
        <w:tc>
          <w:tcPr>
            <w:tcW w:w="1867" w:type="dxa"/>
            <w:tcBorders>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712" w:type="dxa"/>
            <w:tcBorders>
              <w:bottom w:val="single" w:sz="4" w:space="0" w:color="000000"/>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2233 </w:t>
            </w:r>
          </w:p>
        </w:tc>
        <w:tc>
          <w:tcPr>
            <w:tcW w:w="1511" w:type="dxa"/>
            <w:tcBorders>
              <w:bottom w:val="single" w:sz="4" w:space="0" w:color="000000"/>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-34.4 </w:t>
            </w:r>
          </w:p>
        </w:tc>
      </w:tr>
    </w:tbl>
    <w:p w:rsidR="002A5B11" w:rsidRPr="00504A0D" w:rsidRDefault="00CB7FD1">
      <w:pPr>
        <w:pStyle w:val="a7"/>
        <w:tabs>
          <w:tab w:val="left" w:pos="580"/>
        </w:tabs>
        <w:spacing w:before="0" w:beforeAutospacing="0" w:after="0" w:afterAutospacing="0" w:line="460" w:lineRule="exact"/>
        <w:ind w:left="45" w:right="45" w:firstLineChars="200" w:firstLine="422"/>
        <w:rPr>
          <w:b/>
          <w:bCs/>
          <w:color w:val="000000" w:themeColor="text1"/>
          <w:sz w:val="21"/>
          <w:szCs w:val="21"/>
        </w:rPr>
      </w:pPr>
      <w:r w:rsidRPr="00504A0D">
        <w:rPr>
          <w:rFonts w:hint="eastAsia"/>
          <w:b/>
          <w:bCs/>
          <w:color w:val="000000" w:themeColor="text1"/>
          <w:sz w:val="21"/>
          <w:szCs w:val="21"/>
        </w:rPr>
        <w:t>三、工业和建筑业</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全年实现工业增加值3382329万元，比上年增长10.3%；规模以上工业增加值增长12.6%；规模以上工业企业实现总产值10396249万元，同比增19.7%。</w:t>
      </w:r>
    </w:p>
    <w:p w:rsidR="002A5B11" w:rsidRPr="00504A0D" w:rsidRDefault="00CB7FD1">
      <w:pPr>
        <w:pStyle w:val="a7"/>
        <w:spacing w:before="0" w:beforeAutospacing="0" w:after="0" w:afterAutospacing="0" w:line="460" w:lineRule="exact"/>
        <w:ind w:right="45"/>
        <w:jc w:val="center"/>
        <w:rPr>
          <w:color w:val="000000" w:themeColor="text1"/>
          <w:sz w:val="21"/>
          <w:szCs w:val="21"/>
        </w:rPr>
      </w:pPr>
      <w:r w:rsidRPr="00504A0D">
        <w:rPr>
          <w:rFonts w:hint="eastAsia"/>
          <w:noProof/>
          <w:color w:val="000000" w:themeColor="text1"/>
          <w:sz w:val="21"/>
          <w:szCs w:val="21"/>
        </w:rPr>
        <w:lastRenderedPageBreak/>
        <w:drawing>
          <wp:anchor distT="0" distB="0" distL="114300" distR="114300" simplePos="0" relativeHeight="251660288" behindDoc="0" locked="0" layoutInCell="1" allowOverlap="1">
            <wp:simplePos x="0" y="0"/>
            <wp:positionH relativeFrom="column">
              <wp:posOffset>224790</wp:posOffset>
            </wp:positionH>
            <wp:positionV relativeFrom="paragraph">
              <wp:posOffset>60960</wp:posOffset>
            </wp:positionV>
            <wp:extent cx="5199380" cy="3095625"/>
            <wp:effectExtent l="4445" t="4445" r="15875" b="5080"/>
            <wp:wrapTopAndBottom/>
            <wp:docPr id="1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2A5B11" w:rsidRPr="00504A0D" w:rsidRDefault="00CB7FD1">
      <w:pPr>
        <w:widowControl/>
        <w:shd w:val="clear" w:color="auto" w:fill="FFFFFF"/>
        <w:tabs>
          <w:tab w:val="left" w:pos="1360"/>
        </w:tabs>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表3　2021年规模以上工业企业主要产品产量及其增长速度</w:t>
      </w:r>
    </w:p>
    <w:tbl>
      <w:tblPr>
        <w:tblW w:w="7320" w:type="dxa"/>
        <w:jc w:val="center"/>
        <w:tblLayout w:type="fixed"/>
        <w:tblLook w:val="04A0"/>
      </w:tblPr>
      <w:tblGrid>
        <w:gridCol w:w="2835"/>
        <w:gridCol w:w="1418"/>
        <w:gridCol w:w="1559"/>
        <w:gridCol w:w="1508"/>
      </w:tblGrid>
      <w:tr w:rsidR="002A5B11" w:rsidRPr="00504A0D">
        <w:trPr>
          <w:trHeight w:hRule="exact" w:val="874"/>
          <w:jc w:val="center"/>
        </w:trPr>
        <w:tc>
          <w:tcPr>
            <w:tcW w:w="2835" w:type="dxa"/>
            <w:tcBorders>
              <w:top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单位</w:t>
            </w:r>
          </w:p>
        </w:tc>
        <w:tc>
          <w:tcPr>
            <w:tcW w:w="1559" w:type="dxa"/>
            <w:tcBorders>
              <w:top w:val="single" w:sz="4" w:space="0" w:color="auto"/>
              <w:left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产量</w:t>
            </w:r>
          </w:p>
        </w:tc>
        <w:tc>
          <w:tcPr>
            <w:tcW w:w="1508" w:type="dxa"/>
            <w:tcBorders>
              <w:top w:val="single" w:sz="4" w:space="0" w:color="auto"/>
              <w:left w:val="single" w:sz="4" w:space="0" w:color="auto"/>
              <w:bottom w:val="single" w:sz="4" w:space="0" w:color="auto"/>
            </w:tcBorders>
            <w:vAlign w:val="center"/>
          </w:tcPr>
          <w:p w:rsidR="002A5B11" w:rsidRPr="00504A0D" w:rsidRDefault="00CB7FD1">
            <w:pPr>
              <w:widowControl/>
              <w:shd w:val="clear" w:color="auto" w:fill="FFFFFF"/>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商品混凝土</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立方米</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4103734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12.8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家具</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件</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844554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26.8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饲料</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1672452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24.6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鲜、冷藏肉</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61999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3.3 </w:t>
            </w:r>
          </w:p>
        </w:tc>
      </w:tr>
      <w:tr w:rsidR="002A5B11" w:rsidRPr="00504A0D">
        <w:trPr>
          <w:trHeight w:hRule="exact" w:val="587"/>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精制茶</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88001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-13.3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苎麻布（含苎麻≥55%）</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万米</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3808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-4.7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纸制品</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182031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15.4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不锈钢日用制品</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7329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-18.9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阀门</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189541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20.2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电子元件</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万只</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847947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23.0 </w:t>
            </w:r>
          </w:p>
        </w:tc>
      </w:tr>
      <w:tr w:rsidR="002A5B11" w:rsidRPr="00504A0D">
        <w:trPr>
          <w:trHeight w:hRule="exact" w:val="478"/>
          <w:jc w:val="center"/>
        </w:trPr>
        <w:tc>
          <w:tcPr>
            <w:tcW w:w="2835" w:type="dxa"/>
            <w:tcBorders>
              <w:top w:val="nil"/>
              <w:left w:val="nil"/>
              <w:bottom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印制电路板</w:t>
            </w:r>
          </w:p>
        </w:tc>
        <w:tc>
          <w:tcPr>
            <w:tcW w:w="1418" w:type="dxa"/>
            <w:tcBorders>
              <w:top w:val="nil"/>
              <w:left w:val="single" w:sz="4" w:space="0" w:color="auto"/>
              <w:bottom w:val="nil"/>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平方米</w:t>
            </w:r>
          </w:p>
        </w:tc>
        <w:tc>
          <w:tcPr>
            <w:tcW w:w="1559" w:type="dxa"/>
            <w:tcBorders>
              <w:top w:val="nil"/>
              <w:left w:val="single" w:sz="4" w:space="0" w:color="auto"/>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1251374 </w:t>
            </w:r>
          </w:p>
        </w:tc>
        <w:tc>
          <w:tcPr>
            <w:tcW w:w="1508" w:type="dxa"/>
            <w:tcBorders>
              <w:top w:val="nil"/>
              <w:left w:val="nil"/>
              <w:bottom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88.4 </w:t>
            </w:r>
          </w:p>
        </w:tc>
      </w:tr>
      <w:tr w:rsidR="002A5B11" w:rsidRPr="00504A0D">
        <w:trPr>
          <w:trHeight w:hRule="exact" w:val="478"/>
          <w:jc w:val="center"/>
        </w:trPr>
        <w:tc>
          <w:tcPr>
            <w:tcW w:w="2835" w:type="dxa"/>
            <w:tcBorders>
              <w:top w:val="nil"/>
              <w:left w:val="nil"/>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兽用药品</w:t>
            </w:r>
          </w:p>
        </w:tc>
        <w:tc>
          <w:tcPr>
            <w:tcW w:w="1418" w:type="dxa"/>
            <w:tcBorders>
              <w:top w:val="nil"/>
              <w:left w:val="single" w:sz="4" w:space="0" w:color="auto"/>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24382 </w:t>
            </w:r>
          </w:p>
        </w:tc>
        <w:tc>
          <w:tcPr>
            <w:tcW w:w="1508" w:type="dxa"/>
            <w:tcBorders>
              <w:top w:val="nil"/>
              <w:left w:val="nil"/>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-35.4 </w:t>
            </w:r>
          </w:p>
        </w:tc>
      </w:tr>
      <w:tr w:rsidR="002A5B11" w:rsidRPr="00504A0D">
        <w:trPr>
          <w:trHeight w:hRule="exact" w:val="487"/>
          <w:jc w:val="center"/>
        </w:trPr>
        <w:tc>
          <w:tcPr>
            <w:tcW w:w="2835" w:type="dxa"/>
            <w:tcBorders>
              <w:top w:val="nil"/>
              <w:left w:val="nil"/>
              <w:bottom w:val="single" w:sz="4" w:space="0" w:color="auto"/>
              <w:right w:val="single" w:sz="4" w:space="0" w:color="auto"/>
            </w:tcBorders>
            <w:vAlign w:val="center"/>
          </w:tcPr>
          <w:p w:rsidR="002A5B11" w:rsidRPr="00504A0D" w:rsidRDefault="00CB7FD1">
            <w:pPr>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日用玻璃制品</w:t>
            </w:r>
          </w:p>
        </w:tc>
        <w:tc>
          <w:tcPr>
            <w:tcW w:w="1418" w:type="dxa"/>
            <w:tcBorders>
              <w:top w:val="nil"/>
              <w:left w:val="single" w:sz="4" w:space="0" w:color="auto"/>
              <w:bottom w:val="single" w:sz="4" w:space="0" w:color="auto"/>
              <w:right w:val="single" w:sz="4" w:space="0" w:color="auto"/>
            </w:tcBorders>
            <w:vAlign w:val="center"/>
          </w:tcPr>
          <w:p w:rsidR="002A5B11" w:rsidRPr="00504A0D" w:rsidRDefault="00CB7FD1">
            <w:pPr>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吨</w:t>
            </w:r>
          </w:p>
        </w:tc>
        <w:tc>
          <w:tcPr>
            <w:tcW w:w="1559" w:type="dxa"/>
            <w:tcBorders>
              <w:top w:val="nil"/>
              <w:left w:val="single" w:sz="4" w:space="0" w:color="auto"/>
              <w:bottom w:val="single" w:sz="4" w:space="0" w:color="auto"/>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88515 </w:t>
            </w:r>
          </w:p>
        </w:tc>
        <w:tc>
          <w:tcPr>
            <w:tcW w:w="1508" w:type="dxa"/>
            <w:tcBorders>
              <w:top w:val="nil"/>
              <w:left w:val="nil"/>
              <w:bottom w:val="single" w:sz="4" w:space="0" w:color="auto"/>
              <w:right w:val="nil"/>
            </w:tcBorders>
            <w:vAlign w:val="center"/>
          </w:tcPr>
          <w:p w:rsidR="002A5B11" w:rsidRPr="00504A0D" w:rsidRDefault="00CB7FD1">
            <w:pPr>
              <w:spacing w:line="460" w:lineRule="exact"/>
              <w:jc w:val="right"/>
              <w:rPr>
                <w:rFonts w:ascii="宋体" w:hAnsi="宋体" w:cs="宋体"/>
                <w:color w:val="000000" w:themeColor="text1"/>
                <w:kern w:val="0"/>
                <w:szCs w:val="21"/>
              </w:rPr>
            </w:pPr>
            <w:r w:rsidRPr="00504A0D">
              <w:rPr>
                <w:rFonts w:ascii="宋体" w:hAnsi="宋体" w:cs="宋体"/>
                <w:color w:val="000000" w:themeColor="text1"/>
                <w:kern w:val="0"/>
                <w:szCs w:val="21"/>
              </w:rPr>
              <w:t xml:space="preserve">854.9 </w:t>
            </w:r>
          </w:p>
        </w:tc>
      </w:tr>
    </w:tbl>
    <w:p w:rsidR="002A5B11" w:rsidRPr="00504A0D" w:rsidRDefault="002A5B11">
      <w:pPr>
        <w:spacing w:line="460" w:lineRule="exact"/>
        <w:ind w:firstLineChars="200" w:firstLine="420"/>
        <w:rPr>
          <w:rFonts w:ascii="宋体" w:hAnsi="宋体" w:cs="宋体"/>
          <w:color w:val="000000" w:themeColor="text1"/>
          <w:kern w:val="0"/>
          <w:szCs w:val="21"/>
        </w:rPr>
      </w:pPr>
    </w:p>
    <w:p w:rsidR="002A5B11" w:rsidRPr="00504A0D" w:rsidRDefault="00CB7FD1">
      <w:pPr>
        <w:pStyle w:val="Default"/>
        <w:rPr>
          <w:rFonts w:ascii="宋体" w:eastAsia="宋体" w:hAnsi="宋体" w:cs="宋体"/>
          <w:color w:val="000000" w:themeColor="text1"/>
          <w:sz w:val="21"/>
          <w:szCs w:val="21"/>
        </w:rPr>
      </w:pPr>
      <w:r w:rsidRPr="00504A0D">
        <w:rPr>
          <w:rFonts w:ascii="宋体" w:eastAsia="宋体" w:hAnsi="宋体" w:cs="宋体" w:hint="eastAsia"/>
          <w:noProof/>
          <w:color w:val="000000" w:themeColor="text1"/>
          <w:sz w:val="21"/>
          <w:szCs w:val="21"/>
        </w:rPr>
        <w:lastRenderedPageBreak/>
        <w:drawing>
          <wp:anchor distT="0" distB="0" distL="114300" distR="114300" simplePos="0" relativeHeight="251661312" behindDoc="0" locked="0" layoutInCell="1" allowOverlap="1">
            <wp:simplePos x="0" y="0"/>
            <wp:positionH relativeFrom="column">
              <wp:posOffset>292735</wp:posOffset>
            </wp:positionH>
            <wp:positionV relativeFrom="paragraph">
              <wp:posOffset>137160</wp:posOffset>
            </wp:positionV>
            <wp:extent cx="4989830" cy="3114040"/>
            <wp:effectExtent l="4445" t="4445" r="15875" b="5715"/>
            <wp:wrapTopAndBottom/>
            <wp:docPr id="12"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2A5B11" w:rsidRPr="00504A0D" w:rsidRDefault="00CB7FD1">
      <w:pPr>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全区建筑业实现增加值</w:t>
      </w:r>
      <w:r w:rsidRPr="00504A0D">
        <w:rPr>
          <w:rFonts w:ascii="宋体" w:hAnsi="宋体" w:cs="宋体"/>
          <w:color w:val="000000" w:themeColor="text1"/>
          <w:kern w:val="0"/>
          <w:szCs w:val="21"/>
        </w:rPr>
        <w:t>1115945</w:t>
      </w:r>
      <w:r w:rsidRPr="00504A0D">
        <w:rPr>
          <w:rFonts w:ascii="宋体" w:hAnsi="宋体" w:cs="宋体" w:hint="eastAsia"/>
          <w:color w:val="000000" w:themeColor="text1"/>
          <w:kern w:val="0"/>
          <w:szCs w:val="21"/>
        </w:rPr>
        <w:t>万元，比上年增长8.1%。年末在荣昌注册具有资质等级的总承包和专业承包的独立核算建筑业法人企业57家，实现注册地建筑业总产值达到214.80亿元，增长11.9%。全年建筑企业房屋施工面积633.09万平方米，下降15.3%；房屋建筑竣工面积377.57万平方米，下降18.5% 。</w:t>
      </w:r>
    </w:p>
    <w:p w:rsidR="002A5B11" w:rsidRPr="00504A0D" w:rsidRDefault="00CB7FD1">
      <w:pPr>
        <w:spacing w:line="460" w:lineRule="exact"/>
        <w:ind w:firstLineChars="200" w:firstLine="422"/>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四、固定资产投资</w:t>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全年固定资产投资3049759万元，比上年增长11.4％。其中基础设施建设投资382279万元，下降13.8%；工业投资1874643万元，增长20.1%；房地产开发投资571265万元，增长47.7%。从投资主体看，国有投资增长7.1%；民间投资增长14.5%。从三次产业投资看，第一产业投资下降48.6%；第二产业投资增长20.1%；第三产业投资增长4.4%。</w:t>
      </w:r>
    </w:p>
    <w:p w:rsidR="002A5B11" w:rsidRPr="00504A0D" w:rsidRDefault="002A5B11">
      <w:pPr>
        <w:pStyle w:val="Default"/>
        <w:spacing w:line="460" w:lineRule="exact"/>
        <w:rPr>
          <w:rFonts w:ascii="宋体" w:eastAsia="宋体" w:hAnsi="宋体" w:cs="宋体"/>
          <w:color w:val="000000" w:themeColor="text1"/>
          <w:sz w:val="21"/>
          <w:szCs w:val="21"/>
        </w:rPr>
      </w:pPr>
    </w:p>
    <w:p w:rsidR="002A5B11" w:rsidRPr="00504A0D" w:rsidRDefault="002A5B11">
      <w:pPr>
        <w:rPr>
          <w:rFonts w:ascii="宋体" w:hAnsi="宋体" w:cs="宋体"/>
          <w:color w:val="000000" w:themeColor="text1"/>
          <w:kern w:val="0"/>
          <w:szCs w:val="21"/>
        </w:rPr>
      </w:pPr>
    </w:p>
    <w:p w:rsidR="002A5B11" w:rsidRPr="00504A0D" w:rsidRDefault="002A5B11">
      <w:pPr>
        <w:pStyle w:val="Default"/>
        <w:rPr>
          <w:rFonts w:ascii="宋体" w:eastAsia="宋体" w:hAnsi="宋体" w:cs="宋体"/>
          <w:color w:val="000000" w:themeColor="text1"/>
          <w:sz w:val="21"/>
          <w:szCs w:val="21"/>
        </w:rPr>
      </w:pPr>
    </w:p>
    <w:p w:rsidR="002A5B11" w:rsidRPr="00504A0D" w:rsidRDefault="002A5B11">
      <w:pPr>
        <w:rPr>
          <w:rFonts w:ascii="宋体" w:hAnsi="宋体" w:cs="宋体"/>
          <w:color w:val="000000" w:themeColor="text1"/>
          <w:kern w:val="0"/>
          <w:szCs w:val="21"/>
        </w:rPr>
      </w:pPr>
    </w:p>
    <w:p w:rsidR="002A5B11" w:rsidRPr="00504A0D" w:rsidRDefault="002A5B11">
      <w:pPr>
        <w:pStyle w:val="Default"/>
        <w:rPr>
          <w:rFonts w:ascii="宋体" w:eastAsia="宋体" w:hAnsi="宋体" w:cs="宋体"/>
          <w:color w:val="000000" w:themeColor="text1"/>
          <w:sz w:val="21"/>
          <w:szCs w:val="21"/>
        </w:rPr>
      </w:pPr>
    </w:p>
    <w:p w:rsidR="002A5B11" w:rsidRPr="00504A0D" w:rsidRDefault="002A5B11">
      <w:pPr>
        <w:rPr>
          <w:rFonts w:ascii="宋体" w:hAnsi="宋体" w:cs="宋体"/>
          <w:color w:val="000000" w:themeColor="text1"/>
          <w:kern w:val="0"/>
          <w:szCs w:val="21"/>
        </w:rPr>
      </w:pPr>
    </w:p>
    <w:p w:rsidR="002A5B11" w:rsidRPr="00504A0D" w:rsidRDefault="002A5B11">
      <w:pPr>
        <w:pStyle w:val="Default"/>
        <w:rPr>
          <w:rFonts w:ascii="宋体" w:eastAsia="宋体" w:hAnsi="宋体" w:cs="宋体"/>
          <w:color w:val="000000" w:themeColor="text1"/>
          <w:sz w:val="21"/>
          <w:szCs w:val="21"/>
        </w:rPr>
      </w:pPr>
    </w:p>
    <w:p w:rsidR="002A5B11" w:rsidRPr="00504A0D" w:rsidRDefault="002A5B11">
      <w:pPr>
        <w:rPr>
          <w:rFonts w:ascii="宋体" w:hAnsi="宋体" w:cs="宋体"/>
          <w:color w:val="000000" w:themeColor="text1"/>
          <w:kern w:val="0"/>
          <w:szCs w:val="21"/>
        </w:rPr>
      </w:pPr>
    </w:p>
    <w:p w:rsidR="002A5B11" w:rsidRPr="00504A0D" w:rsidRDefault="002A5B11">
      <w:pPr>
        <w:pStyle w:val="Default"/>
        <w:rPr>
          <w:rFonts w:ascii="宋体" w:eastAsia="宋体" w:hAnsi="宋体" w:cs="宋体"/>
          <w:color w:val="000000" w:themeColor="text1"/>
          <w:sz w:val="21"/>
          <w:szCs w:val="21"/>
        </w:rPr>
      </w:pPr>
    </w:p>
    <w:p w:rsidR="002A5B11" w:rsidRPr="00504A0D" w:rsidRDefault="002A5B11">
      <w:pPr>
        <w:rPr>
          <w:rFonts w:ascii="宋体" w:hAnsi="宋体" w:cs="宋体"/>
          <w:color w:val="000000" w:themeColor="text1"/>
          <w:kern w:val="0"/>
          <w:szCs w:val="21"/>
        </w:rPr>
      </w:pPr>
    </w:p>
    <w:p w:rsidR="002A5B11" w:rsidRPr="00504A0D" w:rsidRDefault="002A5B11">
      <w:pPr>
        <w:pStyle w:val="Default"/>
        <w:rPr>
          <w:color w:val="000000" w:themeColor="text1"/>
        </w:rPr>
      </w:pPr>
    </w:p>
    <w:p w:rsidR="002A5B11" w:rsidRPr="00504A0D" w:rsidRDefault="00CB7FD1">
      <w:pPr>
        <w:rPr>
          <w:rFonts w:ascii="宋体" w:hAnsi="宋体" w:cs="宋体"/>
          <w:color w:val="000000" w:themeColor="text1"/>
          <w:kern w:val="0"/>
          <w:szCs w:val="21"/>
        </w:rPr>
      </w:pPr>
      <w:r w:rsidRPr="00504A0D">
        <w:rPr>
          <w:rFonts w:ascii="宋体" w:hAnsi="宋体" w:cs="宋体" w:hint="eastAsia"/>
          <w:noProof/>
          <w:color w:val="000000" w:themeColor="text1"/>
          <w:kern w:val="0"/>
          <w:szCs w:val="21"/>
        </w:rPr>
        <w:lastRenderedPageBreak/>
        <w:drawing>
          <wp:anchor distT="0" distB="0" distL="114300" distR="114300" simplePos="0" relativeHeight="251662336" behindDoc="0" locked="0" layoutInCell="1" allowOverlap="1">
            <wp:simplePos x="0" y="0"/>
            <wp:positionH relativeFrom="column">
              <wp:posOffset>241935</wp:posOffset>
            </wp:positionH>
            <wp:positionV relativeFrom="paragraph">
              <wp:posOffset>144145</wp:posOffset>
            </wp:positionV>
            <wp:extent cx="5161915" cy="2809875"/>
            <wp:effectExtent l="4445" t="4445" r="15240" b="5080"/>
            <wp:wrapTopAndBottom/>
            <wp:docPr id="14"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2A5B11" w:rsidRPr="00504A0D" w:rsidRDefault="00CB7FD1">
      <w:pPr>
        <w:widowControl/>
        <w:shd w:val="clear" w:color="auto" w:fill="FFFFFF"/>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表4　2021年固定资产投资及其增长速度</w:t>
      </w:r>
    </w:p>
    <w:tbl>
      <w:tblPr>
        <w:tblW w:w="7938" w:type="dxa"/>
        <w:jc w:val="center"/>
        <w:tblLayout w:type="fixed"/>
        <w:tblLook w:val="04A0"/>
      </w:tblPr>
      <w:tblGrid>
        <w:gridCol w:w="3390"/>
        <w:gridCol w:w="2274"/>
        <w:gridCol w:w="2274"/>
      </w:tblGrid>
      <w:tr w:rsidR="002A5B11" w:rsidRPr="00504A0D" w:rsidTr="00D94262">
        <w:trPr>
          <w:trHeight w:val="511"/>
          <w:jc w:val="center"/>
        </w:trPr>
        <w:tc>
          <w:tcPr>
            <w:tcW w:w="3390" w:type="dxa"/>
            <w:tcBorders>
              <w:top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ind w:firstLineChars="200" w:firstLine="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指标名称</w:t>
            </w:r>
          </w:p>
        </w:tc>
        <w:tc>
          <w:tcPr>
            <w:tcW w:w="2274" w:type="dxa"/>
            <w:tcBorders>
              <w:top w:val="single" w:sz="4" w:space="0" w:color="auto"/>
              <w:bottom w:val="single" w:sz="4" w:space="0" w:color="auto"/>
              <w:right w:val="single" w:sz="4" w:space="0" w:color="auto"/>
            </w:tcBorders>
            <w:vAlign w:val="center"/>
          </w:tcPr>
          <w:p w:rsidR="002A5B11" w:rsidRPr="00504A0D" w:rsidRDefault="00CB7FD1" w:rsidP="00504A0D">
            <w:pPr>
              <w:widowControl/>
              <w:shd w:val="clear" w:color="auto" w:fill="FFFFFF"/>
              <w:spacing w:line="460" w:lineRule="exact"/>
              <w:ind w:left="420" w:hangingChars="200" w:hanging="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完成数</w:t>
            </w:r>
          </w:p>
        </w:tc>
        <w:tc>
          <w:tcPr>
            <w:tcW w:w="2274" w:type="dxa"/>
            <w:tcBorders>
              <w:top w:val="single" w:sz="4" w:space="0" w:color="auto"/>
              <w:left w:val="single" w:sz="4" w:space="0" w:color="auto"/>
              <w:bottom w:val="single" w:sz="4" w:space="0" w:color="auto"/>
            </w:tcBorders>
            <w:vAlign w:val="center"/>
          </w:tcPr>
          <w:p w:rsidR="002A5B11" w:rsidRPr="00504A0D" w:rsidRDefault="00CB7FD1" w:rsidP="00504A0D">
            <w:pPr>
              <w:widowControl/>
              <w:shd w:val="clear" w:color="auto" w:fill="FFFFFF"/>
              <w:spacing w:line="460" w:lineRule="exact"/>
              <w:ind w:left="420" w:hangingChars="200" w:hanging="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r>
      <w:tr w:rsidR="002A5B11" w:rsidRPr="00504A0D" w:rsidTr="00D94262">
        <w:trPr>
          <w:trHeight w:val="511"/>
          <w:jc w:val="center"/>
        </w:trPr>
        <w:tc>
          <w:tcPr>
            <w:tcW w:w="3390" w:type="dxa"/>
            <w:tcBorders>
              <w:top w:val="single" w:sz="4" w:space="0" w:color="auto"/>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投资总额（万元）</w:t>
            </w:r>
          </w:p>
        </w:tc>
        <w:tc>
          <w:tcPr>
            <w:tcW w:w="2274" w:type="dxa"/>
            <w:tcBorders>
              <w:top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3049759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11.4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按投资类别分</w:t>
            </w:r>
          </w:p>
        </w:tc>
        <w:tc>
          <w:tcPr>
            <w:tcW w:w="2274" w:type="dxa"/>
            <w:tcBorders>
              <w:right w:val="nil"/>
            </w:tcBorders>
            <w:vAlign w:val="bottom"/>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c>
          <w:tcPr>
            <w:tcW w:w="2274" w:type="dxa"/>
            <w:tcBorders>
              <w:top w:val="nil"/>
              <w:left w:val="nil"/>
              <w:bottom w:val="nil"/>
              <w:right w:val="nil"/>
            </w:tcBorders>
            <w:vAlign w:val="center"/>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建设与改造</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2478494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5.4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＃基础设施</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382279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-13.8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房地产开发</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571265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47.7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按登记注册类型分</w:t>
            </w:r>
          </w:p>
        </w:tc>
        <w:tc>
          <w:tcPr>
            <w:tcW w:w="2274" w:type="dxa"/>
            <w:tcBorders>
              <w:right w:val="nil"/>
            </w:tcBorders>
            <w:vAlign w:val="center"/>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c>
          <w:tcPr>
            <w:tcW w:w="2274" w:type="dxa"/>
            <w:tcBorders>
              <w:top w:val="nil"/>
              <w:left w:val="nil"/>
              <w:bottom w:val="nil"/>
              <w:right w:val="nil"/>
            </w:tcBorders>
            <w:vAlign w:val="center"/>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国有投资</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410060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7.1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民间投资</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2613275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14.5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按三次产业分</w:t>
            </w:r>
          </w:p>
        </w:tc>
        <w:tc>
          <w:tcPr>
            <w:tcW w:w="2274" w:type="dxa"/>
            <w:tcBorders>
              <w:right w:val="nil"/>
            </w:tcBorders>
            <w:vAlign w:val="center"/>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c>
          <w:tcPr>
            <w:tcW w:w="2274" w:type="dxa"/>
            <w:tcBorders>
              <w:top w:val="nil"/>
              <w:left w:val="nil"/>
              <w:bottom w:val="nil"/>
              <w:right w:val="nil"/>
            </w:tcBorders>
            <w:vAlign w:val="center"/>
          </w:tcPr>
          <w:p w:rsidR="002A5B11" w:rsidRPr="00504A0D" w:rsidRDefault="002A5B11">
            <w:pPr>
              <w:widowControl/>
              <w:spacing w:line="460" w:lineRule="exact"/>
              <w:jc w:val="right"/>
              <w:textAlignment w:val="center"/>
              <w:rPr>
                <w:rFonts w:ascii="宋体" w:hAnsi="宋体" w:cs="宋体"/>
                <w:color w:val="000000" w:themeColor="text1"/>
                <w:kern w:val="0"/>
                <w:szCs w:val="21"/>
              </w:rPr>
            </w:pP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第一产业</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51621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-48.6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第二产业</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1874643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20.1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＃工业投资</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1874643 </w:t>
            </w:r>
          </w:p>
        </w:tc>
        <w:tc>
          <w:tcPr>
            <w:tcW w:w="2274"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20.1 </w:t>
            </w:r>
          </w:p>
        </w:tc>
      </w:tr>
      <w:tr w:rsidR="002A5B11" w:rsidRPr="00504A0D" w:rsidTr="00D94262">
        <w:trPr>
          <w:trHeight w:val="511"/>
          <w:jc w:val="center"/>
        </w:trPr>
        <w:tc>
          <w:tcPr>
            <w:tcW w:w="3390" w:type="dxa"/>
            <w:tcBorders>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第三产业</w:t>
            </w:r>
          </w:p>
        </w:tc>
        <w:tc>
          <w:tcPr>
            <w:tcW w:w="2274" w:type="dxa"/>
            <w:tcBorders>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1123495 </w:t>
            </w:r>
          </w:p>
        </w:tc>
        <w:tc>
          <w:tcPr>
            <w:tcW w:w="2274" w:type="dxa"/>
            <w:tcBorders>
              <w:top w:val="nil"/>
              <w:left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4.4 </w:t>
            </w:r>
          </w:p>
        </w:tc>
      </w:tr>
      <w:tr w:rsidR="002A5B11" w:rsidRPr="00504A0D" w:rsidTr="00D94262">
        <w:trPr>
          <w:trHeight w:val="511"/>
          <w:jc w:val="center"/>
        </w:trPr>
        <w:tc>
          <w:tcPr>
            <w:tcW w:w="3390" w:type="dxa"/>
            <w:tcBorders>
              <w:bottom w:val="single" w:sz="4" w:space="0" w:color="auto"/>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＃房地产业</w:t>
            </w:r>
          </w:p>
        </w:tc>
        <w:tc>
          <w:tcPr>
            <w:tcW w:w="2274" w:type="dxa"/>
            <w:tcBorders>
              <w:bottom w:val="single" w:sz="4" w:space="0" w:color="auto"/>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579215 </w:t>
            </w:r>
          </w:p>
        </w:tc>
        <w:tc>
          <w:tcPr>
            <w:tcW w:w="2274" w:type="dxa"/>
            <w:tcBorders>
              <w:top w:val="nil"/>
              <w:left w:val="nil"/>
              <w:bottom w:val="single" w:sz="4" w:space="0" w:color="auto"/>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46.8 </w:t>
            </w:r>
          </w:p>
        </w:tc>
      </w:tr>
    </w:tbl>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lastRenderedPageBreak/>
        <w:t>全年商品房施工面积307.4万平方米，比上年增长4.5%；商品房竣工面积27.9万平方米，下降53.5%。商品房销售面积103.9万平方米，增长2.2%；其中住宅销售面积93.4万平方米，增长19.0%。商品房销售额62.87亿元，下降4.8%。</w:t>
      </w:r>
    </w:p>
    <w:p w:rsidR="002A5B11" w:rsidRPr="00504A0D" w:rsidRDefault="00CB7FD1">
      <w:pPr>
        <w:widowControl/>
        <w:shd w:val="clear" w:color="auto" w:fill="FFFFFF"/>
        <w:spacing w:line="460" w:lineRule="exact"/>
        <w:ind w:firstLineChars="200" w:firstLine="420"/>
        <w:rPr>
          <w:rFonts w:ascii="宋体" w:hAnsi="宋体" w:cs="宋体"/>
          <w:color w:val="000000" w:themeColor="text1"/>
          <w:kern w:val="0"/>
          <w:szCs w:val="21"/>
        </w:rPr>
      </w:pPr>
      <w:r w:rsidRPr="00504A0D">
        <w:rPr>
          <w:rFonts w:ascii="宋体" w:hAnsi="宋体" w:cs="宋体" w:hint="eastAsia"/>
          <w:color w:val="000000" w:themeColor="text1"/>
          <w:kern w:val="0"/>
          <w:szCs w:val="21"/>
        </w:rPr>
        <w:t>全年完成城市棚户区改造278户，农村危旧房改造308户，在建公租房面积3.88万平方米。</w:t>
      </w:r>
    </w:p>
    <w:p w:rsidR="002A5B11" w:rsidRPr="00504A0D" w:rsidRDefault="00CB7FD1">
      <w:pPr>
        <w:widowControl/>
        <w:shd w:val="clear" w:color="auto" w:fill="FFFFFF"/>
        <w:spacing w:line="460" w:lineRule="exact"/>
        <w:ind w:rightChars="-100" w:right="-210"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t>表5　2021年房地产开发和销售主要指标完成情况及其增长速度</w:t>
      </w:r>
    </w:p>
    <w:tbl>
      <w:tblPr>
        <w:tblW w:w="8325" w:type="dxa"/>
        <w:jc w:val="center"/>
        <w:tblLayout w:type="fixed"/>
        <w:tblLook w:val="04A0"/>
      </w:tblPr>
      <w:tblGrid>
        <w:gridCol w:w="4477"/>
        <w:gridCol w:w="1902"/>
        <w:gridCol w:w="1946"/>
      </w:tblGrid>
      <w:tr w:rsidR="002A5B11" w:rsidRPr="00504A0D">
        <w:trPr>
          <w:trHeight w:hRule="exact" w:val="907"/>
          <w:jc w:val="center"/>
        </w:trPr>
        <w:tc>
          <w:tcPr>
            <w:tcW w:w="4477" w:type="dxa"/>
            <w:tcBorders>
              <w:top w:val="single" w:sz="4" w:space="0" w:color="auto"/>
              <w:bottom w:val="single" w:sz="4" w:space="0" w:color="auto"/>
              <w:right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指标名称</w:t>
            </w:r>
          </w:p>
        </w:tc>
        <w:tc>
          <w:tcPr>
            <w:tcW w:w="1902" w:type="dxa"/>
            <w:tcBorders>
              <w:top w:val="single" w:sz="4" w:space="0" w:color="auto"/>
              <w:left w:val="single" w:sz="4" w:space="0" w:color="auto"/>
              <w:bottom w:val="single" w:sz="4" w:space="0" w:color="auto"/>
              <w:right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2021年</w:t>
            </w:r>
          </w:p>
        </w:tc>
        <w:tc>
          <w:tcPr>
            <w:tcW w:w="1946" w:type="dxa"/>
            <w:tcBorders>
              <w:top w:val="single" w:sz="4" w:space="0" w:color="auto"/>
              <w:left w:val="single" w:sz="4" w:space="0" w:color="auto"/>
              <w:bottom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r>
      <w:tr w:rsidR="002A5B11" w:rsidRPr="00504A0D">
        <w:trPr>
          <w:trHeight w:hRule="exact" w:val="624"/>
          <w:jc w:val="center"/>
        </w:trPr>
        <w:tc>
          <w:tcPr>
            <w:tcW w:w="4477" w:type="dxa"/>
            <w:tcBorders>
              <w:top w:val="single" w:sz="4" w:space="0" w:color="auto"/>
              <w:left w:val="nil"/>
              <w:bottom w:val="nil"/>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商品房施工面积（万平方米）</w:t>
            </w:r>
          </w:p>
        </w:tc>
        <w:tc>
          <w:tcPr>
            <w:tcW w:w="1902"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307.4</w:t>
            </w:r>
          </w:p>
        </w:tc>
        <w:tc>
          <w:tcPr>
            <w:tcW w:w="1946"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4.5</w:t>
            </w:r>
          </w:p>
        </w:tc>
      </w:tr>
      <w:tr w:rsidR="002A5B11" w:rsidRPr="00504A0D">
        <w:trPr>
          <w:trHeight w:hRule="exact" w:val="624"/>
          <w:jc w:val="center"/>
        </w:trPr>
        <w:tc>
          <w:tcPr>
            <w:tcW w:w="4477" w:type="dxa"/>
            <w:tcBorders>
              <w:top w:val="nil"/>
              <w:left w:val="nil"/>
              <w:bottom w:val="nil"/>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＃：住宅</w:t>
            </w:r>
          </w:p>
        </w:tc>
        <w:tc>
          <w:tcPr>
            <w:tcW w:w="1902"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265.5</w:t>
            </w:r>
          </w:p>
        </w:tc>
        <w:tc>
          <w:tcPr>
            <w:tcW w:w="1946"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18.4</w:t>
            </w:r>
          </w:p>
        </w:tc>
      </w:tr>
      <w:tr w:rsidR="002A5B11" w:rsidRPr="00504A0D">
        <w:trPr>
          <w:trHeight w:hRule="exact" w:val="624"/>
          <w:jc w:val="center"/>
        </w:trPr>
        <w:tc>
          <w:tcPr>
            <w:tcW w:w="4477" w:type="dxa"/>
            <w:tcBorders>
              <w:left w:val="nil"/>
              <w:bottom w:val="nil"/>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新开工面积（万平方米）</w:t>
            </w:r>
          </w:p>
        </w:tc>
        <w:tc>
          <w:tcPr>
            <w:tcW w:w="1902" w:type="dxa"/>
            <w:tcBorders>
              <w:top w:val="nil"/>
              <w:left w:val="single" w:sz="4" w:space="0" w:color="auto"/>
              <w:bottom w:val="nil"/>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77.7</w:t>
            </w:r>
          </w:p>
        </w:tc>
        <w:tc>
          <w:tcPr>
            <w:tcW w:w="1946" w:type="dxa"/>
            <w:tcBorders>
              <w:top w:val="nil"/>
              <w:left w:val="nil"/>
              <w:bottom w:val="nil"/>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29.7</w:t>
            </w:r>
          </w:p>
        </w:tc>
      </w:tr>
      <w:tr w:rsidR="002A5B11" w:rsidRPr="00504A0D">
        <w:trPr>
          <w:trHeight w:hRule="exact" w:val="624"/>
          <w:jc w:val="center"/>
        </w:trPr>
        <w:tc>
          <w:tcPr>
            <w:tcW w:w="4477" w:type="dxa"/>
            <w:tcBorders>
              <w:top w:val="nil"/>
              <w:left w:val="nil"/>
              <w:bottom w:val="nil"/>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＃：住宅</w:t>
            </w:r>
          </w:p>
        </w:tc>
        <w:tc>
          <w:tcPr>
            <w:tcW w:w="1902" w:type="dxa"/>
            <w:tcBorders>
              <w:top w:val="nil"/>
              <w:left w:val="single" w:sz="4" w:space="0" w:color="auto"/>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69.1</w:t>
            </w:r>
          </w:p>
        </w:tc>
        <w:tc>
          <w:tcPr>
            <w:tcW w:w="1946" w:type="dxa"/>
            <w:tcBorders>
              <w:top w:val="nil"/>
              <w:left w:val="nil"/>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49.9</w:t>
            </w:r>
          </w:p>
        </w:tc>
      </w:tr>
      <w:tr w:rsidR="002A5B11" w:rsidRPr="00504A0D">
        <w:trPr>
          <w:trHeight w:hRule="exact" w:val="624"/>
          <w:jc w:val="center"/>
        </w:trPr>
        <w:tc>
          <w:tcPr>
            <w:tcW w:w="4477" w:type="dxa"/>
            <w:tcBorders>
              <w:left w:val="nil"/>
              <w:bottom w:val="nil"/>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商品房竣工面积（万平方米）</w:t>
            </w:r>
          </w:p>
        </w:tc>
        <w:tc>
          <w:tcPr>
            <w:tcW w:w="1902" w:type="dxa"/>
            <w:tcBorders>
              <w:left w:val="single" w:sz="4" w:space="0" w:color="auto"/>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27.9</w:t>
            </w:r>
          </w:p>
        </w:tc>
        <w:tc>
          <w:tcPr>
            <w:tcW w:w="1946" w:type="dxa"/>
            <w:tcBorders>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-53.48 </w:t>
            </w:r>
          </w:p>
        </w:tc>
      </w:tr>
      <w:tr w:rsidR="002A5B11" w:rsidRPr="00504A0D">
        <w:trPr>
          <w:trHeight w:hRule="exact" w:val="624"/>
          <w:jc w:val="center"/>
        </w:trPr>
        <w:tc>
          <w:tcPr>
            <w:tcW w:w="4477" w:type="dxa"/>
            <w:tcBorders>
              <w:top w:val="nil"/>
              <w:left w:val="nil"/>
              <w:bottom w:val="nil"/>
              <w:right w:val="single" w:sz="4" w:space="0" w:color="auto"/>
            </w:tcBorders>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＃：住宅</w:t>
            </w:r>
          </w:p>
        </w:tc>
        <w:tc>
          <w:tcPr>
            <w:tcW w:w="1902" w:type="dxa"/>
            <w:tcBorders>
              <w:top w:val="nil"/>
              <w:left w:val="single" w:sz="4" w:space="0" w:color="auto"/>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25.9</w:t>
            </w:r>
          </w:p>
        </w:tc>
        <w:tc>
          <w:tcPr>
            <w:tcW w:w="1946" w:type="dxa"/>
            <w:tcBorders>
              <w:top w:val="nil"/>
              <w:right w:val="nil"/>
            </w:tcBorders>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-42.76 </w:t>
            </w:r>
          </w:p>
        </w:tc>
      </w:tr>
      <w:tr w:rsidR="002A5B11" w:rsidRPr="00504A0D">
        <w:trPr>
          <w:trHeight w:hRule="exact" w:val="624"/>
          <w:jc w:val="center"/>
        </w:trPr>
        <w:tc>
          <w:tcPr>
            <w:tcW w:w="4477" w:type="dxa"/>
            <w:tcBorders>
              <w:top w:val="nil"/>
              <w:left w:val="nil"/>
              <w:bottom w:val="nil"/>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商品房销售面积（万平方米）</w:t>
            </w:r>
          </w:p>
        </w:tc>
        <w:tc>
          <w:tcPr>
            <w:tcW w:w="1902" w:type="dxa"/>
            <w:tcBorders>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103.9</w:t>
            </w:r>
          </w:p>
        </w:tc>
        <w:tc>
          <w:tcPr>
            <w:tcW w:w="1946" w:type="dxa"/>
            <w:tcBorders>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2.2</w:t>
            </w:r>
          </w:p>
        </w:tc>
      </w:tr>
      <w:tr w:rsidR="002A5B11" w:rsidRPr="00504A0D">
        <w:trPr>
          <w:trHeight w:hRule="exact" w:val="624"/>
          <w:jc w:val="center"/>
        </w:trPr>
        <w:tc>
          <w:tcPr>
            <w:tcW w:w="4477" w:type="dxa"/>
            <w:tcBorders>
              <w:top w:val="nil"/>
              <w:left w:val="nil"/>
              <w:bottom w:val="nil"/>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＃：住宅</w:t>
            </w:r>
          </w:p>
        </w:tc>
        <w:tc>
          <w:tcPr>
            <w:tcW w:w="1902"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93.4</w:t>
            </w:r>
          </w:p>
        </w:tc>
        <w:tc>
          <w:tcPr>
            <w:tcW w:w="1946"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19</w:t>
            </w:r>
          </w:p>
        </w:tc>
      </w:tr>
      <w:tr w:rsidR="002A5B11" w:rsidRPr="00504A0D">
        <w:trPr>
          <w:trHeight w:hRule="exact" w:val="624"/>
          <w:jc w:val="center"/>
        </w:trPr>
        <w:tc>
          <w:tcPr>
            <w:tcW w:w="4477" w:type="dxa"/>
            <w:tcBorders>
              <w:top w:val="nil"/>
              <w:left w:val="nil"/>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商品房销售额（万元）</w:t>
            </w:r>
          </w:p>
        </w:tc>
        <w:tc>
          <w:tcPr>
            <w:tcW w:w="1902" w:type="dxa"/>
            <w:tcBorders>
              <w:top w:val="nil"/>
              <w:left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628720</w:t>
            </w:r>
          </w:p>
        </w:tc>
        <w:tc>
          <w:tcPr>
            <w:tcW w:w="1946" w:type="dxa"/>
            <w:tcBorders>
              <w:top w:val="nil"/>
              <w:left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-4.8</w:t>
            </w:r>
          </w:p>
        </w:tc>
      </w:tr>
      <w:tr w:rsidR="002A5B11" w:rsidRPr="00504A0D">
        <w:trPr>
          <w:trHeight w:hRule="exact" w:val="624"/>
          <w:jc w:val="center"/>
        </w:trPr>
        <w:tc>
          <w:tcPr>
            <w:tcW w:w="4477" w:type="dxa"/>
            <w:tcBorders>
              <w:top w:val="nil"/>
              <w:left w:val="nil"/>
              <w:bottom w:val="single" w:sz="4" w:space="0" w:color="auto"/>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＃：住宅</w:t>
            </w:r>
          </w:p>
        </w:tc>
        <w:tc>
          <w:tcPr>
            <w:tcW w:w="1902" w:type="dxa"/>
            <w:tcBorders>
              <w:top w:val="nil"/>
              <w:left w:val="nil"/>
              <w:bottom w:val="single" w:sz="4" w:space="0" w:color="auto"/>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563639</w:t>
            </w:r>
          </w:p>
        </w:tc>
        <w:tc>
          <w:tcPr>
            <w:tcW w:w="1946" w:type="dxa"/>
            <w:tcBorders>
              <w:top w:val="nil"/>
              <w:left w:val="nil"/>
              <w:bottom w:val="single" w:sz="4" w:space="0" w:color="auto"/>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color w:val="000000" w:themeColor="text1"/>
                <w:kern w:val="0"/>
                <w:szCs w:val="21"/>
              </w:rPr>
              <w:t>18.2</w:t>
            </w:r>
          </w:p>
        </w:tc>
      </w:tr>
    </w:tbl>
    <w:p w:rsidR="002A5B11" w:rsidRPr="00504A0D" w:rsidRDefault="00CB7FD1">
      <w:pPr>
        <w:pStyle w:val="a7"/>
        <w:spacing w:before="0" w:beforeAutospacing="0" w:after="0" w:afterAutospacing="0" w:line="460" w:lineRule="exact"/>
        <w:ind w:left="45" w:right="45" w:firstLineChars="200" w:firstLine="422"/>
        <w:jc w:val="both"/>
        <w:rPr>
          <w:b/>
          <w:bCs/>
          <w:color w:val="000000" w:themeColor="text1"/>
          <w:sz w:val="21"/>
          <w:szCs w:val="21"/>
        </w:rPr>
      </w:pPr>
      <w:r w:rsidRPr="00504A0D">
        <w:rPr>
          <w:rFonts w:hint="eastAsia"/>
          <w:b/>
          <w:bCs/>
          <w:color w:val="000000" w:themeColor="text1"/>
          <w:sz w:val="21"/>
          <w:szCs w:val="21"/>
        </w:rPr>
        <w:t>五、国内贸易</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 xml:space="preserve">全年批发和零售业实现增加值649600万元，比上年增长16.3%，占全区生产总值的8.0%。批发业销售额同比增长31.5%，零售业销售额同比增长23.7%。住宿和餐饮业实现增加值136197万元，比上年增长17.4%，占全区生产总值的1.7%。住宿业营业额同比增长25.6%，餐饮业营业额同比增长30.2%。 </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消费品市场平稳增长。全年社会消费品零售总额2878461万元，同比增长25.6%。限额以上法人企业主要商品零售额中，粮油、食品类增长32.0％，家用电器和音像器材类增长22.1%，石油及制品类增长33.4%，建筑及装潢材料类增长30.6%，汽车类增长25.8％。</w:t>
      </w:r>
    </w:p>
    <w:p w:rsidR="002A5B11" w:rsidRPr="00504A0D" w:rsidRDefault="00CB7FD1">
      <w:pPr>
        <w:pStyle w:val="a7"/>
        <w:spacing w:before="0" w:beforeAutospacing="0" w:after="0" w:afterAutospacing="0" w:line="460" w:lineRule="exact"/>
        <w:ind w:left="45" w:right="45" w:firstLineChars="200" w:firstLine="422"/>
        <w:jc w:val="both"/>
        <w:rPr>
          <w:b/>
          <w:bCs/>
          <w:color w:val="000000" w:themeColor="text1"/>
          <w:sz w:val="21"/>
          <w:szCs w:val="21"/>
        </w:rPr>
      </w:pPr>
      <w:r w:rsidRPr="00504A0D">
        <w:rPr>
          <w:rFonts w:hint="eastAsia"/>
          <w:b/>
          <w:bCs/>
          <w:color w:val="000000" w:themeColor="text1"/>
          <w:sz w:val="21"/>
          <w:szCs w:val="21"/>
        </w:rPr>
        <w:lastRenderedPageBreak/>
        <w:t>六、对外经济</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全年实现外贸进出口总值130677万元，比上年下降17.6％。其中：出口94575万元，下降22.6%；进口36102万元，下降0.9%。</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全年实际使用外资金额6895万美元，比上年下降27.7％。其中，外商直接投资545万美元，下降79.3%。</w:t>
      </w:r>
    </w:p>
    <w:p w:rsidR="002A5B11" w:rsidRPr="00504A0D" w:rsidRDefault="00CB7FD1">
      <w:pPr>
        <w:pStyle w:val="a7"/>
        <w:spacing w:before="0" w:beforeAutospacing="0" w:after="0" w:afterAutospacing="0" w:line="460" w:lineRule="exact"/>
        <w:ind w:left="44" w:right="44" w:firstLineChars="200" w:firstLine="422"/>
        <w:jc w:val="both"/>
        <w:rPr>
          <w:b/>
          <w:bCs/>
          <w:color w:val="000000" w:themeColor="text1"/>
          <w:sz w:val="21"/>
          <w:szCs w:val="21"/>
        </w:rPr>
      </w:pPr>
      <w:r w:rsidRPr="00504A0D">
        <w:rPr>
          <w:rFonts w:hint="eastAsia"/>
          <w:b/>
          <w:bCs/>
          <w:color w:val="000000" w:themeColor="text1"/>
          <w:sz w:val="21"/>
          <w:szCs w:val="21"/>
        </w:rPr>
        <w:t>七、交通和邮电</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全年交通运输、仓储和邮政业实现增加值218887万元，比上年增长5.4％，占全区生产总值的比重为2.7%。</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全年公路客运量完成2797万人，比上年下降22.7%；公路客运周转量114649万人公里，下降18.1%；公路货运量完成1576万吨，比上年增长17.5%；公路货物周转量157892万吨公里，增长2.9%。</w:t>
      </w:r>
      <w:r w:rsidRPr="00504A0D">
        <w:rPr>
          <w:rFonts w:hint="eastAsia"/>
          <w:color w:val="000000" w:themeColor="text1"/>
          <w:sz w:val="21"/>
          <w:szCs w:val="21"/>
        </w:rPr>
        <w:tab/>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年末全区拥有营运汽车7211辆，其中货车5727辆、客车515辆(含公交车)、出租汽车220辆。</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年底全区公路总里程2735.73公里。按行政等级划分：国道（高速公路）116.19公里，省道215.83公里，县道134.27公里，乡道293.81公里，专用公路11.33公里，村道1964.30公里。按技术等级分：高速公路81.60公里、一级公路25.01公里、二级公路244.93公里、三级公路79.04公里、四级公路2247.45公里，等外公路57.69公里。</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全年完成邮政业务总量16046万元，比上年增长9.9%。邮政业全年完成邮政函件业务9.88万件，快递业务322.3万件。</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完成电信业务总量44500万元，比上年增长7.5%。年末固定电话用户数8.7万户，比上年下降0.2%；移动电话用户79.8万户，比上年增长2.2%。互联网络用户89.6万户，比上年增长6.1%。其中固定互联网宽带接入用户24.5万户，增长8.5%；手机上网用户65.1万户，增长5.2%。</w:t>
      </w:r>
    </w:p>
    <w:p w:rsidR="002A5B11" w:rsidRPr="00504A0D" w:rsidRDefault="00CB7FD1">
      <w:pPr>
        <w:pStyle w:val="a7"/>
        <w:spacing w:before="0" w:beforeAutospacing="0" w:after="0" w:afterAutospacing="0" w:line="460" w:lineRule="exact"/>
        <w:ind w:right="44" w:firstLineChars="200" w:firstLine="422"/>
        <w:jc w:val="both"/>
        <w:rPr>
          <w:b/>
          <w:bCs/>
          <w:color w:val="000000" w:themeColor="text1"/>
          <w:sz w:val="21"/>
          <w:szCs w:val="21"/>
        </w:rPr>
      </w:pPr>
      <w:r w:rsidRPr="00504A0D">
        <w:rPr>
          <w:rFonts w:hint="eastAsia"/>
          <w:b/>
          <w:bCs/>
          <w:color w:val="000000" w:themeColor="text1"/>
          <w:sz w:val="21"/>
          <w:szCs w:val="21"/>
        </w:rPr>
        <w:t>八、金融</w:t>
      </w:r>
    </w:p>
    <w:p w:rsidR="002A5B11" w:rsidRPr="00504A0D" w:rsidRDefault="00CB7FD1">
      <w:pPr>
        <w:pStyle w:val="Default"/>
        <w:spacing w:line="460" w:lineRule="exact"/>
        <w:ind w:firstLineChars="200" w:firstLine="420"/>
        <w:jc w:val="both"/>
        <w:rPr>
          <w:rFonts w:ascii="宋体" w:eastAsia="宋体" w:hAnsi="宋体" w:cs="宋体"/>
          <w:color w:val="000000" w:themeColor="text1"/>
          <w:sz w:val="21"/>
          <w:szCs w:val="21"/>
        </w:rPr>
      </w:pPr>
      <w:r w:rsidRPr="00504A0D">
        <w:rPr>
          <w:rFonts w:ascii="宋体" w:eastAsia="宋体" w:hAnsi="宋体" w:cs="宋体" w:hint="eastAsia"/>
          <w:color w:val="000000" w:themeColor="text1"/>
          <w:sz w:val="21"/>
          <w:szCs w:val="21"/>
        </w:rPr>
        <w:t>全年金融业实现增加值222504万元，比上年增长3.4%,占全区生产总值的2.7%。年末全区金融机构本外币存款余额</w:t>
      </w:r>
      <w:r w:rsidRPr="00504A0D">
        <w:rPr>
          <w:rFonts w:ascii="宋体" w:eastAsia="宋体" w:hAnsi="宋体" w:cs="宋体"/>
          <w:color w:val="000000" w:themeColor="text1"/>
          <w:sz w:val="21"/>
          <w:szCs w:val="21"/>
        </w:rPr>
        <w:t>4956909</w:t>
      </w:r>
      <w:r w:rsidRPr="00504A0D">
        <w:rPr>
          <w:rFonts w:ascii="宋体" w:eastAsia="宋体" w:hAnsi="宋体" w:cs="宋体" w:hint="eastAsia"/>
          <w:color w:val="000000" w:themeColor="text1"/>
          <w:sz w:val="21"/>
          <w:szCs w:val="21"/>
        </w:rPr>
        <w:t>万元，比上年末增长8.9%。其中，境内住户存款余额</w:t>
      </w:r>
      <w:r w:rsidRPr="00504A0D">
        <w:rPr>
          <w:rFonts w:ascii="宋体" w:eastAsia="宋体" w:hAnsi="宋体" w:cs="宋体"/>
          <w:color w:val="000000" w:themeColor="text1"/>
          <w:sz w:val="21"/>
          <w:szCs w:val="21"/>
        </w:rPr>
        <w:t>3742605</w:t>
      </w:r>
      <w:r w:rsidRPr="00504A0D">
        <w:rPr>
          <w:rFonts w:ascii="宋体" w:eastAsia="宋体" w:hAnsi="宋体" w:cs="宋体" w:hint="eastAsia"/>
          <w:color w:val="000000" w:themeColor="text1"/>
          <w:sz w:val="21"/>
          <w:szCs w:val="21"/>
        </w:rPr>
        <w:t>万元，增长11.6%。金融机构本外币贷款余额</w:t>
      </w:r>
      <w:r w:rsidRPr="00504A0D">
        <w:rPr>
          <w:rFonts w:ascii="宋体" w:eastAsia="宋体" w:hAnsi="宋体" w:cs="宋体"/>
          <w:color w:val="000000" w:themeColor="text1"/>
          <w:sz w:val="21"/>
          <w:szCs w:val="21"/>
        </w:rPr>
        <w:t>4194808</w:t>
      </w:r>
      <w:r w:rsidRPr="00504A0D">
        <w:rPr>
          <w:rFonts w:ascii="宋体" w:eastAsia="宋体" w:hAnsi="宋体" w:cs="宋体" w:hint="eastAsia"/>
          <w:color w:val="000000" w:themeColor="text1"/>
          <w:sz w:val="21"/>
          <w:szCs w:val="21"/>
        </w:rPr>
        <w:t>万元，比上年末增长11.7%。其中境内住户贷款余额</w:t>
      </w:r>
      <w:r w:rsidRPr="00504A0D">
        <w:rPr>
          <w:rFonts w:ascii="宋体" w:eastAsia="宋体" w:hAnsi="宋体" w:cs="宋体"/>
          <w:color w:val="000000" w:themeColor="text1"/>
          <w:sz w:val="21"/>
          <w:szCs w:val="21"/>
        </w:rPr>
        <w:t>1638139</w:t>
      </w:r>
      <w:r w:rsidRPr="00504A0D">
        <w:rPr>
          <w:rFonts w:ascii="宋体" w:eastAsia="宋体" w:hAnsi="宋体" w:cs="宋体" w:hint="eastAsia"/>
          <w:color w:val="000000" w:themeColor="text1"/>
          <w:sz w:val="21"/>
          <w:szCs w:val="21"/>
        </w:rPr>
        <w:t>万元，增长14.6%。</w:t>
      </w:r>
    </w:p>
    <w:p w:rsidR="002A5B11" w:rsidRPr="00504A0D" w:rsidRDefault="002A5B11">
      <w:pPr>
        <w:spacing w:line="460" w:lineRule="exact"/>
        <w:ind w:firstLineChars="200" w:firstLine="422"/>
        <w:jc w:val="center"/>
        <w:rPr>
          <w:rFonts w:ascii="宋体" w:hAnsi="宋体" w:cs="宋体"/>
          <w:b/>
          <w:bCs/>
          <w:color w:val="000000" w:themeColor="text1"/>
          <w:kern w:val="0"/>
          <w:szCs w:val="21"/>
        </w:rPr>
      </w:pPr>
    </w:p>
    <w:p w:rsidR="002A5B11" w:rsidRPr="00504A0D" w:rsidRDefault="002A5B11">
      <w:pPr>
        <w:spacing w:line="460" w:lineRule="exact"/>
        <w:ind w:firstLineChars="200" w:firstLine="422"/>
        <w:jc w:val="center"/>
        <w:rPr>
          <w:rFonts w:ascii="宋体" w:hAnsi="宋体" w:cs="宋体"/>
          <w:b/>
          <w:bCs/>
          <w:color w:val="000000" w:themeColor="text1"/>
          <w:kern w:val="0"/>
          <w:szCs w:val="21"/>
        </w:rPr>
      </w:pPr>
    </w:p>
    <w:p w:rsidR="002A5B11" w:rsidRPr="00504A0D" w:rsidRDefault="002A5B11">
      <w:pPr>
        <w:spacing w:line="460" w:lineRule="exact"/>
        <w:ind w:firstLineChars="200" w:firstLine="422"/>
        <w:jc w:val="center"/>
        <w:rPr>
          <w:rFonts w:ascii="宋体" w:hAnsi="宋体" w:cs="宋体"/>
          <w:b/>
          <w:bCs/>
          <w:color w:val="000000" w:themeColor="text1"/>
          <w:kern w:val="0"/>
          <w:szCs w:val="21"/>
        </w:rPr>
      </w:pPr>
    </w:p>
    <w:p w:rsidR="002A5B11" w:rsidRPr="00504A0D" w:rsidRDefault="00CB7FD1">
      <w:pPr>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lastRenderedPageBreak/>
        <w:t>表6　2021年末金融机构存贷款余额</w:t>
      </w:r>
    </w:p>
    <w:tbl>
      <w:tblPr>
        <w:tblW w:w="8038" w:type="dxa"/>
        <w:tblInd w:w="410" w:type="dxa"/>
        <w:tblLayout w:type="fixed"/>
        <w:tblLook w:val="04A0"/>
      </w:tblPr>
      <w:tblGrid>
        <w:gridCol w:w="3945"/>
        <w:gridCol w:w="2145"/>
        <w:gridCol w:w="1948"/>
      </w:tblGrid>
      <w:tr w:rsidR="002A5B11" w:rsidRPr="00504A0D">
        <w:trPr>
          <w:trHeight w:val="1032"/>
        </w:trPr>
        <w:tc>
          <w:tcPr>
            <w:tcW w:w="3945" w:type="dxa"/>
            <w:tcBorders>
              <w:top w:val="single" w:sz="4" w:space="0" w:color="auto"/>
              <w:left w:val="nil"/>
              <w:bottom w:val="single" w:sz="4" w:space="0" w:color="auto"/>
              <w:right w:val="single" w:sz="4" w:space="0" w:color="auto"/>
            </w:tcBorders>
            <w:vAlign w:val="center"/>
          </w:tcPr>
          <w:p w:rsidR="002A5B11" w:rsidRPr="00504A0D" w:rsidRDefault="00CB7FD1">
            <w:pPr>
              <w:widowControl/>
              <w:shd w:val="clear" w:color="auto" w:fill="FFFFFF"/>
              <w:spacing w:line="460" w:lineRule="exact"/>
              <w:ind w:firstLineChars="200" w:firstLine="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指标</w:t>
            </w:r>
          </w:p>
        </w:tc>
        <w:tc>
          <w:tcPr>
            <w:tcW w:w="2145" w:type="dxa"/>
            <w:tcBorders>
              <w:top w:val="single" w:sz="4" w:space="0" w:color="auto"/>
              <w:left w:val="single" w:sz="4" w:space="0" w:color="auto"/>
              <w:bottom w:val="single" w:sz="4" w:space="0" w:color="auto"/>
              <w:right w:val="single" w:sz="4" w:space="0" w:color="auto"/>
            </w:tcBorders>
            <w:vAlign w:val="center"/>
          </w:tcPr>
          <w:p w:rsidR="002A5B11" w:rsidRPr="00504A0D" w:rsidRDefault="00CB7FD1">
            <w:pPr>
              <w:widowControl/>
              <w:shd w:val="clear" w:color="auto" w:fill="FFFFFF"/>
              <w:spacing w:line="460" w:lineRule="exact"/>
              <w:ind w:firstLineChars="200" w:firstLine="420"/>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年末数（万元）</w:t>
            </w:r>
          </w:p>
        </w:tc>
        <w:tc>
          <w:tcPr>
            <w:tcW w:w="1948" w:type="dxa"/>
            <w:tcBorders>
              <w:top w:val="single" w:sz="4" w:space="0" w:color="auto"/>
              <w:left w:val="single" w:sz="4" w:space="0" w:color="auto"/>
              <w:bottom w:val="single" w:sz="4" w:space="0" w:color="auto"/>
              <w:right w:val="nil"/>
            </w:tcBorders>
            <w:vAlign w:val="center"/>
          </w:tcPr>
          <w:p w:rsidR="002A5B11" w:rsidRPr="00504A0D" w:rsidRDefault="00CB7FD1">
            <w:pPr>
              <w:widowControl/>
              <w:shd w:val="clear" w:color="auto" w:fill="FFFFFF"/>
              <w:spacing w:line="460" w:lineRule="exact"/>
              <w:jc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比上年末±％</w:t>
            </w:r>
          </w:p>
        </w:tc>
      </w:tr>
      <w:tr w:rsidR="002A5B11" w:rsidRPr="00504A0D">
        <w:trPr>
          <w:trHeight w:hRule="exact" w:val="621"/>
        </w:trPr>
        <w:tc>
          <w:tcPr>
            <w:tcW w:w="3945" w:type="dxa"/>
            <w:tcBorders>
              <w:top w:val="single" w:sz="4" w:space="0" w:color="auto"/>
              <w:left w:val="nil"/>
              <w:bottom w:val="nil"/>
              <w:right w:val="single" w:sz="4" w:space="0" w:color="auto"/>
            </w:tcBorders>
            <w:vAlign w:val="center"/>
          </w:tcPr>
          <w:p w:rsidR="002A5B11" w:rsidRPr="00504A0D" w:rsidRDefault="00CB7FD1">
            <w:pPr>
              <w:widowControl/>
              <w:spacing w:line="460" w:lineRule="exact"/>
              <w:rPr>
                <w:rFonts w:ascii="宋体" w:hAnsi="宋体" w:cs="宋体"/>
                <w:color w:val="000000" w:themeColor="text1"/>
                <w:kern w:val="0"/>
                <w:szCs w:val="21"/>
              </w:rPr>
            </w:pPr>
            <w:r w:rsidRPr="00504A0D">
              <w:rPr>
                <w:rFonts w:ascii="宋体" w:hAnsi="宋体" w:cs="宋体" w:hint="eastAsia"/>
                <w:color w:val="000000" w:themeColor="text1"/>
                <w:kern w:val="0"/>
                <w:szCs w:val="21"/>
              </w:rPr>
              <w:t>本外币存款余额</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4956909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8.9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100" w:firstLine="21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#境内存款</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4955772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8.9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#住户存款</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3742605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11.6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非金融企业存款</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644040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25.5 </w:t>
            </w:r>
          </w:p>
        </w:tc>
      </w:tr>
      <w:tr w:rsidR="002A5B11" w:rsidRPr="00504A0D">
        <w:trPr>
          <w:trHeight w:hRule="exact" w:val="621"/>
        </w:trPr>
        <w:tc>
          <w:tcPr>
            <w:tcW w:w="3945" w:type="dxa"/>
            <w:tcBorders>
              <w:top w:val="nil"/>
              <w:left w:val="nil"/>
              <w:bottom w:val="nil"/>
              <w:right w:val="single" w:sz="4" w:space="0" w:color="auto"/>
            </w:tcBorders>
            <w:shd w:val="clear" w:color="auto" w:fill="auto"/>
            <w:vAlign w:val="center"/>
          </w:tcPr>
          <w:p w:rsidR="002A5B11" w:rsidRPr="00504A0D" w:rsidRDefault="00CB7FD1">
            <w:pPr>
              <w:widowControl/>
              <w:spacing w:line="460" w:lineRule="exact"/>
              <w:ind w:firstLineChars="250" w:firstLine="525"/>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政府存款</w:t>
            </w:r>
          </w:p>
        </w:tc>
        <w:tc>
          <w:tcPr>
            <w:tcW w:w="2145"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567130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-16.7 </w:t>
            </w:r>
          </w:p>
        </w:tc>
      </w:tr>
      <w:tr w:rsidR="002A5B11" w:rsidRPr="00504A0D">
        <w:trPr>
          <w:trHeight w:hRule="exact" w:val="621"/>
        </w:trPr>
        <w:tc>
          <w:tcPr>
            <w:tcW w:w="3945" w:type="dxa"/>
            <w:tcBorders>
              <w:top w:val="nil"/>
              <w:left w:val="nil"/>
              <w:bottom w:val="nil"/>
              <w:right w:val="single" w:sz="4" w:space="0" w:color="auto"/>
            </w:tcBorders>
            <w:shd w:val="clear" w:color="auto" w:fill="auto"/>
            <w:vAlign w:val="center"/>
          </w:tcPr>
          <w:p w:rsidR="002A5B11" w:rsidRPr="00504A0D" w:rsidRDefault="00CB7FD1">
            <w:pPr>
              <w:widowControl/>
              <w:spacing w:line="460" w:lineRule="exact"/>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非银行业金融机构存款</w:t>
            </w:r>
          </w:p>
        </w:tc>
        <w:tc>
          <w:tcPr>
            <w:tcW w:w="2145"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1998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w:t>
            </w:r>
          </w:p>
        </w:tc>
      </w:tr>
      <w:tr w:rsidR="002A5B11" w:rsidRPr="00504A0D">
        <w:trPr>
          <w:trHeight w:hRule="exact" w:val="621"/>
        </w:trPr>
        <w:tc>
          <w:tcPr>
            <w:tcW w:w="3945" w:type="dxa"/>
            <w:tcBorders>
              <w:top w:val="nil"/>
              <w:left w:val="nil"/>
              <w:right w:val="single" w:sz="4" w:space="0" w:color="auto"/>
            </w:tcBorders>
            <w:vAlign w:val="center"/>
          </w:tcPr>
          <w:p w:rsidR="002A5B11" w:rsidRPr="00504A0D" w:rsidRDefault="00CB7FD1">
            <w:pPr>
              <w:widowControl/>
              <w:spacing w:line="460" w:lineRule="exact"/>
              <w:rPr>
                <w:rFonts w:ascii="宋体" w:hAnsi="宋体" w:cs="宋体"/>
                <w:color w:val="000000" w:themeColor="text1"/>
                <w:kern w:val="0"/>
                <w:szCs w:val="21"/>
              </w:rPr>
            </w:pPr>
            <w:r w:rsidRPr="00504A0D">
              <w:rPr>
                <w:rFonts w:ascii="宋体" w:hAnsi="宋体" w:cs="宋体" w:hint="eastAsia"/>
                <w:color w:val="000000" w:themeColor="text1"/>
                <w:kern w:val="0"/>
                <w:szCs w:val="21"/>
              </w:rPr>
              <w:t>本外币贷款余额</w:t>
            </w:r>
          </w:p>
        </w:tc>
        <w:tc>
          <w:tcPr>
            <w:tcW w:w="2145" w:type="dxa"/>
            <w:tcBorders>
              <w:top w:val="nil"/>
              <w:left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4194808 </w:t>
            </w:r>
          </w:p>
        </w:tc>
        <w:tc>
          <w:tcPr>
            <w:tcW w:w="1948" w:type="dxa"/>
            <w:tcBorders>
              <w:top w:val="nil"/>
              <w:left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11.7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100" w:firstLine="21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＃境内贷款</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4194741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11.7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＃住户贷款</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1638139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14.6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after="100" w:afterAutospacing="1" w:line="460" w:lineRule="exact"/>
              <w:ind w:rightChars="-50" w:right="-105" w:firstLineChars="400" w:firstLine="84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#短期</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377892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36.6 </w:t>
            </w:r>
          </w:p>
        </w:tc>
      </w:tr>
      <w:tr w:rsidR="002A5B11" w:rsidRPr="00504A0D">
        <w:trPr>
          <w:trHeight w:hRule="exact" w:val="621"/>
        </w:trPr>
        <w:tc>
          <w:tcPr>
            <w:tcW w:w="3945" w:type="dxa"/>
            <w:tcBorders>
              <w:top w:val="nil"/>
              <w:left w:val="nil"/>
              <w:bottom w:val="nil"/>
              <w:right w:val="single" w:sz="4" w:space="0" w:color="auto"/>
            </w:tcBorders>
            <w:vAlign w:val="center"/>
          </w:tcPr>
          <w:p w:rsidR="002A5B11" w:rsidRPr="00504A0D" w:rsidRDefault="00CB7FD1">
            <w:pPr>
              <w:widowControl/>
              <w:spacing w:line="460" w:lineRule="exact"/>
              <w:ind w:firstLineChars="300" w:firstLine="63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中长期</w:t>
            </w:r>
          </w:p>
        </w:tc>
        <w:tc>
          <w:tcPr>
            <w:tcW w:w="2145"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1260248 </w:t>
            </w:r>
          </w:p>
        </w:tc>
        <w:tc>
          <w:tcPr>
            <w:tcW w:w="1948" w:type="dxa"/>
            <w:tcBorders>
              <w:top w:val="nil"/>
              <w:left w:val="nil"/>
              <w:bottom w:val="nil"/>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9.4 </w:t>
            </w:r>
          </w:p>
        </w:tc>
      </w:tr>
      <w:tr w:rsidR="002A5B11" w:rsidRPr="00504A0D">
        <w:trPr>
          <w:trHeight w:hRule="exact" w:val="621"/>
        </w:trPr>
        <w:tc>
          <w:tcPr>
            <w:tcW w:w="3945" w:type="dxa"/>
            <w:tcBorders>
              <w:top w:val="nil"/>
              <w:left w:val="nil"/>
              <w:bottom w:val="single" w:sz="4" w:space="0" w:color="auto"/>
              <w:right w:val="single" w:sz="4" w:space="0" w:color="auto"/>
            </w:tcBorders>
            <w:vAlign w:val="center"/>
          </w:tcPr>
          <w:p w:rsidR="002A5B11" w:rsidRPr="00504A0D" w:rsidRDefault="00CB7FD1">
            <w:pPr>
              <w:widowControl/>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＃非金融企业及机关团体贷款</w:t>
            </w:r>
          </w:p>
        </w:tc>
        <w:tc>
          <w:tcPr>
            <w:tcW w:w="2145" w:type="dxa"/>
            <w:tcBorders>
              <w:top w:val="nil"/>
              <w:left w:val="nil"/>
              <w:bottom w:val="single" w:sz="4" w:space="0" w:color="auto"/>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2556602 </w:t>
            </w:r>
          </w:p>
        </w:tc>
        <w:tc>
          <w:tcPr>
            <w:tcW w:w="1948" w:type="dxa"/>
            <w:tcBorders>
              <w:top w:val="nil"/>
              <w:left w:val="nil"/>
              <w:bottom w:val="single" w:sz="4" w:space="0" w:color="auto"/>
              <w:right w:val="nil"/>
            </w:tcBorders>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9.9 </w:t>
            </w:r>
          </w:p>
        </w:tc>
      </w:tr>
    </w:tbl>
    <w:p w:rsidR="002A5B11" w:rsidRPr="00504A0D" w:rsidRDefault="00CB7FD1">
      <w:pPr>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全年保险机构实现保费收入90784万元，比上年下降4.7%。</w:t>
      </w:r>
      <w:r w:rsidRPr="00504A0D">
        <w:rPr>
          <w:rFonts w:ascii="宋体" w:hAnsi="宋体" w:cs="宋体"/>
          <w:color w:val="000000" w:themeColor="text1"/>
          <w:kern w:val="0"/>
          <w:szCs w:val="21"/>
        </w:rPr>
        <w:t>其中，财产保险收入</w:t>
      </w:r>
      <w:r w:rsidRPr="00504A0D">
        <w:rPr>
          <w:rFonts w:ascii="宋体" w:hAnsi="宋体" w:cs="宋体" w:hint="eastAsia"/>
          <w:color w:val="000000" w:themeColor="text1"/>
          <w:kern w:val="0"/>
          <w:szCs w:val="21"/>
        </w:rPr>
        <w:t>29124万元，人寿保险收入61659万元。全年赔付各类保险金33689万元。其中，财产保险赔付24754万元，人寿保险赔付8935万元。</w:t>
      </w:r>
    </w:p>
    <w:p w:rsidR="002A5B11" w:rsidRPr="00504A0D" w:rsidRDefault="00CB7FD1">
      <w:pPr>
        <w:pStyle w:val="a7"/>
        <w:spacing w:before="0" w:beforeAutospacing="0" w:after="0" w:afterAutospacing="0" w:line="460" w:lineRule="exact"/>
        <w:ind w:left="44" w:right="44" w:firstLineChars="200" w:firstLine="422"/>
        <w:jc w:val="both"/>
        <w:rPr>
          <w:b/>
          <w:bCs/>
          <w:color w:val="000000" w:themeColor="text1"/>
          <w:sz w:val="21"/>
          <w:szCs w:val="21"/>
        </w:rPr>
      </w:pPr>
      <w:r w:rsidRPr="00504A0D">
        <w:rPr>
          <w:rFonts w:hint="eastAsia"/>
          <w:b/>
          <w:bCs/>
          <w:color w:val="000000" w:themeColor="text1"/>
          <w:sz w:val="21"/>
          <w:szCs w:val="21"/>
        </w:rPr>
        <w:t>九、人民生活和社会保障</w:t>
      </w:r>
    </w:p>
    <w:p w:rsidR="002A5B11" w:rsidRPr="00504A0D" w:rsidRDefault="00CB7FD1">
      <w:pPr>
        <w:pStyle w:val="a7"/>
        <w:spacing w:before="0" w:beforeAutospacing="0" w:after="0" w:afterAutospacing="0" w:line="460" w:lineRule="exact"/>
        <w:ind w:left="44" w:right="44" w:firstLineChars="200" w:firstLine="420"/>
        <w:rPr>
          <w:color w:val="000000" w:themeColor="text1"/>
          <w:sz w:val="21"/>
          <w:szCs w:val="21"/>
        </w:rPr>
      </w:pPr>
      <w:r w:rsidRPr="00504A0D">
        <w:rPr>
          <w:rFonts w:hint="eastAsia"/>
          <w:color w:val="000000" w:themeColor="text1"/>
          <w:sz w:val="21"/>
          <w:szCs w:val="21"/>
        </w:rPr>
        <w:t>居民收入持续增加。全区常住居民人均可支配收入34810元，比上年增长8.9%。</w:t>
      </w:r>
    </w:p>
    <w:p w:rsidR="002A5B11" w:rsidRPr="00504A0D" w:rsidRDefault="002A5B11">
      <w:pPr>
        <w:pStyle w:val="a7"/>
        <w:spacing w:before="0" w:beforeAutospacing="0" w:after="0" w:afterAutospacing="0" w:line="460" w:lineRule="exact"/>
        <w:ind w:left="44" w:right="44" w:firstLineChars="200" w:firstLine="420"/>
        <w:rPr>
          <w:color w:val="000000" w:themeColor="text1"/>
          <w:sz w:val="21"/>
          <w:szCs w:val="21"/>
        </w:rPr>
      </w:pPr>
    </w:p>
    <w:p w:rsidR="002A5B11" w:rsidRPr="00504A0D" w:rsidRDefault="002A5B11">
      <w:pPr>
        <w:pStyle w:val="a7"/>
        <w:spacing w:before="0" w:beforeAutospacing="0" w:after="0" w:afterAutospacing="0" w:line="460" w:lineRule="exact"/>
        <w:ind w:left="44" w:right="44" w:firstLineChars="200" w:firstLine="420"/>
        <w:rPr>
          <w:color w:val="000000" w:themeColor="text1"/>
          <w:sz w:val="21"/>
          <w:szCs w:val="21"/>
        </w:rPr>
      </w:pPr>
    </w:p>
    <w:p w:rsidR="002A5B11" w:rsidRPr="00504A0D" w:rsidRDefault="002A5B11">
      <w:pPr>
        <w:pStyle w:val="a7"/>
        <w:spacing w:before="0" w:beforeAutospacing="0" w:after="0" w:afterAutospacing="0" w:line="460" w:lineRule="exact"/>
        <w:ind w:left="44" w:right="44" w:firstLineChars="200" w:firstLine="420"/>
        <w:rPr>
          <w:color w:val="000000" w:themeColor="text1"/>
          <w:sz w:val="21"/>
          <w:szCs w:val="21"/>
        </w:rPr>
      </w:pPr>
    </w:p>
    <w:p w:rsidR="002A5B11" w:rsidRPr="00504A0D" w:rsidRDefault="002A5B11">
      <w:pPr>
        <w:pStyle w:val="a7"/>
        <w:spacing w:before="0" w:beforeAutospacing="0" w:after="0" w:afterAutospacing="0" w:line="460" w:lineRule="exact"/>
        <w:ind w:left="44" w:right="44" w:firstLineChars="200" w:firstLine="420"/>
        <w:rPr>
          <w:color w:val="000000" w:themeColor="text1"/>
          <w:sz w:val="21"/>
          <w:szCs w:val="21"/>
        </w:rPr>
      </w:pPr>
    </w:p>
    <w:p w:rsidR="002A5B11" w:rsidRPr="00504A0D" w:rsidRDefault="00CB7FD1">
      <w:pPr>
        <w:pStyle w:val="a7"/>
        <w:spacing w:before="0" w:beforeAutospacing="0" w:after="0" w:afterAutospacing="0" w:line="460" w:lineRule="exact"/>
        <w:ind w:right="44"/>
        <w:jc w:val="center"/>
        <w:rPr>
          <w:color w:val="000000" w:themeColor="text1"/>
          <w:sz w:val="21"/>
          <w:szCs w:val="21"/>
        </w:rPr>
      </w:pPr>
      <w:r w:rsidRPr="00504A0D">
        <w:rPr>
          <w:rFonts w:hint="eastAsia"/>
          <w:noProof/>
          <w:color w:val="000000" w:themeColor="text1"/>
          <w:sz w:val="21"/>
          <w:szCs w:val="21"/>
        </w:rPr>
        <w:lastRenderedPageBreak/>
        <w:drawing>
          <wp:anchor distT="0" distB="0" distL="114300" distR="114300" simplePos="0" relativeHeight="251663360" behindDoc="0" locked="0" layoutInCell="1" allowOverlap="1">
            <wp:simplePos x="0" y="0"/>
            <wp:positionH relativeFrom="column">
              <wp:posOffset>88265</wp:posOffset>
            </wp:positionH>
            <wp:positionV relativeFrom="paragraph">
              <wp:posOffset>257810</wp:posOffset>
            </wp:positionV>
            <wp:extent cx="5380355" cy="3504565"/>
            <wp:effectExtent l="4445" t="4445" r="6350" b="15240"/>
            <wp:wrapTopAndBottom/>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2A5B11" w:rsidRPr="00504A0D" w:rsidRDefault="00CB7FD1">
      <w:pPr>
        <w:pStyle w:val="a7"/>
        <w:spacing w:before="0" w:beforeAutospacing="0" w:after="0" w:afterAutospacing="0" w:line="460" w:lineRule="exact"/>
        <w:ind w:left="44" w:right="44" w:firstLineChars="200" w:firstLine="420"/>
        <w:jc w:val="both"/>
        <w:rPr>
          <w:color w:val="000000" w:themeColor="text1"/>
          <w:sz w:val="21"/>
          <w:szCs w:val="21"/>
        </w:rPr>
      </w:pPr>
      <w:r w:rsidRPr="00504A0D">
        <w:rPr>
          <w:rFonts w:hint="eastAsia"/>
          <w:color w:val="000000" w:themeColor="text1"/>
          <w:sz w:val="21"/>
          <w:szCs w:val="21"/>
        </w:rPr>
        <w:t>城镇常住居民人均可支配收入43850元，比上年增长8.3%。其中，人均工资性收入26004元，增长8.4%；人均经营净收入4909元，增长8.5%；人均财产净收入2954元，增长8.3%；人均转移净收入9982元，增长7.9%。城镇居民恩格尔系数31.05%，比上年下降0.25个百分点。城镇居民人均住房面积44.30平方米，比上年增长0.1%。</w:t>
      </w:r>
    </w:p>
    <w:p w:rsidR="002A5B11" w:rsidRPr="00504A0D" w:rsidRDefault="00CB7FD1">
      <w:pPr>
        <w:pStyle w:val="a7"/>
        <w:spacing w:before="0" w:beforeAutospacing="0" w:after="0" w:afterAutospacing="0" w:line="460" w:lineRule="exact"/>
        <w:ind w:left="44" w:right="44" w:firstLineChars="200" w:firstLine="420"/>
        <w:jc w:val="both"/>
        <w:rPr>
          <w:color w:val="000000" w:themeColor="text1"/>
          <w:sz w:val="21"/>
          <w:szCs w:val="21"/>
        </w:rPr>
      </w:pPr>
      <w:r w:rsidRPr="00504A0D">
        <w:rPr>
          <w:rFonts w:hint="eastAsia"/>
          <w:color w:val="000000" w:themeColor="text1"/>
          <w:sz w:val="21"/>
          <w:szCs w:val="21"/>
        </w:rPr>
        <w:t>农村常住居民人均可支配收入22138元，增长10.5%。其中，人均工资性收入7630元，增长10.0%；人均经营净收入7706元，增长12.0%；人均财产净收入301元，增长11.2%；人均转移净收入6501元，增长9.4％。农村常住居民人均生活消费支出15652元，增长23.0%；其中，衣着1007元，增长26.8%；居住2651元，增长24.0%；生活用品及服务1370元，增长24.1%；交通通信1783元，增长23.0%；教育文化娱乐1517元，增长26.4%；医疗保健1179元，增长14.3%。农村居民恩格尔系数38.13%，比上年下降0.10个百分点。农村居民人均住房面积45.30平方米，比上年增加2.1%。</w:t>
      </w:r>
    </w:p>
    <w:p w:rsidR="002A5B11" w:rsidRPr="00504A0D" w:rsidRDefault="002A5B11">
      <w:pPr>
        <w:spacing w:line="460" w:lineRule="exact"/>
        <w:ind w:firstLineChars="200" w:firstLine="420"/>
        <w:jc w:val="center"/>
        <w:rPr>
          <w:rFonts w:ascii="宋体" w:hAnsi="宋体" w:cs="宋体"/>
          <w:color w:val="000000" w:themeColor="text1"/>
          <w:kern w:val="0"/>
          <w:szCs w:val="21"/>
        </w:rPr>
      </w:pPr>
    </w:p>
    <w:p w:rsidR="002A5B11" w:rsidRPr="00504A0D" w:rsidRDefault="002A5B11">
      <w:pPr>
        <w:spacing w:line="460" w:lineRule="exact"/>
        <w:ind w:firstLineChars="200" w:firstLine="420"/>
        <w:jc w:val="center"/>
        <w:rPr>
          <w:rFonts w:ascii="宋体" w:hAnsi="宋体" w:cs="宋体"/>
          <w:color w:val="000000" w:themeColor="text1"/>
          <w:kern w:val="0"/>
          <w:szCs w:val="21"/>
        </w:rPr>
      </w:pPr>
    </w:p>
    <w:p w:rsidR="002A5B11" w:rsidRPr="00504A0D" w:rsidRDefault="002A5B11">
      <w:pPr>
        <w:spacing w:line="460" w:lineRule="exact"/>
        <w:ind w:firstLineChars="200" w:firstLine="420"/>
        <w:jc w:val="center"/>
        <w:rPr>
          <w:rFonts w:ascii="宋体" w:hAnsi="宋体" w:cs="宋体"/>
          <w:color w:val="000000" w:themeColor="text1"/>
          <w:kern w:val="0"/>
          <w:szCs w:val="21"/>
        </w:rPr>
      </w:pPr>
    </w:p>
    <w:p w:rsidR="002A5B11" w:rsidRPr="00504A0D" w:rsidRDefault="002A5B11">
      <w:pPr>
        <w:spacing w:line="460" w:lineRule="exact"/>
        <w:ind w:firstLineChars="200" w:firstLine="420"/>
        <w:jc w:val="center"/>
        <w:rPr>
          <w:rFonts w:ascii="宋体" w:hAnsi="宋体" w:cs="宋体"/>
          <w:color w:val="000000" w:themeColor="text1"/>
          <w:kern w:val="0"/>
          <w:szCs w:val="21"/>
        </w:rPr>
      </w:pPr>
    </w:p>
    <w:p w:rsidR="002A5B11" w:rsidRPr="00504A0D" w:rsidRDefault="00CB7FD1">
      <w:pPr>
        <w:spacing w:line="460" w:lineRule="exact"/>
        <w:ind w:firstLineChars="200" w:firstLine="422"/>
        <w:jc w:val="center"/>
        <w:rPr>
          <w:rFonts w:ascii="宋体" w:hAnsi="宋体" w:cs="宋体"/>
          <w:b/>
          <w:bCs/>
          <w:color w:val="000000" w:themeColor="text1"/>
          <w:kern w:val="0"/>
          <w:szCs w:val="21"/>
        </w:rPr>
      </w:pPr>
      <w:r w:rsidRPr="00504A0D">
        <w:rPr>
          <w:rFonts w:ascii="宋体" w:hAnsi="宋体" w:cs="宋体" w:hint="eastAsia"/>
          <w:b/>
          <w:bCs/>
          <w:color w:val="000000" w:themeColor="text1"/>
          <w:kern w:val="0"/>
          <w:szCs w:val="21"/>
        </w:rPr>
        <w:lastRenderedPageBreak/>
        <w:t>表7  2021年常住居民人均可支配收入</w:t>
      </w:r>
    </w:p>
    <w:tbl>
      <w:tblPr>
        <w:tblW w:w="8140" w:type="dxa"/>
        <w:jc w:val="center"/>
        <w:tblLayout w:type="fixed"/>
        <w:tblCellMar>
          <w:top w:w="15" w:type="dxa"/>
          <w:left w:w="15" w:type="dxa"/>
          <w:bottom w:w="15" w:type="dxa"/>
          <w:right w:w="15" w:type="dxa"/>
        </w:tblCellMar>
        <w:tblLook w:val="04A0"/>
      </w:tblPr>
      <w:tblGrid>
        <w:gridCol w:w="1890"/>
        <w:gridCol w:w="985"/>
        <w:gridCol w:w="1087"/>
        <w:gridCol w:w="985"/>
        <w:gridCol w:w="1118"/>
        <w:gridCol w:w="985"/>
        <w:gridCol w:w="1090"/>
      </w:tblGrid>
      <w:tr w:rsidR="002A5B11" w:rsidRPr="00504A0D">
        <w:trPr>
          <w:trHeight w:val="555"/>
          <w:jc w:val="center"/>
        </w:trPr>
        <w:tc>
          <w:tcPr>
            <w:tcW w:w="1890" w:type="dxa"/>
            <w:vMerge w:val="restart"/>
            <w:tcBorders>
              <w:top w:val="single" w:sz="4" w:space="0" w:color="000000"/>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指标</w:t>
            </w:r>
          </w:p>
        </w:tc>
        <w:tc>
          <w:tcPr>
            <w:tcW w:w="2072" w:type="dxa"/>
            <w:gridSpan w:val="2"/>
            <w:tcBorders>
              <w:top w:val="single" w:sz="4" w:space="0" w:color="000000"/>
              <w:left w:val="single" w:sz="4" w:space="0" w:color="000000"/>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全区常住居民 </w:t>
            </w:r>
          </w:p>
        </w:tc>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城镇常住居民</w:t>
            </w:r>
          </w:p>
        </w:tc>
        <w:tc>
          <w:tcPr>
            <w:tcW w:w="2075" w:type="dxa"/>
            <w:gridSpan w:val="2"/>
            <w:tcBorders>
              <w:top w:val="single" w:sz="4" w:space="0" w:color="000000"/>
              <w:left w:val="single" w:sz="4" w:space="0" w:color="000000"/>
              <w:bottom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农村常住居民 </w:t>
            </w:r>
          </w:p>
        </w:tc>
      </w:tr>
      <w:tr w:rsidR="002A5B11" w:rsidRPr="00504A0D">
        <w:trPr>
          <w:trHeight w:val="936"/>
          <w:jc w:val="center"/>
        </w:trPr>
        <w:tc>
          <w:tcPr>
            <w:tcW w:w="1890" w:type="dxa"/>
            <w:vMerge/>
            <w:tcBorders>
              <w:top w:val="single" w:sz="4" w:space="0" w:color="000000"/>
              <w:bottom w:val="single" w:sz="4" w:space="0" w:color="000000"/>
              <w:right w:val="single" w:sz="4" w:space="0" w:color="000000"/>
            </w:tcBorders>
            <w:vAlign w:val="center"/>
          </w:tcPr>
          <w:p w:rsidR="002A5B11" w:rsidRPr="00504A0D" w:rsidRDefault="002A5B11">
            <w:pPr>
              <w:spacing w:line="460" w:lineRule="exact"/>
              <w:jc w:val="center"/>
              <w:rPr>
                <w:rFonts w:ascii="宋体" w:hAnsi="宋体" w:cs="宋体"/>
                <w:color w:val="000000" w:themeColor="text1"/>
                <w:kern w:val="0"/>
                <w:szCs w:val="21"/>
              </w:rPr>
            </w:pPr>
          </w:p>
        </w:tc>
        <w:tc>
          <w:tcPr>
            <w:tcW w:w="985" w:type="dxa"/>
            <w:tcBorders>
              <w:top w:val="single" w:sz="4" w:space="0" w:color="000000"/>
              <w:left w:val="single" w:sz="4" w:space="0" w:color="000000"/>
              <w:bottom w:val="single" w:sz="4" w:space="0" w:color="auto"/>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绝对量（元）</w:t>
            </w:r>
          </w:p>
        </w:tc>
        <w:tc>
          <w:tcPr>
            <w:tcW w:w="1087" w:type="dxa"/>
            <w:tcBorders>
              <w:top w:val="single" w:sz="4" w:space="0" w:color="000000"/>
              <w:left w:val="single" w:sz="4" w:space="0" w:color="000000"/>
              <w:bottom w:val="single" w:sz="4" w:space="0" w:color="auto"/>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c>
          <w:tcPr>
            <w:tcW w:w="985" w:type="dxa"/>
            <w:tcBorders>
              <w:top w:val="single" w:sz="4" w:space="0" w:color="000000"/>
              <w:left w:val="single" w:sz="4" w:space="0" w:color="000000"/>
              <w:bottom w:val="single" w:sz="4" w:space="0" w:color="auto"/>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绝对量（元）</w:t>
            </w:r>
          </w:p>
        </w:tc>
        <w:tc>
          <w:tcPr>
            <w:tcW w:w="1118" w:type="dxa"/>
            <w:tcBorders>
              <w:top w:val="single" w:sz="4" w:space="0" w:color="000000"/>
              <w:left w:val="single" w:sz="4" w:space="0" w:color="000000"/>
              <w:bottom w:val="single" w:sz="4" w:space="0" w:color="auto"/>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c>
          <w:tcPr>
            <w:tcW w:w="985" w:type="dxa"/>
            <w:tcBorders>
              <w:top w:val="single" w:sz="4" w:space="0" w:color="000000"/>
              <w:left w:val="single" w:sz="4" w:space="0" w:color="000000"/>
              <w:bottom w:val="single" w:sz="4" w:space="0" w:color="auto"/>
              <w:right w:val="single" w:sz="4" w:space="0" w:color="000000"/>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绝对量（元）</w:t>
            </w:r>
          </w:p>
        </w:tc>
        <w:tc>
          <w:tcPr>
            <w:tcW w:w="1090" w:type="dxa"/>
            <w:tcBorders>
              <w:top w:val="single" w:sz="4" w:space="0" w:color="000000"/>
              <w:left w:val="single" w:sz="4" w:space="0" w:color="000000"/>
              <w:bottom w:val="single" w:sz="4" w:space="0" w:color="auto"/>
            </w:tcBorders>
            <w:vAlign w:val="center"/>
          </w:tcPr>
          <w:p w:rsidR="002A5B11" w:rsidRPr="00504A0D" w:rsidRDefault="00CB7FD1">
            <w:pPr>
              <w:widowControl/>
              <w:spacing w:line="460" w:lineRule="exact"/>
              <w:jc w:val="center"/>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比上年增长（%）</w:t>
            </w:r>
          </w:p>
        </w:tc>
      </w:tr>
      <w:tr w:rsidR="002A5B11" w:rsidRPr="00504A0D">
        <w:trPr>
          <w:trHeight w:val="555"/>
          <w:jc w:val="center"/>
        </w:trPr>
        <w:tc>
          <w:tcPr>
            <w:tcW w:w="1890" w:type="dxa"/>
            <w:tcBorders>
              <w:bottom w:val="single" w:sz="4" w:space="0" w:color="000000"/>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人均可支配收入</w:t>
            </w:r>
          </w:p>
        </w:tc>
        <w:tc>
          <w:tcPr>
            <w:tcW w:w="985" w:type="dxa"/>
            <w:tcBorders>
              <w:top w:val="single" w:sz="4" w:space="0" w:color="auto"/>
              <w:left w:val="single" w:sz="4" w:space="0" w:color="auto"/>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34810</w:t>
            </w:r>
          </w:p>
        </w:tc>
        <w:tc>
          <w:tcPr>
            <w:tcW w:w="1087" w:type="dxa"/>
            <w:tcBorders>
              <w:top w:val="single" w:sz="4" w:space="0" w:color="auto"/>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8.9</w:t>
            </w:r>
          </w:p>
        </w:tc>
        <w:tc>
          <w:tcPr>
            <w:tcW w:w="985" w:type="dxa"/>
            <w:tcBorders>
              <w:top w:val="single" w:sz="4" w:space="0" w:color="auto"/>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43850</w:t>
            </w:r>
          </w:p>
        </w:tc>
        <w:tc>
          <w:tcPr>
            <w:tcW w:w="1118" w:type="dxa"/>
            <w:tcBorders>
              <w:top w:val="single" w:sz="4" w:space="0" w:color="auto"/>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8.3</w:t>
            </w:r>
          </w:p>
        </w:tc>
        <w:tc>
          <w:tcPr>
            <w:tcW w:w="985" w:type="dxa"/>
            <w:tcBorders>
              <w:top w:val="single" w:sz="4" w:space="0" w:color="auto"/>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22138</w:t>
            </w:r>
          </w:p>
        </w:tc>
        <w:tc>
          <w:tcPr>
            <w:tcW w:w="1090" w:type="dxa"/>
            <w:tcBorders>
              <w:top w:val="single" w:sz="4" w:space="0" w:color="auto"/>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10.5</w:t>
            </w:r>
          </w:p>
        </w:tc>
      </w:tr>
      <w:tr w:rsidR="002A5B11" w:rsidRPr="00504A0D">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#工资性收入</w:t>
            </w:r>
          </w:p>
        </w:tc>
        <w:tc>
          <w:tcPr>
            <w:tcW w:w="985" w:type="dxa"/>
            <w:tcBorders>
              <w:top w:val="nil"/>
              <w:left w:val="single" w:sz="4" w:space="0" w:color="auto"/>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18354</w:t>
            </w:r>
          </w:p>
        </w:tc>
        <w:tc>
          <w:tcPr>
            <w:tcW w:w="1087"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8.7</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26004</w:t>
            </w:r>
          </w:p>
        </w:tc>
        <w:tc>
          <w:tcPr>
            <w:tcW w:w="1118"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8.4</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7630</w:t>
            </w:r>
          </w:p>
        </w:tc>
        <w:tc>
          <w:tcPr>
            <w:tcW w:w="1090"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10.0</w:t>
            </w:r>
          </w:p>
        </w:tc>
      </w:tr>
      <w:tr w:rsidR="002A5B11" w:rsidRPr="00504A0D">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2A5B11" w:rsidRPr="00504A0D" w:rsidRDefault="00CB7FD1">
            <w:pPr>
              <w:widowControl/>
              <w:spacing w:line="460" w:lineRule="exac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经营净收入</w:t>
            </w:r>
          </w:p>
        </w:tc>
        <w:tc>
          <w:tcPr>
            <w:tcW w:w="985" w:type="dxa"/>
            <w:tcBorders>
              <w:top w:val="nil"/>
              <w:left w:val="single" w:sz="4" w:space="0" w:color="auto"/>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6074</w:t>
            </w:r>
          </w:p>
        </w:tc>
        <w:tc>
          <w:tcPr>
            <w:tcW w:w="1087"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10.3</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4909</w:t>
            </w:r>
          </w:p>
        </w:tc>
        <w:tc>
          <w:tcPr>
            <w:tcW w:w="1118"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8.5</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7706</w:t>
            </w:r>
          </w:p>
        </w:tc>
        <w:tc>
          <w:tcPr>
            <w:tcW w:w="1090"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12.0</w:t>
            </w:r>
          </w:p>
        </w:tc>
      </w:tr>
      <w:tr w:rsidR="002A5B11" w:rsidRPr="00504A0D">
        <w:trPr>
          <w:trHeight w:val="555"/>
          <w:jc w:val="center"/>
        </w:trPr>
        <w:tc>
          <w:tcPr>
            <w:tcW w:w="1890" w:type="dxa"/>
            <w:tcBorders>
              <w:top w:val="single" w:sz="4" w:space="0" w:color="000000"/>
              <w:bottom w:val="single" w:sz="4" w:space="0" w:color="000000"/>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财产净收入</w:t>
            </w:r>
          </w:p>
        </w:tc>
        <w:tc>
          <w:tcPr>
            <w:tcW w:w="985" w:type="dxa"/>
            <w:tcBorders>
              <w:top w:val="nil"/>
              <w:left w:val="single" w:sz="4" w:space="0" w:color="auto"/>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1850</w:t>
            </w:r>
          </w:p>
        </w:tc>
        <w:tc>
          <w:tcPr>
            <w:tcW w:w="1087"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8.4</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2954</w:t>
            </w:r>
          </w:p>
        </w:tc>
        <w:tc>
          <w:tcPr>
            <w:tcW w:w="1118"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8.3</w:t>
            </w:r>
          </w:p>
        </w:tc>
        <w:tc>
          <w:tcPr>
            <w:tcW w:w="985" w:type="dxa"/>
            <w:tcBorders>
              <w:top w:val="nil"/>
              <w:left w:val="nil"/>
              <w:bottom w:val="nil"/>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301</w:t>
            </w:r>
          </w:p>
        </w:tc>
        <w:tc>
          <w:tcPr>
            <w:tcW w:w="1090" w:type="dxa"/>
            <w:tcBorders>
              <w:top w:val="nil"/>
              <w:left w:val="nil"/>
              <w:bottom w:val="nil"/>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11.2</w:t>
            </w:r>
          </w:p>
        </w:tc>
      </w:tr>
      <w:tr w:rsidR="002A5B11" w:rsidRPr="00504A0D">
        <w:trPr>
          <w:trHeight w:val="582"/>
          <w:jc w:val="center"/>
        </w:trPr>
        <w:tc>
          <w:tcPr>
            <w:tcW w:w="1890" w:type="dxa"/>
            <w:tcBorders>
              <w:top w:val="single" w:sz="4" w:space="0" w:color="000000"/>
              <w:bottom w:val="single" w:sz="4" w:space="0" w:color="000000"/>
              <w:right w:val="single" w:sz="4" w:space="0" w:color="auto"/>
            </w:tcBorders>
            <w:shd w:val="clear" w:color="auto" w:fill="auto"/>
            <w:vAlign w:val="center"/>
          </w:tcPr>
          <w:p w:rsidR="002A5B11" w:rsidRPr="00504A0D" w:rsidRDefault="00CB7FD1">
            <w:pPr>
              <w:widowControl/>
              <w:spacing w:line="460" w:lineRule="exact"/>
              <w:jc w:val="lef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 xml:space="preserve">   转移净收入</w:t>
            </w:r>
          </w:p>
        </w:tc>
        <w:tc>
          <w:tcPr>
            <w:tcW w:w="985" w:type="dxa"/>
            <w:tcBorders>
              <w:top w:val="nil"/>
              <w:left w:val="single" w:sz="4" w:space="0" w:color="auto"/>
              <w:bottom w:val="single" w:sz="4" w:space="0" w:color="auto"/>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8533</w:t>
            </w:r>
          </w:p>
        </w:tc>
        <w:tc>
          <w:tcPr>
            <w:tcW w:w="1087" w:type="dxa"/>
            <w:tcBorders>
              <w:top w:val="nil"/>
              <w:left w:val="nil"/>
              <w:bottom w:val="single" w:sz="4" w:space="0" w:color="auto"/>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8.3</w:t>
            </w:r>
          </w:p>
        </w:tc>
        <w:tc>
          <w:tcPr>
            <w:tcW w:w="985" w:type="dxa"/>
            <w:tcBorders>
              <w:top w:val="nil"/>
              <w:left w:val="nil"/>
              <w:bottom w:val="single" w:sz="4" w:space="0" w:color="auto"/>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9982</w:t>
            </w:r>
          </w:p>
        </w:tc>
        <w:tc>
          <w:tcPr>
            <w:tcW w:w="1118" w:type="dxa"/>
            <w:tcBorders>
              <w:top w:val="nil"/>
              <w:left w:val="nil"/>
              <w:bottom w:val="single" w:sz="4" w:space="0" w:color="auto"/>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7.9</w:t>
            </w:r>
          </w:p>
        </w:tc>
        <w:tc>
          <w:tcPr>
            <w:tcW w:w="985" w:type="dxa"/>
            <w:tcBorders>
              <w:top w:val="nil"/>
              <w:left w:val="nil"/>
              <w:bottom w:val="single" w:sz="4" w:space="0" w:color="auto"/>
              <w:right w:val="nil"/>
            </w:tcBorders>
            <w:shd w:val="clear" w:color="auto" w:fill="auto"/>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6501</w:t>
            </w:r>
          </w:p>
        </w:tc>
        <w:tc>
          <w:tcPr>
            <w:tcW w:w="1090" w:type="dxa"/>
            <w:tcBorders>
              <w:top w:val="nil"/>
              <w:left w:val="nil"/>
              <w:bottom w:val="single" w:sz="4" w:space="0" w:color="auto"/>
              <w:right w:val="nil"/>
            </w:tcBorders>
            <w:shd w:val="clear" w:color="auto" w:fill="FFFFFF"/>
            <w:vAlign w:val="center"/>
          </w:tcPr>
          <w:p w:rsidR="002A5B11" w:rsidRPr="00504A0D" w:rsidRDefault="00CB7FD1">
            <w:pPr>
              <w:widowControl/>
              <w:spacing w:line="460" w:lineRule="exact"/>
              <w:jc w:val="right"/>
              <w:textAlignment w:val="center"/>
              <w:rPr>
                <w:rFonts w:ascii="宋体" w:hAnsi="宋体" w:cs="宋体"/>
                <w:color w:val="000000" w:themeColor="text1"/>
                <w:kern w:val="0"/>
                <w:szCs w:val="21"/>
              </w:rPr>
            </w:pPr>
            <w:r w:rsidRPr="00504A0D">
              <w:rPr>
                <w:rFonts w:ascii="宋体" w:hAnsi="宋体" w:cs="宋体" w:hint="eastAsia"/>
                <w:color w:val="000000" w:themeColor="text1"/>
                <w:kern w:val="0"/>
                <w:szCs w:val="21"/>
              </w:rPr>
              <w:t>9.4</w:t>
            </w:r>
          </w:p>
        </w:tc>
      </w:tr>
    </w:tbl>
    <w:p w:rsidR="002A5B11" w:rsidRPr="00504A0D" w:rsidRDefault="00CB7FD1">
      <w:pPr>
        <w:pStyle w:val="a7"/>
        <w:tabs>
          <w:tab w:val="left" w:pos="1081"/>
        </w:tabs>
        <w:spacing w:before="0" w:beforeAutospacing="0" w:after="0" w:afterAutospacing="0" w:line="460" w:lineRule="exact"/>
        <w:ind w:right="44" w:firstLineChars="200" w:firstLine="420"/>
        <w:jc w:val="both"/>
        <w:rPr>
          <w:color w:val="000000" w:themeColor="text1"/>
          <w:sz w:val="21"/>
          <w:szCs w:val="21"/>
        </w:rPr>
      </w:pPr>
      <w:r w:rsidRPr="00504A0D">
        <w:rPr>
          <w:rFonts w:hint="eastAsia"/>
          <w:color w:val="000000" w:themeColor="text1"/>
          <w:sz w:val="21"/>
          <w:szCs w:val="21"/>
        </w:rPr>
        <w:t>社会保障建设稳步推进。全区城镇企业职工基本养老保险参保人数为141198人，比上年下降2.9%。参加城乡居民社会养老保险人数34.07万人，下降2.1%。城镇职工基本医疗保险参保人数127883人，增长8.5%；城乡居民合作医疗保险参保人数636003人，下降3.0%，全年城乡居民合作医疗基金总支出46701万元，下降19.6%。工伤保险参保人数140116人，下降5.0％。失业保险参保人数76604人，增长20.4%。</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年末全区有9703户共16076人享受城乡居民最低生活保障。其中，城镇居民享受最低生活保障3933户共6027人，比上年减少296人；农村居民享受最低生活保障5770户共10049人，比上年减少512人。全年共救助城乡低保对象16076人，发放低保金9096.94万元，其中城镇低保发放3830.75万元，农村低保发放5266.19万元。农村特困人员救助供养人数5089人。</w:t>
      </w:r>
    </w:p>
    <w:p w:rsidR="002A5B11" w:rsidRPr="00504A0D" w:rsidRDefault="00CB7FD1">
      <w:pPr>
        <w:pStyle w:val="a7"/>
        <w:spacing w:before="0" w:beforeAutospacing="0" w:after="0" w:afterAutospacing="0" w:line="460" w:lineRule="exact"/>
        <w:ind w:left="45" w:right="45" w:firstLineChars="200" w:firstLine="420"/>
        <w:rPr>
          <w:color w:val="000000" w:themeColor="text1"/>
          <w:sz w:val="21"/>
          <w:szCs w:val="21"/>
        </w:rPr>
      </w:pPr>
      <w:r w:rsidRPr="00504A0D">
        <w:rPr>
          <w:rFonts w:hint="eastAsia"/>
          <w:color w:val="000000" w:themeColor="text1"/>
          <w:sz w:val="21"/>
          <w:szCs w:val="21"/>
        </w:rPr>
        <w:t>城市居民最低生活保障标准为636元/月，比上年增长2.6%；农村居民最低生活保障标准为515元/月，增长3.8%。</w:t>
      </w:r>
    </w:p>
    <w:p w:rsidR="002A5B11" w:rsidRPr="00504A0D" w:rsidRDefault="00CB7FD1">
      <w:pPr>
        <w:pStyle w:val="a7"/>
        <w:spacing w:before="0" w:beforeAutospacing="0" w:after="0" w:afterAutospacing="0" w:line="460" w:lineRule="exact"/>
        <w:ind w:left="44" w:right="44" w:firstLineChars="200" w:firstLine="422"/>
        <w:jc w:val="both"/>
        <w:rPr>
          <w:b/>
          <w:bCs/>
          <w:color w:val="000000" w:themeColor="text1"/>
          <w:sz w:val="21"/>
          <w:szCs w:val="21"/>
        </w:rPr>
      </w:pPr>
      <w:r w:rsidRPr="00504A0D">
        <w:rPr>
          <w:rFonts w:hint="eastAsia"/>
          <w:b/>
          <w:bCs/>
          <w:color w:val="000000" w:themeColor="text1"/>
          <w:sz w:val="21"/>
          <w:szCs w:val="21"/>
        </w:rPr>
        <w:t>十、教育和科学技术</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全区共有区属各类学校287所。其中，普通中学 20所（含4所高完中），小学 120所，幼儿园144所，特殊学校１所，职业高中1所，教师进修学校1所。普通初中招生8212人，在校生26044人，毕业生8620人；普通高中招生4791人，在校生14245人，毕业生4531人；小学招生6422人，在校生42010人，毕业生8318人；中等职业学校招生2407人，在校生6151人，毕业生1749人；学前教育招生6631人，在校生20501人，毕业生7051人；特殊学校招生13人，在校生190人，毕业生9人。2021年全年全区初中入学率为100%，小学的入学率为100%。</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lastRenderedPageBreak/>
        <w:t>年末有效期内高新技术企业123家。全年获得专利授权1231件，比上年增长28.8%。</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全区共有中国驰名商标3件；地理标志量7件。</w:t>
      </w:r>
    </w:p>
    <w:p w:rsidR="002A5B11" w:rsidRPr="00504A0D" w:rsidRDefault="00CB7FD1">
      <w:pPr>
        <w:pStyle w:val="a7"/>
        <w:spacing w:before="0" w:beforeAutospacing="0" w:after="0" w:afterAutospacing="0" w:line="460" w:lineRule="exact"/>
        <w:ind w:left="44" w:right="44" w:firstLineChars="200" w:firstLine="422"/>
        <w:jc w:val="both"/>
        <w:rPr>
          <w:b/>
          <w:bCs/>
          <w:color w:val="000000" w:themeColor="text1"/>
          <w:sz w:val="21"/>
          <w:szCs w:val="21"/>
        </w:rPr>
      </w:pPr>
      <w:r w:rsidRPr="00504A0D">
        <w:rPr>
          <w:rFonts w:hint="eastAsia"/>
          <w:b/>
          <w:bCs/>
          <w:color w:val="000000" w:themeColor="text1"/>
          <w:sz w:val="21"/>
          <w:szCs w:val="21"/>
        </w:rPr>
        <w:t>十一、文化旅游和卫生健康</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全区共有文化馆1个，图书馆1个，剧场、影剧院5个，体育场馆3153个。有线电视用户13.6万户。全年共出版发行期刊61.73万份，出版发行报纸668万份。</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全年接待游客人数1108万人次，比上年增长35.5%；实现旅游总收入55.40亿元，增长30.7％。年末全区拥有A级旅游景区3个，其中4A级景区1个，3A级景区2个。</w:t>
      </w:r>
    </w:p>
    <w:p w:rsidR="002A5B11" w:rsidRPr="00504A0D" w:rsidRDefault="00CB7FD1">
      <w:pPr>
        <w:pStyle w:val="a7"/>
        <w:spacing w:before="0" w:beforeAutospacing="0" w:after="0" w:afterAutospacing="0" w:line="460" w:lineRule="exact"/>
        <w:ind w:left="45" w:right="45" w:firstLineChars="200" w:firstLine="420"/>
        <w:jc w:val="both"/>
        <w:rPr>
          <w:color w:val="000000" w:themeColor="text1"/>
          <w:sz w:val="21"/>
          <w:szCs w:val="21"/>
        </w:rPr>
      </w:pPr>
      <w:r w:rsidRPr="00504A0D">
        <w:rPr>
          <w:rFonts w:hint="eastAsia"/>
          <w:color w:val="000000" w:themeColor="text1"/>
          <w:sz w:val="21"/>
          <w:szCs w:val="21"/>
        </w:rPr>
        <w:t>年末全区共有各级各类医疗卫生机构431个（含村卫生室），其中，医院14个，乡镇卫生院15个，社区卫生服务中心7个，诊所（卫生所、医务室）149个，村卫生室241个，专业公共卫生机构4个，卫生健康培训学校1所。共有医疗卫生机构实有床位数4621张。全区共有卫生技术人员5182人，其中执业医师和执业助理医师2060人，注册护士2366人。</w:t>
      </w:r>
    </w:p>
    <w:p w:rsidR="002A5B11" w:rsidRPr="00504A0D" w:rsidRDefault="00CB7FD1">
      <w:pPr>
        <w:pStyle w:val="a7"/>
        <w:spacing w:before="0" w:beforeAutospacing="0" w:after="0" w:afterAutospacing="0" w:line="460" w:lineRule="exact"/>
        <w:ind w:left="44" w:right="44" w:firstLineChars="200" w:firstLine="422"/>
        <w:jc w:val="both"/>
        <w:rPr>
          <w:b/>
          <w:bCs/>
          <w:color w:val="000000" w:themeColor="text1"/>
          <w:sz w:val="21"/>
          <w:szCs w:val="21"/>
        </w:rPr>
      </w:pPr>
      <w:r w:rsidRPr="00504A0D">
        <w:rPr>
          <w:rFonts w:hint="eastAsia"/>
          <w:b/>
          <w:bCs/>
          <w:color w:val="000000" w:themeColor="text1"/>
          <w:sz w:val="21"/>
          <w:szCs w:val="21"/>
        </w:rPr>
        <w:t>十二、资源、环境和应急管理</w:t>
      </w:r>
    </w:p>
    <w:p w:rsidR="002A5B11" w:rsidRPr="00504A0D" w:rsidRDefault="00CB7FD1">
      <w:pPr>
        <w:pStyle w:val="a7"/>
        <w:spacing w:before="0" w:beforeAutospacing="0" w:after="0" w:afterAutospacing="0" w:line="460" w:lineRule="exact"/>
        <w:ind w:left="44" w:right="44" w:firstLineChars="200" w:firstLine="420"/>
        <w:jc w:val="both"/>
        <w:rPr>
          <w:color w:val="000000" w:themeColor="text1"/>
          <w:sz w:val="21"/>
          <w:szCs w:val="21"/>
        </w:rPr>
      </w:pPr>
      <w:r w:rsidRPr="00504A0D">
        <w:rPr>
          <w:rFonts w:hint="eastAsia"/>
          <w:color w:val="000000" w:themeColor="text1"/>
          <w:sz w:val="21"/>
          <w:szCs w:val="21"/>
        </w:rPr>
        <w:t>全年全区全社会用电量16.46亿千瓦时，比上年增长20.1%。其中，城乡居民生活用电4.98亿千瓦时，增长10.9%；工业用电量8.59亿千瓦时，增长26.5%。</w:t>
      </w:r>
    </w:p>
    <w:p w:rsidR="002A5B11" w:rsidRPr="00504A0D" w:rsidRDefault="00CB7FD1">
      <w:pPr>
        <w:pStyle w:val="a7"/>
        <w:spacing w:before="0" w:beforeAutospacing="0" w:after="0" w:afterAutospacing="0" w:line="460" w:lineRule="exact"/>
        <w:ind w:left="44" w:right="44" w:firstLineChars="200" w:firstLine="420"/>
        <w:jc w:val="both"/>
        <w:rPr>
          <w:color w:val="000000" w:themeColor="text1"/>
          <w:sz w:val="21"/>
          <w:szCs w:val="21"/>
        </w:rPr>
      </w:pPr>
      <w:r w:rsidRPr="00504A0D">
        <w:rPr>
          <w:rFonts w:hint="eastAsia"/>
          <w:color w:val="000000" w:themeColor="text1"/>
          <w:sz w:val="21"/>
          <w:szCs w:val="21"/>
        </w:rPr>
        <w:t>全年水资源总量4.2487亿立方米。当年降水量10.8534亿立方米。全年总用水量1.1393亿立方米。</w:t>
      </w:r>
    </w:p>
    <w:p w:rsidR="002A5B11" w:rsidRPr="00504A0D" w:rsidRDefault="00CB7FD1">
      <w:pPr>
        <w:widowControl/>
        <w:spacing w:line="460" w:lineRule="exact"/>
        <w:ind w:firstLineChars="200" w:firstLine="420"/>
        <w:jc w:val="left"/>
        <w:rPr>
          <w:rFonts w:ascii="宋体" w:hAnsi="宋体" w:cs="宋体"/>
          <w:color w:val="000000" w:themeColor="text1"/>
          <w:kern w:val="0"/>
          <w:szCs w:val="21"/>
        </w:rPr>
      </w:pPr>
      <w:r w:rsidRPr="00504A0D">
        <w:rPr>
          <w:rFonts w:ascii="宋体" w:hAnsi="宋体" w:cs="宋体" w:hint="eastAsia"/>
          <w:color w:val="000000" w:themeColor="text1"/>
          <w:kern w:val="0"/>
          <w:szCs w:val="21"/>
        </w:rPr>
        <w:t>全年建成区园林绿化覆盖面积1620.98公顷，比上年增长2.8%。城市空气质量优良天数291天，达标率79.7%。</w:t>
      </w:r>
    </w:p>
    <w:p w:rsidR="002A5B11" w:rsidRPr="00504A0D" w:rsidRDefault="00CB7FD1">
      <w:pPr>
        <w:pStyle w:val="a7"/>
        <w:spacing w:before="0" w:beforeAutospacing="0" w:after="0" w:afterAutospacing="0" w:line="460" w:lineRule="exact"/>
        <w:ind w:left="44" w:right="44" w:firstLineChars="200" w:firstLine="420"/>
        <w:jc w:val="both"/>
        <w:rPr>
          <w:color w:val="000000" w:themeColor="text1"/>
          <w:sz w:val="21"/>
          <w:szCs w:val="21"/>
        </w:rPr>
      </w:pPr>
      <w:r w:rsidRPr="00504A0D">
        <w:rPr>
          <w:rFonts w:hint="eastAsia"/>
          <w:color w:val="000000" w:themeColor="text1"/>
          <w:sz w:val="21"/>
          <w:szCs w:val="21"/>
        </w:rPr>
        <w:t>全年生产安全事故发生6起，比上年下降45.4%，死亡人数6人，下降50%。其中金属与非金属矿事故1起，死亡1人；建设施工事故2起，死亡2人；道路运输行业事故3起，死亡3人。无冶金机械八大行业及生产经营火灾亡人事故。</w:t>
      </w: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2A5B1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p>
    <w:p w:rsidR="002A5B11" w:rsidRPr="00504A0D" w:rsidRDefault="00CB7FD1">
      <w:pPr>
        <w:pStyle w:val="a7"/>
        <w:spacing w:before="0" w:beforeAutospacing="0" w:after="0" w:afterAutospacing="0"/>
        <w:ind w:leftChars="62" w:left="130" w:firstLineChars="200" w:firstLine="420"/>
        <w:jc w:val="both"/>
        <w:rPr>
          <w:rFonts w:ascii="仿宋_GB2312" w:eastAsia="仿宋_GB2312"/>
          <w:color w:val="000000" w:themeColor="text1"/>
          <w:sz w:val="21"/>
          <w:szCs w:val="21"/>
        </w:rPr>
      </w:pPr>
      <w:r w:rsidRPr="00504A0D">
        <w:rPr>
          <w:rFonts w:ascii="仿宋_GB2312" w:eastAsia="仿宋_GB2312"/>
          <w:color w:val="000000" w:themeColor="text1"/>
          <w:sz w:val="21"/>
          <w:szCs w:val="21"/>
        </w:rPr>
        <w:t>注：</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1、本公报中2021年的数据均为初步统计数，最终数据以《2022荣昌统计年鉴》为准。肉类产量为上报数。部分数据因四舍五入的原因，存在着与分项不等的情况。</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2、地区生产总值、人均生产总值、各产业增加值绝对数按现价计算，增长速度按可比价计算。</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3、规模以上工业、有资质的建筑业、限额以上批发零售业、限额以上住宿和餐饮业、全部房地产开发经营业、规模以上服务业等行业统计标准：</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lastRenderedPageBreak/>
        <w:t>规模以上工业：</w:t>
      </w:r>
      <w:r w:rsidRPr="00504A0D">
        <w:rPr>
          <w:rFonts w:ascii="仿宋" w:eastAsia="仿宋" w:hAnsi="仿宋" w:cs="仿宋" w:hint="eastAsia"/>
          <w:color w:val="000000" w:themeColor="text1"/>
          <w:sz w:val="21"/>
          <w:szCs w:val="21"/>
        </w:rPr>
        <w:t>年主营业务收入2000万元及以上的工业法人企业。</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t>有资质的建筑业：</w:t>
      </w:r>
      <w:r w:rsidRPr="00504A0D">
        <w:rPr>
          <w:rFonts w:ascii="仿宋" w:eastAsia="仿宋" w:hAnsi="仿宋" w:cs="仿宋" w:hint="eastAsia"/>
          <w:color w:val="000000" w:themeColor="text1"/>
          <w:sz w:val="21"/>
          <w:szCs w:val="21"/>
        </w:rPr>
        <w:t>有总承包、专业承包和劳务分包资质的建筑业法人单位。</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t>限额以上批发和零售业：</w:t>
      </w:r>
      <w:r w:rsidRPr="00504A0D">
        <w:rPr>
          <w:rFonts w:ascii="仿宋" w:eastAsia="仿宋" w:hAnsi="仿宋" w:cs="仿宋" w:hint="eastAsia"/>
          <w:color w:val="000000" w:themeColor="text1"/>
          <w:sz w:val="21"/>
          <w:szCs w:val="21"/>
        </w:rPr>
        <w:t>年主营业务收入2000万元及以上的批发业、年主营业务收入500万元及以上的零售业法人单位。</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t>限额以上住宿和餐饮业：</w:t>
      </w:r>
      <w:r w:rsidRPr="00504A0D">
        <w:rPr>
          <w:rFonts w:ascii="仿宋" w:eastAsia="仿宋" w:hAnsi="仿宋" w:cs="仿宋" w:hint="eastAsia"/>
          <w:color w:val="000000" w:themeColor="text1"/>
          <w:sz w:val="21"/>
          <w:szCs w:val="21"/>
        </w:rPr>
        <w:t>年主营业务收入200万元及以上的住宿和餐饮业法人单位。</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t>房地产开发经营业：</w:t>
      </w:r>
      <w:r w:rsidRPr="00504A0D">
        <w:rPr>
          <w:rFonts w:ascii="仿宋" w:eastAsia="仿宋" w:hAnsi="仿宋" w:cs="仿宋" w:hint="eastAsia"/>
          <w:color w:val="000000" w:themeColor="text1"/>
          <w:sz w:val="21"/>
          <w:szCs w:val="21"/>
        </w:rPr>
        <w:t>全部房地产开发经营业法人单位。</w:t>
      </w:r>
    </w:p>
    <w:p w:rsidR="002A5B11" w:rsidRPr="00504A0D" w:rsidRDefault="00CB7FD1">
      <w:pPr>
        <w:pStyle w:val="a7"/>
        <w:spacing w:before="0" w:beforeAutospacing="0" w:after="0" w:afterAutospacing="0"/>
        <w:ind w:leftChars="62" w:left="130" w:firstLineChars="200" w:firstLine="422"/>
        <w:jc w:val="both"/>
        <w:rPr>
          <w:rFonts w:ascii="仿宋" w:eastAsia="仿宋" w:hAnsi="仿宋" w:cs="仿宋"/>
          <w:color w:val="000000" w:themeColor="text1"/>
          <w:sz w:val="21"/>
          <w:szCs w:val="21"/>
        </w:rPr>
      </w:pPr>
      <w:r w:rsidRPr="00504A0D">
        <w:rPr>
          <w:rFonts w:ascii="仿宋" w:eastAsia="仿宋" w:hAnsi="仿宋" w:cs="仿宋" w:hint="eastAsia"/>
          <w:b/>
          <w:color w:val="000000" w:themeColor="text1"/>
          <w:sz w:val="21"/>
          <w:szCs w:val="21"/>
        </w:rPr>
        <w:t>规模以上服务业：</w:t>
      </w:r>
      <w:r w:rsidRPr="00504A0D">
        <w:rPr>
          <w:rFonts w:ascii="仿宋" w:eastAsia="仿宋" w:hAnsi="仿宋" w:cs="仿宋" w:hint="eastAsia"/>
          <w:color w:val="000000" w:themeColor="text1"/>
          <w:sz w:val="21"/>
          <w:szCs w:val="21"/>
        </w:rPr>
        <w:t>一定规模以上的服务业法人单位。包括：交通运输、仓储和邮政业，信息传输、软件和信息技术服务服务业，租赁和商务服务业，科学研究和技术服务业，水利、环境和公共设施管理业，居民服务、修理和其他服务业，教育，卫生和社会工作，文化、体育和娱乐业，物业管理、房地产中介服务等行业。</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4、基础设施投资指用于电力、燃气及水的生产和供应业，交通运输和邮政业，电信和其他信息传输服务业，水利、环境和公共设施管理业等的投资。</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5、</w:t>
      </w:r>
      <w:r w:rsidRPr="00504A0D">
        <w:rPr>
          <w:rFonts w:ascii="仿宋" w:eastAsia="仿宋" w:hAnsi="仿宋" w:cs="仿宋" w:hint="eastAsia"/>
          <w:b/>
          <w:color w:val="000000" w:themeColor="text1"/>
          <w:sz w:val="21"/>
          <w:szCs w:val="21"/>
        </w:rPr>
        <w:t>常住人口</w:t>
      </w:r>
      <w:r w:rsidRPr="00504A0D">
        <w:rPr>
          <w:rFonts w:ascii="仿宋" w:eastAsia="仿宋" w:hAnsi="仿宋" w:cs="仿宋" w:hint="eastAsia"/>
          <w:color w:val="000000" w:themeColor="text1"/>
          <w:sz w:val="21"/>
          <w:szCs w:val="21"/>
        </w:rPr>
        <w:t xml:space="preserve"> 是指在本乡镇（街道）居住半年以上的人口，或虽居住不满半年但离开户口登记地半年以上人口以及户口待定人口。</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6、</w:t>
      </w:r>
      <w:r w:rsidRPr="00504A0D">
        <w:rPr>
          <w:rFonts w:ascii="仿宋" w:eastAsia="仿宋" w:hAnsi="仿宋" w:cs="仿宋" w:hint="eastAsia"/>
          <w:b/>
          <w:color w:val="000000" w:themeColor="text1"/>
          <w:sz w:val="21"/>
          <w:szCs w:val="21"/>
        </w:rPr>
        <w:t>户籍人口</w:t>
      </w:r>
      <w:r w:rsidRPr="00504A0D">
        <w:rPr>
          <w:rFonts w:ascii="仿宋" w:eastAsia="仿宋" w:hAnsi="仿宋" w:cs="仿宋" w:hint="eastAsia"/>
          <w:color w:val="000000" w:themeColor="text1"/>
          <w:sz w:val="21"/>
          <w:szCs w:val="21"/>
        </w:rPr>
        <w:t xml:space="preserve"> 是指公民依照《中华人民共和国户口登记条例》，已在其经常居住地的公安户籍管理机关登记了常住户口的人。这类人口不管其是否外出，也不管外出时间长短，只要在某地注册有常住户口，则为该地区的户籍人口。户籍人口数一般是通过公安部门的经常性统计月报或年报取得的。</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7、</w:t>
      </w:r>
      <w:r w:rsidRPr="00504A0D">
        <w:rPr>
          <w:rFonts w:ascii="仿宋" w:eastAsia="仿宋" w:hAnsi="仿宋" w:cs="仿宋" w:hint="eastAsia"/>
          <w:b/>
          <w:color w:val="000000" w:themeColor="text1"/>
          <w:sz w:val="21"/>
          <w:szCs w:val="21"/>
        </w:rPr>
        <w:t>可支配收入</w:t>
      </w:r>
      <w:r w:rsidRPr="00504A0D">
        <w:rPr>
          <w:rFonts w:ascii="仿宋" w:eastAsia="仿宋" w:hAnsi="仿宋" w:cs="仿宋" w:hint="eastAsia"/>
          <w:color w:val="000000" w:themeColor="text1"/>
          <w:sz w:val="21"/>
          <w:szCs w:val="21"/>
        </w:rPr>
        <w:t xml:space="preserve"> 是指调查户在调查期内获得的、可用于最终消费支出和储蓄的总和，即调查户可以用来自由支配的收入。可支配收入既包括现金，也包括实物收入。按照收入的来源，可支配收入包含四项，分别为：工资性收入、经营净收入、财产净收入和转移净收入。计算公式为：</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可支配收入=工资性收入+经营净收入+财产净收入+转移净收入</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其中：经营净收入=经营收入-经营费用-生产性固定资产折旧-生产税净额（生产税-生产补贴）</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财产净收入=财产性收入-财产性支出</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转移净收入=转移性收入-转移性支出</w:t>
      </w:r>
    </w:p>
    <w:p w:rsidR="002A5B11" w:rsidRPr="00504A0D" w:rsidRDefault="00CB7FD1">
      <w:pPr>
        <w:pStyle w:val="a7"/>
        <w:spacing w:before="0" w:beforeAutospacing="0" w:after="0" w:afterAutospacing="0"/>
        <w:ind w:leftChars="62" w:left="130"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8、经国务院批准,我国对城乡住户调查实施了一体化改革,在现行统计制度下的城乡居民收支指标,在口径和内涵上与原有制度相比均有一定差别,其增减变动幅度亦是根据现行统计制度按同口径计算所得, 对此,使用时须加以斟酌和区别。重庆市居民可支配收入数据于2014年按照新口径正式发布。荣昌区发布可支配收入数据执行新口径时间延后1年，于2015年正式执行。</w:t>
      </w:r>
    </w:p>
    <w:p w:rsidR="002A5B11" w:rsidRPr="00504A0D" w:rsidRDefault="00CB7FD1">
      <w:pPr>
        <w:pStyle w:val="a7"/>
        <w:spacing w:before="0" w:beforeAutospacing="0" w:after="0" w:afterAutospacing="0"/>
        <w:ind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9、</w:t>
      </w:r>
      <w:r w:rsidRPr="00504A0D">
        <w:rPr>
          <w:rFonts w:ascii="仿宋" w:eastAsia="仿宋" w:hAnsi="仿宋" w:cs="仿宋" w:hint="eastAsia"/>
          <w:b/>
          <w:color w:val="000000" w:themeColor="text1"/>
          <w:sz w:val="21"/>
          <w:szCs w:val="21"/>
        </w:rPr>
        <w:t>恩格尔系数</w:t>
      </w:r>
      <w:r w:rsidRPr="00504A0D">
        <w:rPr>
          <w:rFonts w:ascii="仿宋" w:eastAsia="仿宋" w:hAnsi="仿宋" w:cs="仿宋" w:hint="eastAsia"/>
          <w:color w:val="000000" w:themeColor="text1"/>
          <w:sz w:val="21"/>
          <w:szCs w:val="21"/>
        </w:rPr>
        <w:t xml:space="preserve"> 是指居民食品消费支出占全部消费支出的比重。</w:t>
      </w:r>
    </w:p>
    <w:p w:rsidR="002A5B11" w:rsidRPr="00504A0D" w:rsidRDefault="00CB7FD1">
      <w:pPr>
        <w:pStyle w:val="a7"/>
        <w:spacing w:before="0" w:beforeAutospacing="0" w:after="0" w:afterAutospacing="0"/>
        <w:ind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10、公报中水资源数据为初步数据。</w:t>
      </w:r>
    </w:p>
    <w:p w:rsidR="002A5B11" w:rsidRPr="00504A0D" w:rsidRDefault="00CB7FD1">
      <w:pPr>
        <w:pStyle w:val="a7"/>
        <w:spacing w:before="0" w:beforeAutospacing="0" w:after="0" w:afterAutospacing="0"/>
        <w:ind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11、教育数据中没有包括西南大学荣昌校区、益民技校、永荣技校。</w:t>
      </w:r>
    </w:p>
    <w:p w:rsidR="002A5B11" w:rsidRPr="00504A0D" w:rsidRDefault="00CB7FD1">
      <w:pPr>
        <w:pStyle w:val="a7"/>
        <w:spacing w:before="0" w:beforeAutospacing="0" w:after="0" w:afterAutospacing="0"/>
        <w:ind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12、部份数据由于计量单位取舍不同而产生的计算误差未作机械调整。</w:t>
      </w:r>
    </w:p>
    <w:p w:rsidR="002A5B11" w:rsidRPr="00504A0D" w:rsidRDefault="00CB7FD1">
      <w:pPr>
        <w:pStyle w:val="a7"/>
        <w:tabs>
          <w:tab w:val="left" w:pos="316"/>
        </w:tabs>
        <w:spacing w:before="0" w:beforeAutospacing="0" w:after="0" w:afterAutospacing="0"/>
        <w:ind w:firstLineChars="200" w:firstLine="420"/>
        <w:jc w:val="both"/>
        <w:rPr>
          <w:rFonts w:ascii="仿宋" w:eastAsia="仿宋" w:hAnsi="仿宋" w:cs="仿宋"/>
          <w:color w:val="000000" w:themeColor="text1"/>
          <w:sz w:val="21"/>
          <w:szCs w:val="21"/>
        </w:rPr>
      </w:pPr>
      <w:r w:rsidRPr="00504A0D">
        <w:rPr>
          <w:rFonts w:ascii="仿宋" w:eastAsia="仿宋" w:hAnsi="仿宋" w:cs="仿宋" w:hint="eastAsia"/>
          <w:color w:val="000000" w:themeColor="text1"/>
          <w:sz w:val="21"/>
          <w:szCs w:val="21"/>
        </w:rPr>
        <w:t>13、资料来源：</w:t>
      </w:r>
    </w:p>
    <w:p w:rsidR="002A5B11" w:rsidRPr="00504A0D" w:rsidRDefault="00CB7FD1" w:rsidP="00504A0D">
      <w:pPr>
        <w:pStyle w:val="a7"/>
        <w:spacing w:before="0" w:beforeAutospacing="0" w:after="0" w:afterAutospacing="0"/>
        <w:ind w:firstLineChars="200" w:firstLine="420"/>
        <w:jc w:val="both"/>
        <w:rPr>
          <w:rFonts w:cs="仿宋"/>
          <w:color w:val="000000" w:themeColor="text1"/>
          <w:sz w:val="18"/>
          <w:szCs w:val="18"/>
        </w:rPr>
      </w:pPr>
      <w:r w:rsidRPr="00504A0D">
        <w:rPr>
          <w:rFonts w:ascii="仿宋" w:eastAsia="仿宋" w:hAnsi="仿宋" w:cs="仿宋" w:hint="eastAsia"/>
          <w:color w:val="000000" w:themeColor="text1"/>
          <w:sz w:val="21"/>
          <w:szCs w:val="21"/>
        </w:rPr>
        <w:t>本公报中户籍人口、交通运输事故死亡数据来自区公安局；就业、失业、社会保障数据来自区人力社保局和区医疗保障局；各类市场主体、商标数据来自区市场监管局；财政、金融、保险数据来自区财政局；教育数据来自区教委；农村危旧房改造、城市棚户区数据来自区住房</w:t>
      </w:r>
      <w:r w:rsidRPr="00504A0D">
        <w:rPr>
          <w:rFonts w:ascii="仿宋" w:eastAsia="仿宋" w:hAnsi="仿宋" w:cs="仿宋"/>
          <w:color w:val="000000" w:themeColor="text1"/>
          <w:sz w:val="21"/>
          <w:szCs w:val="21"/>
        </w:rPr>
        <w:t>和</w:t>
      </w:r>
      <w:r w:rsidRPr="00504A0D">
        <w:rPr>
          <w:rFonts w:ascii="仿宋" w:eastAsia="仿宋" w:hAnsi="仿宋" w:cs="仿宋" w:hint="eastAsia"/>
          <w:color w:val="000000" w:themeColor="text1"/>
          <w:sz w:val="21"/>
          <w:szCs w:val="21"/>
        </w:rPr>
        <w:t>城乡建委；进出口、利用外资数据来自区商委；交通运输数据来自区交通局；邮政数据来自区邮政管理局；用电量来自区经信委；通信数据</w:t>
      </w:r>
      <w:r w:rsidRPr="00504A0D">
        <w:rPr>
          <w:rFonts w:ascii="仿宋" w:eastAsia="仿宋" w:hAnsi="仿宋" w:cs="仿宋"/>
          <w:color w:val="000000" w:themeColor="text1"/>
          <w:sz w:val="21"/>
          <w:szCs w:val="21"/>
        </w:rPr>
        <w:t>来自</w:t>
      </w:r>
      <w:r w:rsidRPr="00504A0D">
        <w:rPr>
          <w:rFonts w:ascii="仿宋" w:eastAsia="仿宋" w:hAnsi="仿宋" w:cs="仿宋" w:hint="eastAsia"/>
          <w:color w:val="000000" w:themeColor="text1"/>
          <w:sz w:val="21"/>
          <w:szCs w:val="21"/>
        </w:rPr>
        <w:t>区</w:t>
      </w:r>
      <w:r w:rsidRPr="00504A0D">
        <w:rPr>
          <w:rFonts w:ascii="仿宋" w:eastAsia="仿宋" w:hAnsi="仿宋" w:cs="仿宋"/>
          <w:color w:val="000000" w:themeColor="text1"/>
          <w:sz w:val="21"/>
          <w:szCs w:val="21"/>
        </w:rPr>
        <w:t>大数据局；</w:t>
      </w:r>
      <w:r w:rsidRPr="00504A0D">
        <w:rPr>
          <w:rFonts w:ascii="仿宋" w:eastAsia="仿宋" w:hAnsi="仿宋" w:cs="仿宋" w:hint="eastAsia"/>
          <w:color w:val="000000" w:themeColor="text1"/>
          <w:sz w:val="21"/>
          <w:szCs w:val="21"/>
        </w:rPr>
        <w:t>旅游数据来自区旅游景区管委会；科技、专利数据来自区科学技术局；文化数据来自区文化和</w:t>
      </w:r>
      <w:r w:rsidRPr="00504A0D">
        <w:rPr>
          <w:rFonts w:ascii="仿宋" w:eastAsia="仿宋" w:hAnsi="仿宋" w:cs="仿宋"/>
          <w:color w:val="000000" w:themeColor="text1"/>
          <w:sz w:val="21"/>
          <w:szCs w:val="21"/>
        </w:rPr>
        <w:t>旅游发展</w:t>
      </w:r>
      <w:r w:rsidRPr="00504A0D">
        <w:rPr>
          <w:rFonts w:ascii="仿宋" w:eastAsia="仿宋" w:hAnsi="仿宋" w:cs="仿宋" w:hint="eastAsia"/>
          <w:color w:val="000000" w:themeColor="text1"/>
          <w:sz w:val="21"/>
          <w:szCs w:val="21"/>
        </w:rPr>
        <w:t>委员</w:t>
      </w:r>
      <w:r w:rsidRPr="00504A0D">
        <w:rPr>
          <w:rFonts w:ascii="仿宋" w:eastAsia="仿宋" w:hAnsi="仿宋" w:cs="仿宋"/>
          <w:color w:val="000000" w:themeColor="text1"/>
          <w:sz w:val="21"/>
          <w:szCs w:val="21"/>
        </w:rPr>
        <w:t>会</w:t>
      </w:r>
      <w:r w:rsidRPr="00504A0D">
        <w:rPr>
          <w:rFonts w:ascii="仿宋" w:eastAsia="仿宋" w:hAnsi="仿宋" w:cs="仿宋" w:hint="eastAsia"/>
          <w:color w:val="000000" w:themeColor="text1"/>
          <w:sz w:val="21"/>
          <w:szCs w:val="21"/>
        </w:rPr>
        <w:t>；卫生数据来自区卫生</w:t>
      </w:r>
      <w:r w:rsidRPr="00504A0D">
        <w:rPr>
          <w:rFonts w:ascii="仿宋" w:eastAsia="仿宋" w:hAnsi="仿宋" w:cs="仿宋"/>
          <w:color w:val="000000" w:themeColor="text1"/>
          <w:sz w:val="21"/>
          <w:szCs w:val="21"/>
        </w:rPr>
        <w:t>健康</w:t>
      </w:r>
      <w:r w:rsidRPr="00504A0D">
        <w:rPr>
          <w:rFonts w:ascii="仿宋" w:eastAsia="仿宋" w:hAnsi="仿宋" w:cs="仿宋" w:hint="eastAsia"/>
          <w:color w:val="000000" w:themeColor="text1"/>
          <w:sz w:val="21"/>
          <w:szCs w:val="21"/>
        </w:rPr>
        <w:t>委员</w:t>
      </w:r>
      <w:r w:rsidRPr="00504A0D">
        <w:rPr>
          <w:rFonts w:ascii="仿宋" w:eastAsia="仿宋" w:hAnsi="仿宋" w:cs="仿宋"/>
          <w:color w:val="000000" w:themeColor="text1"/>
          <w:sz w:val="21"/>
          <w:szCs w:val="21"/>
        </w:rPr>
        <w:t>会</w:t>
      </w:r>
      <w:r w:rsidRPr="00504A0D">
        <w:rPr>
          <w:rFonts w:ascii="仿宋" w:eastAsia="仿宋" w:hAnsi="仿宋" w:cs="仿宋" w:hint="eastAsia"/>
          <w:color w:val="000000" w:themeColor="text1"/>
          <w:sz w:val="21"/>
          <w:szCs w:val="21"/>
        </w:rPr>
        <w:t>；最低生活保障标准数据来自区民政局；水资源数据来自区水利局；林业数据来自区林业局；部分</w:t>
      </w:r>
      <w:r w:rsidRPr="00504A0D">
        <w:rPr>
          <w:rFonts w:ascii="仿宋" w:eastAsia="仿宋" w:hAnsi="仿宋" w:cs="仿宋"/>
          <w:color w:val="000000" w:themeColor="text1"/>
          <w:sz w:val="21"/>
          <w:szCs w:val="21"/>
        </w:rPr>
        <w:t>资源</w:t>
      </w:r>
      <w:r w:rsidRPr="00504A0D">
        <w:rPr>
          <w:rFonts w:ascii="仿宋" w:eastAsia="仿宋" w:hAnsi="仿宋" w:cs="仿宋" w:hint="eastAsia"/>
          <w:color w:val="000000" w:themeColor="text1"/>
          <w:sz w:val="21"/>
          <w:szCs w:val="21"/>
        </w:rPr>
        <w:t>数据来自区城市管理局；安全生产事故数据来自区应急管理局；其他数据来自区统计局。</w:t>
      </w:r>
    </w:p>
    <w:sectPr w:rsidR="002A5B11" w:rsidRPr="00504A0D" w:rsidSect="002A5B11">
      <w:headerReference w:type="even" r:id="rId13"/>
      <w:headerReference w:type="default" r:id="rId14"/>
      <w:footerReference w:type="even" r:id="rId15"/>
      <w:footerReference w:type="default" r:id="rId16"/>
      <w:pgSz w:w="11906" w:h="16838"/>
      <w:pgMar w:top="1701" w:right="1418" w:bottom="1418" w:left="1418" w:header="1134" w:footer="113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82B" w:rsidRDefault="000D482B" w:rsidP="002A5B11">
      <w:r>
        <w:separator/>
      </w:r>
    </w:p>
  </w:endnote>
  <w:endnote w:type="continuationSeparator" w:id="1">
    <w:p w:rsidR="000D482B" w:rsidRDefault="000D482B" w:rsidP="002A5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楷体简体">
    <w:altName w:val="宋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宋三简体">
    <w:altName w:val="宋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11" w:rsidRDefault="00CB7FD1">
    <w:r>
      <w:rPr>
        <w:rStyle w:val="a9"/>
        <w:rFonts w:hint="eastAsia"/>
      </w:rPr>
      <w:t>-</w:t>
    </w:r>
    <w:r w:rsidR="00FB5545">
      <w:rPr>
        <w:rStyle w:val="a9"/>
      </w:rPr>
      <w:fldChar w:fldCharType="begin"/>
    </w:r>
    <w:r>
      <w:rPr>
        <w:rStyle w:val="a9"/>
      </w:rPr>
      <w:instrText xml:space="preserve">PAGE  </w:instrText>
    </w:r>
    <w:r w:rsidR="00FB5545">
      <w:rPr>
        <w:rStyle w:val="a9"/>
      </w:rPr>
      <w:fldChar w:fldCharType="separate"/>
    </w:r>
    <w:r w:rsidR="00D94262">
      <w:rPr>
        <w:rStyle w:val="a9"/>
        <w:noProof/>
      </w:rPr>
      <w:t>12</w:t>
    </w:r>
    <w:r w:rsidR="00FB5545">
      <w:rPr>
        <w:rStyle w:val="a9"/>
      </w:rPr>
      <w:fldChar w:fldCharType="end"/>
    </w:r>
    <w:r>
      <w:rPr>
        <w:rStyle w:val="a9"/>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11" w:rsidRDefault="00CB7FD1">
    <w:pPr>
      <w:jc w:val="right"/>
      <w:rPr>
        <w:b/>
        <w:bCs/>
        <w:i/>
        <w:iCs/>
        <w:spacing w:val="5"/>
      </w:rPr>
    </w:pPr>
    <w:r>
      <w:rPr>
        <w:rStyle w:val="a9"/>
        <w:rFonts w:hint="eastAsia"/>
      </w:rPr>
      <w:t>-</w:t>
    </w:r>
    <w:r w:rsidR="00FB5545">
      <w:rPr>
        <w:rStyle w:val="a9"/>
      </w:rPr>
      <w:fldChar w:fldCharType="begin"/>
    </w:r>
    <w:r>
      <w:rPr>
        <w:rStyle w:val="a9"/>
      </w:rPr>
      <w:instrText xml:space="preserve">PAGE  </w:instrText>
    </w:r>
    <w:r w:rsidR="00FB5545">
      <w:rPr>
        <w:rStyle w:val="a9"/>
      </w:rPr>
      <w:fldChar w:fldCharType="separate"/>
    </w:r>
    <w:r w:rsidR="00D94262">
      <w:rPr>
        <w:rStyle w:val="a9"/>
        <w:noProof/>
      </w:rPr>
      <w:t>11</w:t>
    </w:r>
    <w:r w:rsidR="00FB5545">
      <w:rPr>
        <w:rStyle w:val="a9"/>
      </w:rPr>
      <w:fldChar w:fldCharType="end"/>
    </w:r>
    <w:r>
      <w:rPr>
        <w:rStyle w:val="a9"/>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82B" w:rsidRDefault="000D482B" w:rsidP="002A5B11">
      <w:r>
        <w:separator/>
      </w:r>
    </w:p>
  </w:footnote>
  <w:footnote w:type="continuationSeparator" w:id="1">
    <w:p w:rsidR="000D482B" w:rsidRDefault="000D482B" w:rsidP="002A5B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A0D" w:rsidRDefault="00504A0D" w:rsidP="00504A0D">
    <w:pPr>
      <w:rPr>
        <w:rFonts w:ascii="宋体" w:hAnsi="宋体" w:cs="宋体"/>
        <w:sz w:val="18"/>
        <w:szCs w:val="18"/>
      </w:rPr>
    </w:pPr>
  </w:p>
  <w:p w:rsidR="00504A0D" w:rsidRDefault="00FB5545" w:rsidP="00504A0D">
    <w:pPr>
      <w:rPr>
        <w:rFonts w:ascii="方正黑体简体" w:eastAsia="方正黑体简体" w:hAnsi="宋体"/>
        <w:sz w:val="18"/>
        <w:szCs w:val="18"/>
      </w:rPr>
    </w:pPr>
    <w:r>
      <w:rPr>
        <w:rFonts w:ascii="方正黑体简体" w:eastAsia="方正黑体简体" w:hAnsi="宋体"/>
        <w:sz w:val="18"/>
        <w:szCs w:val="18"/>
      </w:rPr>
      <w:pict>
        <v:shapetype id="_x0000_t202" coordsize="21600,21600" o:spt="202" path="m,l,21600r21600,l21600,xe">
          <v:stroke joinstyle="miter"/>
          <v:path gradientshapeok="t" o:connecttype="rect"/>
        </v:shapetype>
        <v:shape id="文本框 10" o:spid="_x0000_s4106" type="#_x0000_t202" style="position:absolute;left:0;text-align:left;margin-left:-2.9pt;margin-top:-.25pt;width:51.05pt;height:25.8pt;z-index:251664384;mso-width-relative:margin;mso-height-relative:margin" filled="f" stroked="f">
          <v:textbox>
            <w:txbxContent>
              <w:p w:rsidR="00504A0D" w:rsidRPr="00504A0D" w:rsidRDefault="00504A0D" w:rsidP="00504A0D">
                <w:pPr>
                  <w:adjustRightInd w:val="0"/>
                  <w:snapToGrid w:val="0"/>
                  <w:rPr>
                    <w:rFonts w:ascii="方正小标宋简体" w:eastAsia="方正小标宋简体"/>
                    <w:i/>
                    <w:sz w:val="32"/>
                    <w:szCs w:val="32"/>
                  </w:rPr>
                </w:pPr>
                <w:r w:rsidRPr="00504A0D">
                  <w:rPr>
                    <w:rFonts w:ascii="方正小标宋简体" w:eastAsia="方正小标宋简体" w:hint="eastAsia"/>
                    <w:i/>
                    <w:sz w:val="32"/>
                    <w:szCs w:val="32"/>
                  </w:rPr>
                  <w:t>2022</w:t>
                </w:r>
              </w:p>
            </w:txbxContent>
          </v:textbox>
        </v:shape>
      </w:pict>
    </w:r>
    <w:r w:rsidR="00504A0D">
      <w:rPr>
        <w:rFonts w:ascii="方正黑体简体" w:eastAsia="方正黑体简体" w:hAnsi="宋体" w:hint="eastAsia"/>
        <w:sz w:val="18"/>
        <w:szCs w:val="18"/>
      </w:rPr>
      <w:t xml:space="preserve">          荣昌统计年鉴</w:t>
    </w:r>
  </w:p>
  <w:p w:rsidR="002A5B11" w:rsidRPr="00504A0D" w:rsidRDefault="00504A0D" w:rsidP="00504A0D">
    <w:r>
      <w:rPr>
        <w:rFonts w:ascii="宋体" w:hAnsi="宋体" w:hint="eastAsia"/>
        <w:sz w:val="11"/>
        <w:szCs w:val="11"/>
      </w:rPr>
      <w:t xml:space="preserve">                 </w:t>
    </w:r>
    <w:r>
      <w:rPr>
        <w:rFonts w:ascii="方正宋三简体" w:eastAsia="方正宋三简体" w:hAnsi="宋体" w:hint="eastAsia"/>
        <w:sz w:val="15"/>
        <w:szCs w:val="15"/>
      </w:rPr>
      <w:t>RONGCHANG STATISTICAL YEARBOOK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11" w:rsidRDefault="00FB5545">
    <w:pPr>
      <w:pStyle w:val="a6"/>
      <w:ind w:right="320"/>
      <w:jc w:val="left"/>
    </w:pPr>
    <w:r w:rsidRPr="00FB5545">
      <w:rPr>
        <w:rFonts w:ascii="黑体" w:eastAsia="黑体"/>
        <w:color w:val="7F7F7F"/>
      </w:rPr>
      <w:pict>
        <v:group id="组合 7" o:spid="_x0000_s4102" style="position:absolute;margin-left:443.25pt;margin-top:.2pt;width:10.9pt;height:28.35pt;z-index:251662336" coordsize="218,567203">
          <v:rect id="矩形 5" o:spid="_x0000_s4103" style="position:absolute;width:57;height:567" fillcolor="#a5a5a5" stroked="f"/>
          <v:rect id="矩形 6" o:spid="_x0000_s4104" style="position:absolute;left:105;width:113;height:567" fillcolor="#a5a5a5" stroked="f"/>
        </v:group>
      </w:pict>
    </w:r>
  </w:p>
  <w:p w:rsidR="002A5B11" w:rsidRDefault="00CB7FD1">
    <w:pPr>
      <w:pStyle w:val="10"/>
      <w:rPr>
        <w:rFonts w:ascii="黑体" w:eastAsia="黑体"/>
        <w:color w:val="7F7F7F"/>
      </w:rPr>
    </w:pPr>
    <w:r>
      <w:rPr>
        <w:rFonts w:ascii="黑体" w:eastAsia="黑体" w:hint="eastAsia"/>
        <w:color w:val="7F7F7F"/>
      </w:rPr>
      <w:t>——公报——</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8194" strokecolor="#739cc3">
      <v:fill angle="90" type="gradient">
        <o:fill v:ext="view" type="gradientUnscaled"/>
      </v:fill>
      <v:stroke color="#739cc3" weight="1.25pt"/>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5A7228"/>
    <w:rsid w:val="00004A20"/>
    <w:rsid w:val="00020DA6"/>
    <w:rsid w:val="00020EFD"/>
    <w:rsid w:val="000261AD"/>
    <w:rsid w:val="00030B05"/>
    <w:rsid w:val="000730DF"/>
    <w:rsid w:val="00074FB4"/>
    <w:rsid w:val="000757BB"/>
    <w:rsid w:val="000813C1"/>
    <w:rsid w:val="0008299D"/>
    <w:rsid w:val="00086926"/>
    <w:rsid w:val="00092800"/>
    <w:rsid w:val="000A1F33"/>
    <w:rsid w:val="000A24DB"/>
    <w:rsid w:val="000D2DC3"/>
    <w:rsid w:val="000D482B"/>
    <w:rsid w:val="000E1FBA"/>
    <w:rsid w:val="000E2CD8"/>
    <w:rsid w:val="000F549A"/>
    <w:rsid w:val="0010048F"/>
    <w:rsid w:val="0010119F"/>
    <w:rsid w:val="001170CC"/>
    <w:rsid w:val="00117764"/>
    <w:rsid w:val="001214DE"/>
    <w:rsid w:val="001248B7"/>
    <w:rsid w:val="001376ED"/>
    <w:rsid w:val="00145C36"/>
    <w:rsid w:val="00165F6C"/>
    <w:rsid w:val="001767F4"/>
    <w:rsid w:val="00176A74"/>
    <w:rsid w:val="001A1ECF"/>
    <w:rsid w:val="001A2944"/>
    <w:rsid w:val="001B1460"/>
    <w:rsid w:val="001B1B7C"/>
    <w:rsid w:val="001B7716"/>
    <w:rsid w:val="001C5D40"/>
    <w:rsid w:val="001C7449"/>
    <w:rsid w:val="001D0C5A"/>
    <w:rsid w:val="001D3762"/>
    <w:rsid w:val="001E7A99"/>
    <w:rsid w:val="001F776B"/>
    <w:rsid w:val="00200B70"/>
    <w:rsid w:val="00226E13"/>
    <w:rsid w:val="002341C1"/>
    <w:rsid w:val="00234F7E"/>
    <w:rsid w:val="00236CA8"/>
    <w:rsid w:val="0023727C"/>
    <w:rsid w:val="00240BB9"/>
    <w:rsid w:val="00242260"/>
    <w:rsid w:val="00243241"/>
    <w:rsid w:val="00245391"/>
    <w:rsid w:val="002553C1"/>
    <w:rsid w:val="002943D8"/>
    <w:rsid w:val="002A5B11"/>
    <w:rsid w:val="002B360A"/>
    <w:rsid w:val="002B62F5"/>
    <w:rsid w:val="002C76FA"/>
    <w:rsid w:val="002D590F"/>
    <w:rsid w:val="002E097E"/>
    <w:rsid w:val="002E1372"/>
    <w:rsid w:val="002E5A45"/>
    <w:rsid w:val="002F1FF4"/>
    <w:rsid w:val="00304EDE"/>
    <w:rsid w:val="003069FE"/>
    <w:rsid w:val="0031231B"/>
    <w:rsid w:val="00312CE1"/>
    <w:rsid w:val="00316FA6"/>
    <w:rsid w:val="00317ED7"/>
    <w:rsid w:val="0032474B"/>
    <w:rsid w:val="003319FD"/>
    <w:rsid w:val="00334542"/>
    <w:rsid w:val="00347084"/>
    <w:rsid w:val="00347D92"/>
    <w:rsid w:val="00366E6A"/>
    <w:rsid w:val="003742BF"/>
    <w:rsid w:val="00376B57"/>
    <w:rsid w:val="00377065"/>
    <w:rsid w:val="0038365F"/>
    <w:rsid w:val="00383BE7"/>
    <w:rsid w:val="003B0518"/>
    <w:rsid w:val="003C5D54"/>
    <w:rsid w:val="003D3394"/>
    <w:rsid w:val="003D701D"/>
    <w:rsid w:val="003E5984"/>
    <w:rsid w:val="003F1305"/>
    <w:rsid w:val="003F3552"/>
    <w:rsid w:val="00400E97"/>
    <w:rsid w:val="00402243"/>
    <w:rsid w:val="0040673A"/>
    <w:rsid w:val="00411604"/>
    <w:rsid w:val="004138EA"/>
    <w:rsid w:val="00425527"/>
    <w:rsid w:val="00427D00"/>
    <w:rsid w:val="00433F50"/>
    <w:rsid w:val="004555D9"/>
    <w:rsid w:val="0045672D"/>
    <w:rsid w:val="004625ED"/>
    <w:rsid w:val="00495ABC"/>
    <w:rsid w:val="00496407"/>
    <w:rsid w:val="004A4D5D"/>
    <w:rsid w:val="004A4EB1"/>
    <w:rsid w:val="004A58CD"/>
    <w:rsid w:val="004B3DEB"/>
    <w:rsid w:val="004C710F"/>
    <w:rsid w:val="004E35B9"/>
    <w:rsid w:val="004E6BCA"/>
    <w:rsid w:val="00501229"/>
    <w:rsid w:val="00504A0D"/>
    <w:rsid w:val="0051759C"/>
    <w:rsid w:val="00551733"/>
    <w:rsid w:val="00561033"/>
    <w:rsid w:val="0057192A"/>
    <w:rsid w:val="00575EF0"/>
    <w:rsid w:val="005A282E"/>
    <w:rsid w:val="005A7228"/>
    <w:rsid w:val="005C5CBC"/>
    <w:rsid w:val="005F0CA4"/>
    <w:rsid w:val="00631A5F"/>
    <w:rsid w:val="00634B2D"/>
    <w:rsid w:val="0064468C"/>
    <w:rsid w:val="00656B48"/>
    <w:rsid w:val="00666122"/>
    <w:rsid w:val="00673034"/>
    <w:rsid w:val="0068676F"/>
    <w:rsid w:val="006941A5"/>
    <w:rsid w:val="006948F0"/>
    <w:rsid w:val="006A64F7"/>
    <w:rsid w:val="006B1335"/>
    <w:rsid w:val="006C1D93"/>
    <w:rsid w:val="006C3AD5"/>
    <w:rsid w:val="006D080D"/>
    <w:rsid w:val="006D4B81"/>
    <w:rsid w:val="006D76CF"/>
    <w:rsid w:val="0072214F"/>
    <w:rsid w:val="007429E3"/>
    <w:rsid w:val="007512D2"/>
    <w:rsid w:val="00753893"/>
    <w:rsid w:val="00766A78"/>
    <w:rsid w:val="00766AC1"/>
    <w:rsid w:val="00771509"/>
    <w:rsid w:val="007763C0"/>
    <w:rsid w:val="0078016C"/>
    <w:rsid w:val="00791434"/>
    <w:rsid w:val="007B19DB"/>
    <w:rsid w:val="007C1E1D"/>
    <w:rsid w:val="007C719C"/>
    <w:rsid w:val="007D470E"/>
    <w:rsid w:val="007E21B7"/>
    <w:rsid w:val="007E3239"/>
    <w:rsid w:val="007F3D42"/>
    <w:rsid w:val="007F6A3A"/>
    <w:rsid w:val="008006E5"/>
    <w:rsid w:val="00810424"/>
    <w:rsid w:val="00815C2D"/>
    <w:rsid w:val="00816157"/>
    <w:rsid w:val="00816D2A"/>
    <w:rsid w:val="00823708"/>
    <w:rsid w:val="008269B4"/>
    <w:rsid w:val="00837726"/>
    <w:rsid w:val="00845F08"/>
    <w:rsid w:val="00850774"/>
    <w:rsid w:val="008716A8"/>
    <w:rsid w:val="00893CAF"/>
    <w:rsid w:val="00895537"/>
    <w:rsid w:val="008A2BB2"/>
    <w:rsid w:val="008A2C2F"/>
    <w:rsid w:val="008A550D"/>
    <w:rsid w:val="008B1F07"/>
    <w:rsid w:val="008D4132"/>
    <w:rsid w:val="008D4613"/>
    <w:rsid w:val="008E15E8"/>
    <w:rsid w:val="008F7E08"/>
    <w:rsid w:val="009036E2"/>
    <w:rsid w:val="0092693C"/>
    <w:rsid w:val="009320ED"/>
    <w:rsid w:val="009416B0"/>
    <w:rsid w:val="0094172E"/>
    <w:rsid w:val="00941E31"/>
    <w:rsid w:val="00961AEF"/>
    <w:rsid w:val="00964416"/>
    <w:rsid w:val="00964AEB"/>
    <w:rsid w:val="00966B62"/>
    <w:rsid w:val="00970879"/>
    <w:rsid w:val="0097095F"/>
    <w:rsid w:val="00982424"/>
    <w:rsid w:val="009A5ADD"/>
    <w:rsid w:val="009A7644"/>
    <w:rsid w:val="009C0A0D"/>
    <w:rsid w:val="009C5848"/>
    <w:rsid w:val="009C5C6A"/>
    <w:rsid w:val="009E07E8"/>
    <w:rsid w:val="009E5346"/>
    <w:rsid w:val="009E5C78"/>
    <w:rsid w:val="00A01FF1"/>
    <w:rsid w:val="00A15F7A"/>
    <w:rsid w:val="00A22311"/>
    <w:rsid w:val="00A24110"/>
    <w:rsid w:val="00A26C13"/>
    <w:rsid w:val="00A33527"/>
    <w:rsid w:val="00A55226"/>
    <w:rsid w:val="00A72D79"/>
    <w:rsid w:val="00A76F69"/>
    <w:rsid w:val="00A8275E"/>
    <w:rsid w:val="00A97F59"/>
    <w:rsid w:val="00AA51A2"/>
    <w:rsid w:val="00AA67D2"/>
    <w:rsid w:val="00AA7CDB"/>
    <w:rsid w:val="00AC05C8"/>
    <w:rsid w:val="00AC08EC"/>
    <w:rsid w:val="00AC3794"/>
    <w:rsid w:val="00AC673A"/>
    <w:rsid w:val="00AD00A6"/>
    <w:rsid w:val="00AD6037"/>
    <w:rsid w:val="00AF7D85"/>
    <w:rsid w:val="00B12EC0"/>
    <w:rsid w:val="00B17BEE"/>
    <w:rsid w:val="00B251DC"/>
    <w:rsid w:val="00B25F2D"/>
    <w:rsid w:val="00B26F41"/>
    <w:rsid w:val="00B72CC7"/>
    <w:rsid w:val="00B86A1C"/>
    <w:rsid w:val="00BB1005"/>
    <w:rsid w:val="00BC4357"/>
    <w:rsid w:val="00BE3D72"/>
    <w:rsid w:val="00BE4853"/>
    <w:rsid w:val="00BF205B"/>
    <w:rsid w:val="00BF681C"/>
    <w:rsid w:val="00C00668"/>
    <w:rsid w:val="00C02B49"/>
    <w:rsid w:val="00C03F9E"/>
    <w:rsid w:val="00C060FD"/>
    <w:rsid w:val="00C168EA"/>
    <w:rsid w:val="00C1794C"/>
    <w:rsid w:val="00C2218B"/>
    <w:rsid w:val="00C37AEC"/>
    <w:rsid w:val="00C6047F"/>
    <w:rsid w:val="00C70619"/>
    <w:rsid w:val="00C70A62"/>
    <w:rsid w:val="00C83504"/>
    <w:rsid w:val="00C94E31"/>
    <w:rsid w:val="00CB5C4C"/>
    <w:rsid w:val="00CB7FD1"/>
    <w:rsid w:val="00CC4D11"/>
    <w:rsid w:val="00CC68D6"/>
    <w:rsid w:val="00CD2C10"/>
    <w:rsid w:val="00CD7A99"/>
    <w:rsid w:val="00CF66EA"/>
    <w:rsid w:val="00D07F92"/>
    <w:rsid w:val="00D10983"/>
    <w:rsid w:val="00D148B4"/>
    <w:rsid w:val="00D210CE"/>
    <w:rsid w:val="00D251E8"/>
    <w:rsid w:val="00D44271"/>
    <w:rsid w:val="00D63A09"/>
    <w:rsid w:val="00D721C8"/>
    <w:rsid w:val="00D94262"/>
    <w:rsid w:val="00D94814"/>
    <w:rsid w:val="00DB4070"/>
    <w:rsid w:val="00DD2BD8"/>
    <w:rsid w:val="00DD4242"/>
    <w:rsid w:val="00DE0005"/>
    <w:rsid w:val="00DE263F"/>
    <w:rsid w:val="00DE2A86"/>
    <w:rsid w:val="00DF5067"/>
    <w:rsid w:val="00E17596"/>
    <w:rsid w:val="00E200E0"/>
    <w:rsid w:val="00E44BB3"/>
    <w:rsid w:val="00E478CB"/>
    <w:rsid w:val="00E563B8"/>
    <w:rsid w:val="00E754FD"/>
    <w:rsid w:val="00E8160A"/>
    <w:rsid w:val="00E876EB"/>
    <w:rsid w:val="00E8797D"/>
    <w:rsid w:val="00E93EFA"/>
    <w:rsid w:val="00E95EE1"/>
    <w:rsid w:val="00EA1D51"/>
    <w:rsid w:val="00ED0F61"/>
    <w:rsid w:val="00EE2C7D"/>
    <w:rsid w:val="00EF11FD"/>
    <w:rsid w:val="00EF17C1"/>
    <w:rsid w:val="00EF36BA"/>
    <w:rsid w:val="00F333E7"/>
    <w:rsid w:val="00F45A3F"/>
    <w:rsid w:val="00F52BD7"/>
    <w:rsid w:val="00F65F2D"/>
    <w:rsid w:val="00F67C14"/>
    <w:rsid w:val="00F67C19"/>
    <w:rsid w:val="00F73FB0"/>
    <w:rsid w:val="00F76DE1"/>
    <w:rsid w:val="00FA3F14"/>
    <w:rsid w:val="00FB5545"/>
    <w:rsid w:val="00FB68E7"/>
    <w:rsid w:val="00FB7180"/>
    <w:rsid w:val="00FD52E4"/>
    <w:rsid w:val="00FD7028"/>
    <w:rsid w:val="00FE04E3"/>
    <w:rsid w:val="01C9417B"/>
    <w:rsid w:val="033433CD"/>
    <w:rsid w:val="04C50528"/>
    <w:rsid w:val="06E728E4"/>
    <w:rsid w:val="0A2552B4"/>
    <w:rsid w:val="0BE61692"/>
    <w:rsid w:val="0C0444C5"/>
    <w:rsid w:val="0E5258B9"/>
    <w:rsid w:val="0F5848BD"/>
    <w:rsid w:val="0FB278A4"/>
    <w:rsid w:val="10FC16EA"/>
    <w:rsid w:val="13021E3F"/>
    <w:rsid w:val="13465DAC"/>
    <w:rsid w:val="139513AE"/>
    <w:rsid w:val="14962256"/>
    <w:rsid w:val="14C804A6"/>
    <w:rsid w:val="162E3271"/>
    <w:rsid w:val="16F83DC9"/>
    <w:rsid w:val="198C19F9"/>
    <w:rsid w:val="1B0F4F57"/>
    <w:rsid w:val="1B8F4432"/>
    <w:rsid w:val="1F1220B1"/>
    <w:rsid w:val="1F375EA0"/>
    <w:rsid w:val="1FD707C9"/>
    <w:rsid w:val="200545EF"/>
    <w:rsid w:val="20664BB5"/>
    <w:rsid w:val="208A18F1"/>
    <w:rsid w:val="2222290C"/>
    <w:rsid w:val="23700030"/>
    <w:rsid w:val="259E0645"/>
    <w:rsid w:val="25F200CF"/>
    <w:rsid w:val="26537D14"/>
    <w:rsid w:val="285F54CF"/>
    <w:rsid w:val="2BA94BE7"/>
    <w:rsid w:val="2CE618B6"/>
    <w:rsid w:val="2DC76CFD"/>
    <w:rsid w:val="2E2F2B52"/>
    <w:rsid w:val="2FA632C1"/>
    <w:rsid w:val="308419AE"/>
    <w:rsid w:val="308F4C3A"/>
    <w:rsid w:val="31F61B87"/>
    <w:rsid w:val="323E2ACC"/>
    <w:rsid w:val="33251AE9"/>
    <w:rsid w:val="363C4E06"/>
    <w:rsid w:val="36C21BE7"/>
    <w:rsid w:val="37820D4F"/>
    <w:rsid w:val="389B1F46"/>
    <w:rsid w:val="38E70267"/>
    <w:rsid w:val="39CE7FA1"/>
    <w:rsid w:val="3B732625"/>
    <w:rsid w:val="3BC14218"/>
    <w:rsid w:val="3CD134FA"/>
    <w:rsid w:val="3D3B0680"/>
    <w:rsid w:val="41A6493B"/>
    <w:rsid w:val="450042C0"/>
    <w:rsid w:val="460E2D77"/>
    <w:rsid w:val="47CF49F6"/>
    <w:rsid w:val="48A40ED8"/>
    <w:rsid w:val="496F6108"/>
    <w:rsid w:val="4A5C030F"/>
    <w:rsid w:val="4A8F03B7"/>
    <w:rsid w:val="4AAA260D"/>
    <w:rsid w:val="4AF22A01"/>
    <w:rsid w:val="4D41354B"/>
    <w:rsid w:val="4F675728"/>
    <w:rsid w:val="50795316"/>
    <w:rsid w:val="50887BD7"/>
    <w:rsid w:val="52935D52"/>
    <w:rsid w:val="52CA5AE0"/>
    <w:rsid w:val="5329368F"/>
    <w:rsid w:val="5340173E"/>
    <w:rsid w:val="53932FAA"/>
    <w:rsid w:val="53C16078"/>
    <w:rsid w:val="54680BE2"/>
    <w:rsid w:val="54CC782F"/>
    <w:rsid w:val="55B77B04"/>
    <w:rsid w:val="58A911FA"/>
    <w:rsid w:val="59243E89"/>
    <w:rsid w:val="59C741E6"/>
    <w:rsid w:val="59CB7C73"/>
    <w:rsid w:val="5B9B465A"/>
    <w:rsid w:val="5E2A018B"/>
    <w:rsid w:val="5F172392"/>
    <w:rsid w:val="62444AC8"/>
    <w:rsid w:val="641254F8"/>
    <w:rsid w:val="65790D87"/>
    <w:rsid w:val="68A60B90"/>
    <w:rsid w:val="6D5D0B1B"/>
    <w:rsid w:val="705F10F1"/>
    <w:rsid w:val="72A662C9"/>
    <w:rsid w:val="73730B78"/>
    <w:rsid w:val="7490224A"/>
    <w:rsid w:val="77904DB5"/>
    <w:rsid w:val="77C2468B"/>
    <w:rsid w:val="7CF02C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2A5B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rsid w:val="002A5B11"/>
    <w:pPr>
      <w:widowControl w:val="0"/>
      <w:autoSpaceDE w:val="0"/>
      <w:autoSpaceDN w:val="0"/>
      <w:adjustRightInd w:val="0"/>
    </w:pPr>
    <w:rPr>
      <w:rFonts w:ascii="方正小标宋_GBK" w:eastAsia="方正小标宋_GBK"/>
      <w:color w:val="000000"/>
      <w:sz w:val="24"/>
      <w:szCs w:val="24"/>
    </w:rPr>
  </w:style>
  <w:style w:type="paragraph" w:styleId="a3">
    <w:name w:val="Date"/>
    <w:basedOn w:val="a"/>
    <w:next w:val="a"/>
    <w:link w:val="Char"/>
    <w:uiPriority w:val="99"/>
    <w:semiHidden/>
    <w:unhideWhenUsed/>
    <w:qFormat/>
    <w:rsid w:val="002A5B11"/>
    <w:pPr>
      <w:ind w:leftChars="2500" w:left="100"/>
    </w:pPr>
  </w:style>
  <w:style w:type="paragraph" w:styleId="a4">
    <w:name w:val="Balloon Text"/>
    <w:basedOn w:val="a"/>
    <w:link w:val="Char0"/>
    <w:uiPriority w:val="99"/>
    <w:unhideWhenUsed/>
    <w:qFormat/>
    <w:rsid w:val="002A5B11"/>
    <w:rPr>
      <w:sz w:val="18"/>
      <w:szCs w:val="18"/>
    </w:rPr>
  </w:style>
  <w:style w:type="paragraph" w:styleId="a5">
    <w:name w:val="footer"/>
    <w:basedOn w:val="a"/>
    <w:link w:val="Char1"/>
    <w:unhideWhenUsed/>
    <w:qFormat/>
    <w:rsid w:val="002A5B11"/>
    <w:pPr>
      <w:tabs>
        <w:tab w:val="center" w:pos="4153"/>
        <w:tab w:val="right" w:pos="8306"/>
      </w:tabs>
      <w:snapToGrid w:val="0"/>
      <w:jc w:val="left"/>
    </w:pPr>
    <w:rPr>
      <w:rFonts w:ascii="Calibri" w:hAnsi="Calibri" w:cs="黑体"/>
      <w:sz w:val="18"/>
      <w:szCs w:val="18"/>
    </w:rPr>
  </w:style>
  <w:style w:type="paragraph" w:styleId="a6">
    <w:name w:val="header"/>
    <w:basedOn w:val="a"/>
    <w:link w:val="Char2"/>
    <w:uiPriority w:val="99"/>
    <w:unhideWhenUsed/>
    <w:qFormat/>
    <w:rsid w:val="002A5B11"/>
    <w:pPr>
      <w:tabs>
        <w:tab w:val="center" w:pos="4153"/>
        <w:tab w:val="right" w:pos="8306"/>
      </w:tabs>
      <w:snapToGrid w:val="0"/>
      <w:jc w:val="center"/>
    </w:pPr>
    <w:rPr>
      <w:rFonts w:ascii="Calibri" w:hAnsi="Calibri" w:cs="黑体"/>
      <w:sz w:val="18"/>
      <w:szCs w:val="18"/>
    </w:rPr>
  </w:style>
  <w:style w:type="paragraph" w:styleId="a7">
    <w:name w:val="Normal (Web)"/>
    <w:basedOn w:val="a"/>
    <w:qFormat/>
    <w:rsid w:val="002A5B11"/>
    <w:pPr>
      <w:widowControl/>
      <w:spacing w:before="100" w:beforeAutospacing="1" w:after="100" w:afterAutospacing="1"/>
      <w:jc w:val="left"/>
    </w:pPr>
    <w:rPr>
      <w:rFonts w:ascii="宋体" w:hAnsi="宋体" w:cs="宋体"/>
      <w:kern w:val="0"/>
      <w:sz w:val="24"/>
    </w:rPr>
  </w:style>
  <w:style w:type="character" w:styleId="a8">
    <w:name w:val="Strong"/>
    <w:qFormat/>
    <w:rsid w:val="002A5B11"/>
    <w:rPr>
      <w:b/>
    </w:rPr>
  </w:style>
  <w:style w:type="character" w:styleId="a9">
    <w:name w:val="page number"/>
    <w:basedOn w:val="a0"/>
    <w:qFormat/>
    <w:rsid w:val="002A5B11"/>
  </w:style>
  <w:style w:type="character" w:customStyle="1" w:styleId="Char2">
    <w:name w:val="页眉 Char"/>
    <w:link w:val="a6"/>
    <w:uiPriority w:val="99"/>
    <w:qFormat/>
    <w:rsid w:val="002A5B11"/>
    <w:rPr>
      <w:rFonts w:ascii="Calibri" w:hAnsi="Calibri" w:cs="黑体"/>
      <w:kern w:val="2"/>
      <w:sz w:val="18"/>
      <w:szCs w:val="18"/>
    </w:rPr>
  </w:style>
  <w:style w:type="character" w:customStyle="1" w:styleId="Char1">
    <w:name w:val="页脚 Char"/>
    <w:link w:val="a5"/>
    <w:qFormat/>
    <w:rsid w:val="002A5B11"/>
    <w:rPr>
      <w:sz w:val="18"/>
      <w:szCs w:val="18"/>
    </w:rPr>
  </w:style>
  <w:style w:type="character" w:customStyle="1" w:styleId="Char0">
    <w:name w:val="批注框文本 Char"/>
    <w:link w:val="a4"/>
    <w:uiPriority w:val="99"/>
    <w:semiHidden/>
    <w:qFormat/>
    <w:rsid w:val="002A5B11"/>
    <w:rPr>
      <w:rFonts w:ascii="Times New Roman" w:eastAsia="宋体" w:hAnsi="Times New Roman" w:cs="Times New Roman"/>
      <w:sz w:val="18"/>
      <w:szCs w:val="18"/>
    </w:rPr>
  </w:style>
  <w:style w:type="character" w:customStyle="1" w:styleId="font01">
    <w:name w:val="font01"/>
    <w:qFormat/>
    <w:rsid w:val="002A5B11"/>
    <w:rPr>
      <w:rFonts w:ascii="Times New Roman" w:hAnsi="Times New Roman" w:cs="Times New Roman" w:hint="default"/>
      <w:b/>
      <w:color w:val="000000"/>
      <w:sz w:val="18"/>
      <w:szCs w:val="18"/>
      <w:u w:val="none"/>
    </w:rPr>
  </w:style>
  <w:style w:type="character" w:customStyle="1" w:styleId="font11">
    <w:name w:val="font11"/>
    <w:qFormat/>
    <w:rsid w:val="002A5B11"/>
    <w:rPr>
      <w:rFonts w:ascii="宋体" w:eastAsia="宋体" w:hAnsi="宋体" w:cs="宋体" w:hint="eastAsia"/>
      <w:color w:val="000000"/>
      <w:sz w:val="24"/>
      <w:szCs w:val="24"/>
      <w:u w:val="none"/>
    </w:rPr>
  </w:style>
  <w:style w:type="character" w:customStyle="1" w:styleId="1">
    <w:name w:val="书籍标题1"/>
    <w:uiPriority w:val="33"/>
    <w:qFormat/>
    <w:rsid w:val="002A5B11"/>
    <w:rPr>
      <w:b/>
      <w:bCs/>
      <w:i/>
      <w:iCs/>
      <w:spacing w:val="5"/>
    </w:rPr>
  </w:style>
  <w:style w:type="character" w:customStyle="1" w:styleId="1Char">
    <w:name w:val="样式1 Char"/>
    <w:link w:val="10"/>
    <w:qFormat/>
    <w:rsid w:val="002A5B11"/>
    <w:rPr>
      <w:rFonts w:ascii="Calibri" w:hAnsi="Calibri" w:cs="黑体"/>
      <w:kern w:val="2"/>
      <w:sz w:val="18"/>
      <w:szCs w:val="18"/>
      <w:lang w:val="en-US" w:eastAsia="zh-CN"/>
    </w:rPr>
  </w:style>
  <w:style w:type="paragraph" w:customStyle="1" w:styleId="10">
    <w:name w:val="样式1"/>
    <w:basedOn w:val="a6"/>
    <w:link w:val="1Char"/>
    <w:qFormat/>
    <w:rsid w:val="002A5B11"/>
    <w:pPr>
      <w:jc w:val="right"/>
    </w:pPr>
    <w:rPr>
      <w:rFonts w:ascii="Times New Roman" w:hAnsi="Times New Roman" w:cs="Times New Roman"/>
    </w:rPr>
  </w:style>
  <w:style w:type="character" w:customStyle="1" w:styleId="Char">
    <w:name w:val="日期 Char"/>
    <w:basedOn w:val="a0"/>
    <w:link w:val="a3"/>
    <w:uiPriority w:val="99"/>
    <w:semiHidden/>
    <w:qFormat/>
    <w:rsid w:val="002A5B11"/>
    <w:rPr>
      <w:kern w:val="2"/>
      <w:sz w:val="21"/>
      <w:szCs w:val="24"/>
    </w:rPr>
  </w:style>
  <w:style w:type="paragraph" w:customStyle="1" w:styleId="p0">
    <w:name w:val="p0"/>
    <w:basedOn w:val="a"/>
    <w:qFormat/>
    <w:rsid w:val="002A5B11"/>
    <w:pPr>
      <w:widowControl/>
    </w:pPr>
    <w:rPr>
      <w:kern w:val="0"/>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istrator\Desktop\&#32508;&#21512;\&#32508;&#21512;2020\2020&#20844;&#25253;\2016-2020&#24180;GDP&#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t>图1  201</a:t>
            </a:r>
            <a:r>
              <a:rPr lang="en-US" altLang="zh-CN"/>
              <a:t>7</a:t>
            </a:r>
            <a:r>
              <a:t>-202</a:t>
            </a:r>
            <a:r>
              <a:rPr lang="en-US" altLang="zh-CN"/>
              <a:t>1</a:t>
            </a:r>
            <a:r>
              <a:t>年地区生产总值及其增长速度</a:t>
            </a:r>
          </a:p>
        </c:rich>
      </c:tx>
      <c:spPr>
        <a:noFill/>
        <a:ln>
          <a:noFill/>
        </a:ln>
        <a:effectLst/>
      </c:spPr>
    </c:title>
    <c:plotArea>
      <c:layout/>
      <c:barChart>
        <c:barDir val="col"/>
        <c:grouping val="clustered"/>
        <c:ser>
          <c:idx val="0"/>
          <c:order val="0"/>
          <c:tx>
            <c:strRef>
              <c:f>'[2016-2020年GDP图表.xlsx]Sheet1'!$B$1</c:f>
              <c:strCache>
                <c:ptCount val="1"/>
                <c:pt idx="0">
                  <c:v>地区生产总值（万元）</c:v>
                </c:pt>
              </c:strCache>
            </c:strRef>
          </c:tx>
          <c:spPr>
            <a:solidFill>
              <a:schemeClr val="accent1"/>
            </a:solidFill>
            <a:ln>
              <a:noFill/>
            </a:ln>
            <a:effectLst/>
          </c:spPr>
          <c:dLbls>
            <c:delete val="1"/>
          </c:dLbls>
          <c:cat>
            <c:numRef>
              <c:f>'[2016-2020年GDP图表.xlsx]Sheet1'!$A$2:$A$6</c:f>
              <c:numCache>
                <c:formatCode>General</c:formatCode>
                <c:ptCount val="5"/>
                <c:pt idx="0">
                  <c:v>2017</c:v>
                </c:pt>
                <c:pt idx="1">
                  <c:v>2018</c:v>
                </c:pt>
                <c:pt idx="2">
                  <c:v>2019</c:v>
                </c:pt>
                <c:pt idx="3">
                  <c:v>2020</c:v>
                </c:pt>
                <c:pt idx="4">
                  <c:v>2021</c:v>
                </c:pt>
              </c:numCache>
            </c:numRef>
          </c:cat>
          <c:val>
            <c:numRef>
              <c:f>'[2016-2020年GDP图表.xlsx]Sheet1'!$B$2:$B$6</c:f>
              <c:numCache>
                <c:formatCode>General</c:formatCode>
                <c:ptCount val="5"/>
                <c:pt idx="0">
                  <c:v>5195938</c:v>
                </c:pt>
                <c:pt idx="1">
                  <c:v>5764848</c:v>
                </c:pt>
                <c:pt idx="2">
                  <c:v>6557702</c:v>
                </c:pt>
                <c:pt idx="3">
                  <c:v>7097956</c:v>
                </c:pt>
                <c:pt idx="4">
                  <c:v>8134660</c:v>
                </c:pt>
              </c:numCache>
            </c:numRef>
          </c:val>
        </c:ser>
        <c:dLbls>
          <c:showVal val="1"/>
        </c:dLbls>
        <c:gapWidth val="219"/>
        <c:overlap val="-27"/>
        <c:axId val="44228992"/>
        <c:axId val="44230528"/>
      </c:barChart>
      <c:lineChart>
        <c:grouping val="standard"/>
        <c:ser>
          <c:idx val="1"/>
          <c:order val="1"/>
          <c:tx>
            <c:strRef>
              <c:f>'[2016-2020年GDP图表.xlsx]Sheet1'!$C$1</c:f>
              <c:strCache>
                <c:ptCount val="1"/>
                <c:pt idx="0">
                  <c:v>比上年增长（%）</c:v>
                </c:pt>
              </c:strCache>
            </c:strRef>
          </c:tx>
          <c:spPr>
            <a:ln w="28575" cap="rnd">
              <a:solidFill>
                <a:schemeClr val="accent2"/>
              </a:solidFill>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'[2016-2020年GDP图表.xlsx]Sheet1'!$A$2:$A$6</c:f>
              <c:numCache>
                <c:formatCode>General</c:formatCode>
                <c:ptCount val="5"/>
                <c:pt idx="0">
                  <c:v>2017</c:v>
                </c:pt>
                <c:pt idx="1">
                  <c:v>2018</c:v>
                </c:pt>
                <c:pt idx="2">
                  <c:v>2019</c:v>
                </c:pt>
                <c:pt idx="3">
                  <c:v>2020</c:v>
                </c:pt>
                <c:pt idx="4">
                  <c:v>2021</c:v>
                </c:pt>
              </c:numCache>
            </c:numRef>
          </c:cat>
          <c:val>
            <c:numRef>
              <c:f>'[2016-2020年GDP图表.xlsx]Sheet1'!$C$2:$C$6</c:f>
              <c:numCache>
                <c:formatCode>General</c:formatCode>
                <c:ptCount val="5"/>
                <c:pt idx="0">
                  <c:v>10</c:v>
                </c:pt>
                <c:pt idx="1">
                  <c:v>9.8000000000000007</c:v>
                </c:pt>
                <c:pt idx="2">
                  <c:v>9.0999999999999979</c:v>
                </c:pt>
                <c:pt idx="3">
                  <c:v>4.9000000000000101</c:v>
                </c:pt>
                <c:pt idx="4">
                  <c:v>9.4</c:v>
                </c:pt>
              </c:numCache>
            </c:numRef>
          </c:val>
        </c:ser>
        <c:dLbls>
          <c:showVal val="1"/>
        </c:dLbls>
        <c:marker val="1"/>
        <c:axId val="44421120"/>
        <c:axId val="44423040"/>
      </c:lineChart>
      <c:catAx>
        <c:axId val="4422899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4230528"/>
        <c:crosses val="autoZero"/>
        <c:auto val="1"/>
        <c:lblAlgn val="ctr"/>
        <c:lblOffset val="100"/>
      </c:catAx>
      <c:valAx>
        <c:axId val="4423052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4228992"/>
        <c:crosses val="autoZero"/>
        <c:crossBetween val="between"/>
      </c:valAx>
      <c:catAx>
        <c:axId val="44421120"/>
        <c:scaling>
          <c:orientation val="minMax"/>
        </c:scaling>
        <c:delete val="1"/>
        <c:axPos val="b"/>
        <c:numFmt formatCode="General" sourceLinked="1"/>
        <c:tickLblPos val="nextTo"/>
        <c:crossAx val="44423040"/>
        <c:crosses val="autoZero"/>
        <c:auto val="1"/>
        <c:lblAlgn val="ctr"/>
        <c:lblOffset val="100"/>
      </c:catAx>
      <c:valAx>
        <c:axId val="44423040"/>
        <c:scaling>
          <c:orientation val="minMax"/>
        </c:scaling>
        <c:axPos val="r"/>
        <c:numFmt formatCode="General"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4421120"/>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0" vertOverflow="ellipsis" vert="horz" wrap="square" anchor="ctr" anchorCtr="1"/>
          <a:lstStyle/>
          <a:p>
            <a:pPr rtl="0">
              <a:defRPr lang="zh-CN" sz="900" b="1"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altLang="en-US" b="1"/>
              <a:t>图</a:t>
            </a:r>
            <a:r>
              <a:rPr lang="en-US" altLang="zh-CN" b="1"/>
              <a:t>2  2017-2021</a:t>
            </a:r>
            <a:r>
              <a:rPr altLang="en-US" b="1"/>
              <a:t>年三次产业结构</a:t>
            </a:r>
          </a:p>
        </c:rich>
      </c:tx>
      <c:spPr>
        <a:noFill/>
        <a:ln>
          <a:noFill/>
        </a:ln>
        <a:effectLst/>
      </c:spPr>
    </c:title>
    <c:plotArea>
      <c:layout/>
      <c:barChart>
        <c:barDir val="col"/>
        <c:grouping val="percentStacked"/>
        <c:ser>
          <c:idx val="0"/>
          <c:order val="0"/>
          <c:tx>
            <c:strRef>
              <c:f>'[2016-2020年GDP图表.xlsx]Sheet1'!$F$1</c:f>
              <c:strCache>
                <c:ptCount val="1"/>
                <c:pt idx="0">
                  <c:v>第一产业</c:v>
                </c:pt>
              </c:strCache>
            </c:strRef>
          </c:tx>
          <c:spPr>
            <a:solidFill>
              <a:schemeClr val="accent3">
                <a:lumMod val="75000"/>
              </a:schemeClr>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ct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'[2016-2020年GDP图表.xlsx]Sheet1'!$E$2:$E$6</c:f>
              <c:numCache>
                <c:formatCode>General</c:formatCode>
                <c:ptCount val="5"/>
                <c:pt idx="0">
                  <c:v>2017</c:v>
                </c:pt>
                <c:pt idx="1">
                  <c:v>2018</c:v>
                </c:pt>
                <c:pt idx="2">
                  <c:v>2019</c:v>
                </c:pt>
                <c:pt idx="3">
                  <c:v>2020</c:v>
                </c:pt>
                <c:pt idx="4">
                  <c:v>2021</c:v>
                </c:pt>
              </c:numCache>
            </c:numRef>
          </c:cat>
          <c:val>
            <c:numRef>
              <c:f>'[2016-2020年GDP图表.xlsx]Sheet1'!$F$2:$F$6</c:f>
              <c:numCache>
                <c:formatCode>0.0_ </c:formatCode>
                <c:ptCount val="5"/>
                <c:pt idx="0">
                  <c:v>8.8000000000000007</c:v>
                </c:pt>
                <c:pt idx="1">
                  <c:v>8.5</c:v>
                </c:pt>
                <c:pt idx="2">
                  <c:v>8.3000000000000007</c:v>
                </c:pt>
                <c:pt idx="3">
                  <c:v>9.1</c:v>
                </c:pt>
                <c:pt idx="4">
                  <c:v>8.1</c:v>
                </c:pt>
              </c:numCache>
            </c:numRef>
          </c:val>
        </c:ser>
        <c:ser>
          <c:idx val="1"/>
          <c:order val="1"/>
          <c:tx>
            <c:strRef>
              <c:f>'[2016-2020年GDP图表.xlsx]Sheet1'!$G$1</c:f>
              <c:strCache>
                <c:ptCount val="1"/>
                <c:pt idx="0">
                  <c:v>第二产业</c:v>
                </c:pt>
              </c:strCache>
            </c:strRef>
          </c:tx>
          <c:spPr>
            <a:solidFill>
              <a:schemeClr val="accent1"/>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ct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'[2016-2020年GDP图表.xlsx]Sheet1'!$E$2:$E$6</c:f>
              <c:numCache>
                <c:formatCode>General</c:formatCode>
                <c:ptCount val="5"/>
                <c:pt idx="0">
                  <c:v>2017</c:v>
                </c:pt>
                <c:pt idx="1">
                  <c:v>2018</c:v>
                </c:pt>
                <c:pt idx="2">
                  <c:v>2019</c:v>
                </c:pt>
                <c:pt idx="3">
                  <c:v>2020</c:v>
                </c:pt>
                <c:pt idx="4">
                  <c:v>2021</c:v>
                </c:pt>
              </c:numCache>
            </c:numRef>
          </c:cat>
          <c:val>
            <c:numRef>
              <c:f>'[2016-2020年GDP图表.xlsx]Sheet1'!$G$2:$G$6</c:f>
              <c:numCache>
                <c:formatCode>0.0_ </c:formatCode>
                <c:ptCount val="5"/>
                <c:pt idx="0">
                  <c:v>54.4</c:v>
                </c:pt>
                <c:pt idx="1">
                  <c:v>52.3</c:v>
                </c:pt>
                <c:pt idx="2">
                  <c:v>53.3</c:v>
                </c:pt>
                <c:pt idx="3">
                  <c:v>54</c:v>
                </c:pt>
                <c:pt idx="4">
                  <c:v>55.3</c:v>
                </c:pt>
              </c:numCache>
            </c:numRef>
          </c:val>
        </c:ser>
        <c:ser>
          <c:idx val="2"/>
          <c:order val="2"/>
          <c:tx>
            <c:strRef>
              <c:f>'[2016-2020年GDP图表.xlsx]Sheet1'!$H$1</c:f>
              <c:strCache>
                <c:ptCount val="1"/>
                <c:pt idx="0">
                  <c:v>第三产业</c:v>
                </c:pt>
              </c:strCache>
            </c:strRef>
          </c:tx>
          <c:spPr>
            <a:solidFill>
              <a:schemeClr val="accent2"/>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ct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'[2016-2020年GDP图表.xlsx]Sheet1'!$E$2:$E$6</c:f>
              <c:numCache>
                <c:formatCode>General</c:formatCode>
                <c:ptCount val="5"/>
                <c:pt idx="0">
                  <c:v>2017</c:v>
                </c:pt>
                <c:pt idx="1">
                  <c:v>2018</c:v>
                </c:pt>
                <c:pt idx="2">
                  <c:v>2019</c:v>
                </c:pt>
                <c:pt idx="3">
                  <c:v>2020</c:v>
                </c:pt>
                <c:pt idx="4">
                  <c:v>2021</c:v>
                </c:pt>
              </c:numCache>
            </c:numRef>
          </c:cat>
          <c:val>
            <c:numRef>
              <c:f>'[2016-2020年GDP图表.xlsx]Sheet1'!$H$2:$H$6</c:f>
              <c:numCache>
                <c:formatCode>0.0_ </c:formatCode>
                <c:ptCount val="5"/>
                <c:pt idx="0">
                  <c:v>36.800000000000004</c:v>
                </c:pt>
                <c:pt idx="1">
                  <c:v>39.200000000000003</c:v>
                </c:pt>
                <c:pt idx="2">
                  <c:v>38.4</c:v>
                </c:pt>
                <c:pt idx="3">
                  <c:v>36.9</c:v>
                </c:pt>
                <c:pt idx="4">
                  <c:v>36.6</c:v>
                </c:pt>
              </c:numCache>
            </c:numRef>
          </c:val>
        </c:ser>
        <c:dLbls>
          <c:showVal val="1"/>
        </c:dLbls>
        <c:overlap val="100"/>
        <c:axId val="149215104"/>
        <c:axId val="149216640"/>
      </c:barChart>
      <c:catAx>
        <c:axId val="14921510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endParaRPr lang="zh-CN"/>
          </a:p>
        </c:txPr>
        <c:crossAx val="149216640"/>
        <c:crosses val="autoZero"/>
        <c:auto val="1"/>
        <c:lblAlgn val="ctr"/>
        <c:lblOffset val="100"/>
      </c:catAx>
      <c:valAx>
        <c:axId val="149216640"/>
        <c:scaling>
          <c:orientation val="minMax"/>
        </c:scaling>
        <c:axPos val="l"/>
        <c:majorGridlines>
          <c:spPr>
            <a:ln w="9525" cap="flat" cmpd="sng" algn="ctr">
              <a:solidFill>
                <a:schemeClr val="tx1">
                  <a:lumMod val="15000"/>
                  <a:lumOff val="85000"/>
                </a:schemeClr>
              </a:solidFill>
              <a:round/>
            </a:ln>
            <a:effectLst/>
          </c:spPr>
        </c:majorGridlines>
        <c:numFmt formatCode="0%"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49215104"/>
        <c:crosses val="autoZero"/>
        <c:crossBetween val="between"/>
      </c:valAx>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图</a:t>
            </a:r>
            <a:r>
              <a:rPr lang="en-US" altLang="zh-CN" b="1"/>
              <a:t>3</a:t>
            </a:r>
            <a:r>
              <a:rPr b="1"/>
              <a:t>  201</a:t>
            </a:r>
            <a:r>
              <a:rPr lang="en-US" altLang="zh-CN" b="1"/>
              <a:t>7</a:t>
            </a:r>
            <a:r>
              <a:rPr b="1"/>
              <a:t>-202</a:t>
            </a:r>
            <a:r>
              <a:rPr lang="en-US" altLang="zh-CN" b="1"/>
              <a:t>1</a:t>
            </a:r>
            <a:r>
              <a:rPr b="1"/>
              <a:t>年工业增加值及其增长速度</a:t>
            </a:r>
          </a:p>
        </c:rich>
      </c:tx>
      <c:spPr>
        <a:noFill/>
        <a:ln>
          <a:noFill/>
        </a:ln>
        <a:effectLst/>
      </c:spPr>
    </c:title>
    <c:plotArea>
      <c:layout/>
      <c:barChart>
        <c:barDir val="col"/>
        <c:grouping val="clustered"/>
        <c:ser>
          <c:idx val="0"/>
          <c:order val="0"/>
          <c:tx>
            <c:strRef>
              <c:f>'[2016-2020年GDP图表.xlsx]Sheet1'!$B$7</c:f>
              <c:strCache>
                <c:ptCount val="1"/>
                <c:pt idx="0">
                  <c:v>工业增加值</c:v>
                </c:pt>
              </c:strCache>
            </c:strRef>
          </c:tx>
          <c:spPr>
            <a:solidFill>
              <a:schemeClr val="accent1"/>
            </a:solidFill>
            <a:ln>
              <a:noFill/>
            </a:ln>
            <a:effectLst/>
          </c:spPr>
          <c:cat>
            <c:numRef>
              <c:f>'[2016-2020年GDP图表.xlsx]Sheet1'!$A$8:$A$12</c:f>
              <c:numCache>
                <c:formatCode>General</c:formatCode>
                <c:ptCount val="5"/>
                <c:pt idx="0">
                  <c:v>2017</c:v>
                </c:pt>
                <c:pt idx="1">
                  <c:v>2018</c:v>
                </c:pt>
                <c:pt idx="2">
                  <c:v>2019</c:v>
                </c:pt>
                <c:pt idx="3">
                  <c:v>2020</c:v>
                </c:pt>
                <c:pt idx="4">
                  <c:v>2021</c:v>
                </c:pt>
              </c:numCache>
            </c:numRef>
          </c:cat>
          <c:val>
            <c:numRef>
              <c:f>'[2016-2020年GDP图表.xlsx]Sheet1'!$B$8:$B$12</c:f>
              <c:numCache>
                <c:formatCode>General</c:formatCode>
                <c:ptCount val="5"/>
                <c:pt idx="0">
                  <c:v>2170524</c:v>
                </c:pt>
                <c:pt idx="1">
                  <c:v>2284162</c:v>
                </c:pt>
                <c:pt idx="2">
                  <c:v>2653582</c:v>
                </c:pt>
                <c:pt idx="3">
                  <c:v>2881275</c:v>
                </c:pt>
                <c:pt idx="4">
                  <c:v>3382329</c:v>
                </c:pt>
              </c:numCache>
            </c:numRef>
          </c:val>
        </c:ser>
        <c:gapWidth val="219"/>
        <c:overlap val="-27"/>
        <c:axId val="43816448"/>
        <c:axId val="43817984"/>
      </c:barChart>
      <c:lineChart>
        <c:grouping val="standard"/>
        <c:ser>
          <c:idx val="1"/>
          <c:order val="1"/>
          <c:tx>
            <c:strRef>
              <c:f>'[2016-2020年GDP图表.xlsx]Sheet1'!$C$7</c:f>
              <c:strCache>
                <c:ptCount val="1"/>
                <c:pt idx="0">
                  <c:v>比上年增长（%）</c:v>
                </c:pt>
              </c:strCache>
            </c:strRef>
          </c:tx>
          <c:spPr>
            <a:ln w="28575" cap="rnd">
              <a:solidFill>
                <a:schemeClr val="accent2"/>
              </a:solidFill>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'[2016-2020年GDP图表.xlsx]Sheet1'!$A$8:$A$12</c:f>
              <c:numCache>
                <c:formatCode>General</c:formatCode>
                <c:ptCount val="5"/>
                <c:pt idx="0">
                  <c:v>2017</c:v>
                </c:pt>
                <c:pt idx="1">
                  <c:v>2018</c:v>
                </c:pt>
                <c:pt idx="2">
                  <c:v>2019</c:v>
                </c:pt>
                <c:pt idx="3">
                  <c:v>2020</c:v>
                </c:pt>
                <c:pt idx="4">
                  <c:v>2021</c:v>
                </c:pt>
              </c:numCache>
            </c:numRef>
          </c:cat>
          <c:val>
            <c:numRef>
              <c:f>'[2016-2020年GDP图表.xlsx]Sheet1'!$C$8:$C$12</c:f>
              <c:numCache>
                <c:formatCode>General</c:formatCode>
                <c:ptCount val="5"/>
                <c:pt idx="0">
                  <c:v>11.4</c:v>
                </c:pt>
                <c:pt idx="1">
                  <c:v>9.4000000000000128</c:v>
                </c:pt>
                <c:pt idx="2">
                  <c:v>10.3</c:v>
                </c:pt>
                <c:pt idx="3">
                  <c:v>6.1</c:v>
                </c:pt>
                <c:pt idx="4">
                  <c:v>10.3</c:v>
                </c:pt>
              </c:numCache>
            </c:numRef>
          </c:val>
        </c:ser>
        <c:dLbls>
          <c:showVal val="1"/>
        </c:dLbls>
        <c:marker val="1"/>
        <c:axId val="43852544"/>
        <c:axId val="43854080"/>
      </c:lineChart>
      <c:catAx>
        <c:axId val="4381644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817984"/>
        <c:crosses val="autoZero"/>
        <c:auto val="1"/>
        <c:lblAlgn val="ctr"/>
        <c:lblOffset val="100"/>
      </c:catAx>
      <c:valAx>
        <c:axId val="4381798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816448"/>
        <c:crosses val="autoZero"/>
        <c:crossBetween val="between"/>
      </c:valAx>
      <c:catAx>
        <c:axId val="43852544"/>
        <c:scaling>
          <c:orientation val="minMax"/>
        </c:scaling>
        <c:delete val="1"/>
        <c:axPos val="b"/>
        <c:numFmt formatCode="General" sourceLinked="1"/>
        <c:tickLblPos val="nextTo"/>
        <c:crossAx val="43854080"/>
        <c:crosses val="autoZero"/>
        <c:auto val="1"/>
        <c:lblAlgn val="ctr"/>
        <c:lblOffset val="100"/>
      </c:catAx>
      <c:valAx>
        <c:axId val="43854080"/>
        <c:scaling>
          <c:orientation val="minMax"/>
        </c:scaling>
        <c:axPos val="r"/>
        <c:numFmt formatCode="General"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852544"/>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0" vertOverflow="ellipsis" vert="horz" wrap="square" anchor="ctr" anchorCtr="1"/>
          <a:lstStyle/>
          <a:p>
            <a:pPr rtl="0">
              <a:defRPr lang="zh-CN" sz="900" b="1"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图</a:t>
            </a:r>
            <a:r>
              <a:rPr lang="en-US" altLang="zh-CN" b="1"/>
              <a:t>4</a:t>
            </a:r>
            <a:r>
              <a:rPr b="1"/>
              <a:t>  201</a:t>
            </a:r>
            <a:r>
              <a:rPr lang="en-US" altLang="zh-CN" b="1"/>
              <a:t>7</a:t>
            </a:r>
            <a:r>
              <a:rPr b="1"/>
              <a:t>-202</a:t>
            </a:r>
            <a:r>
              <a:rPr lang="en-US" altLang="zh-CN" b="1"/>
              <a:t>1</a:t>
            </a:r>
            <a:r>
              <a:rPr b="1"/>
              <a:t>年建筑业增加值及其增长速度</a:t>
            </a:r>
          </a:p>
        </c:rich>
      </c:tx>
      <c:layout>
        <c:manualLayout>
          <c:xMode val="edge"/>
          <c:yMode val="edge"/>
          <c:x val="0.14777777777777801"/>
          <c:y val="3.8194444444444399E-2"/>
        </c:manualLayout>
      </c:layout>
      <c:spPr>
        <a:noFill/>
        <a:ln>
          <a:noFill/>
        </a:ln>
        <a:effectLst/>
      </c:spPr>
    </c:title>
    <c:plotArea>
      <c:layout/>
      <c:barChart>
        <c:barDir val="col"/>
        <c:grouping val="clustered"/>
        <c:ser>
          <c:idx val="0"/>
          <c:order val="0"/>
          <c:tx>
            <c:strRef>
              <c:f>'[2016-2020年GDP图表.xlsx]Sheet1'!$B$14</c:f>
              <c:strCache>
                <c:ptCount val="1"/>
                <c:pt idx="0">
                  <c:v>建筑业增加值</c:v>
                </c:pt>
              </c:strCache>
            </c:strRef>
          </c:tx>
          <c:spPr>
            <a:solidFill>
              <a:schemeClr val="accent1"/>
            </a:solidFill>
            <a:ln>
              <a:noFill/>
            </a:ln>
            <a:effectLst/>
          </c:spPr>
          <c:cat>
            <c:numRef>
              <c:f>'[2016-2020年GDP图表.xlsx]Sheet1'!$A$15:$A$19</c:f>
              <c:numCache>
                <c:formatCode>General</c:formatCode>
                <c:ptCount val="5"/>
                <c:pt idx="0">
                  <c:v>2017</c:v>
                </c:pt>
                <c:pt idx="1">
                  <c:v>2018</c:v>
                </c:pt>
                <c:pt idx="2">
                  <c:v>2019</c:v>
                </c:pt>
                <c:pt idx="3">
                  <c:v>2020</c:v>
                </c:pt>
                <c:pt idx="4">
                  <c:v>2021</c:v>
                </c:pt>
              </c:numCache>
            </c:numRef>
          </c:cat>
          <c:val>
            <c:numRef>
              <c:f>'[2016-2020年GDP图表.xlsx]Sheet1'!$B$15:$B$19</c:f>
              <c:numCache>
                <c:formatCode>General</c:formatCode>
                <c:ptCount val="5"/>
                <c:pt idx="0">
                  <c:v>655983</c:v>
                </c:pt>
                <c:pt idx="1">
                  <c:v>728832</c:v>
                </c:pt>
                <c:pt idx="2">
                  <c:v>843834</c:v>
                </c:pt>
                <c:pt idx="3">
                  <c:v>948326</c:v>
                </c:pt>
                <c:pt idx="4">
                  <c:v>1115945</c:v>
                </c:pt>
              </c:numCache>
            </c:numRef>
          </c:val>
        </c:ser>
        <c:gapWidth val="219"/>
        <c:overlap val="-27"/>
        <c:axId val="43919232"/>
        <c:axId val="43920768"/>
      </c:barChart>
      <c:lineChart>
        <c:grouping val="standard"/>
        <c:ser>
          <c:idx val="1"/>
          <c:order val="1"/>
          <c:tx>
            <c:strRef>
              <c:f>'[2016-2020年GDP图表.xlsx]Sheet1'!$C$14</c:f>
              <c:strCache>
                <c:ptCount val="1"/>
                <c:pt idx="0">
                  <c:v>比上年增长（%）</c:v>
                </c:pt>
              </c:strCache>
            </c:strRef>
          </c:tx>
          <c:spPr>
            <a:ln w="28575" cap="rnd">
              <a:solidFill>
                <a:schemeClr val="accent2"/>
              </a:solidFill>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'[2016-2020年GDP图表.xlsx]Sheet1'!$A$15:$A$19</c:f>
              <c:numCache>
                <c:formatCode>General</c:formatCode>
                <c:ptCount val="5"/>
                <c:pt idx="0">
                  <c:v>2017</c:v>
                </c:pt>
                <c:pt idx="1">
                  <c:v>2018</c:v>
                </c:pt>
                <c:pt idx="2">
                  <c:v>2019</c:v>
                </c:pt>
                <c:pt idx="3">
                  <c:v>2020</c:v>
                </c:pt>
                <c:pt idx="4">
                  <c:v>2021</c:v>
                </c:pt>
              </c:numCache>
            </c:numRef>
          </c:cat>
          <c:val>
            <c:numRef>
              <c:f>'[2016-2020年GDP图表.xlsx]Sheet1'!$C$15:$C$19</c:f>
              <c:numCache>
                <c:formatCode>General</c:formatCode>
                <c:ptCount val="5"/>
                <c:pt idx="0">
                  <c:v>10.8</c:v>
                </c:pt>
                <c:pt idx="1">
                  <c:v>6.9000000000000101</c:v>
                </c:pt>
                <c:pt idx="2">
                  <c:v>11.1</c:v>
                </c:pt>
                <c:pt idx="3">
                  <c:v>8.1</c:v>
                </c:pt>
                <c:pt idx="4">
                  <c:v>8.1</c:v>
                </c:pt>
              </c:numCache>
            </c:numRef>
          </c:val>
        </c:ser>
        <c:dLbls>
          <c:showVal val="1"/>
        </c:dLbls>
        <c:marker val="1"/>
        <c:axId val="43934848"/>
        <c:axId val="43936384"/>
      </c:lineChart>
      <c:catAx>
        <c:axId val="4391923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920768"/>
        <c:crosses val="autoZero"/>
        <c:auto val="1"/>
        <c:lblAlgn val="ctr"/>
        <c:lblOffset val="100"/>
      </c:catAx>
      <c:valAx>
        <c:axId val="4392076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919232"/>
        <c:crosses val="autoZero"/>
        <c:crossBetween val="between"/>
      </c:valAx>
      <c:catAx>
        <c:axId val="43934848"/>
        <c:scaling>
          <c:orientation val="minMax"/>
        </c:scaling>
        <c:delete val="1"/>
        <c:axPos val="b"/>
        <c:numFmt formatCode="General" sourceLinked="1"/>
        <c:tickLblPos val="nextTo"/>
        <c:crossAx val="43936384"/>
        <c:crosses val="autoZero"/>
        <c:auto val="1"/>
        <c:lblAlgn val="ctr"/>
        <c:lblOffset val="100"/>
      </c:catAx>
      <c:valAx>
        <c:axId val="43936384"/>
        <c:scaling>
          <c:orientation val="minMax"/>
        </c:scaling>
        <c:axPos val="r"/>
        <c:numFmt formatCode="General"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934848"/>
        <c:crosses val="max"/>
        <c:crossBetween val="between"/>
      </c:valAx>
      <c:dTable>
        <c:showHorzBorder val="1"/>
        <c:showVertBorder val="1"/>
        <c:showOutline val="1"/>
        <c:showKeys val="1"/>
        <c:spPr>
          <a:noFill/>
          <a:ln w="9525" cap="flat" cmpd="sng" algn="ctr">
            <a:solidFill>
              <a:schemeClr val="tx1"/>
            </a:solidFill>
            <a:round/>
          </a:ln>
          <a:effectLst/>
        </c:spPr>
        <c:txPr>
          <a:bodyPr rot="0" spcFirstLastPara="0" vertOverflow="ellipsis" vert="horz" wrap="square" anchor="ctr" anchorCtr="1"/>
          <a:lstStyle/>
          <a:p>
            <a:pPr rtl="0">
              <a:defRPr lang="zh-CN" sz="900" b="1"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图</a:t>
            </a:r>
            <a:r>
              <a:rPr lang="en-US" altLang="zh-CN" b="1"/>
              <a:t>5  2017-2021</a:t>
            </a:r>
            <a:r>
              <a:rPr altLang="en-US" b="1"/>
              <a:t>年固定资产投资增长速度</a:t>
            </a:r>
          </a:p>
        </c:rich>
      </c:tx>
      <c:spPr>
        <a:noFill/>
        <a:ln>
          <a:noFill/>
        </a:ln>
        <a:effectLst/>
      </c:spPr>
    </c:title>
    <c:plotArea>
      <c:layout/>
      <c:lineChart>
        <c:grouping val="standard"/>
        <c:ser>
          <c:idx val="0"/>
          <c:order val="0"/>
          <c:tx>
            <c:strRef>
              <c:f>'[2016-2020年GDP图表.xlsx]Sheet1'!$B$22</c:f>
              <c:strCache>
                <c:ptCount val="1"/>
                <c:pt idx="0">
                  <c:v>比上年增长（%）</c:v>
                </c:pt>
              </c:strCache>
            </c:strRef>
          </c:tx>
          <c:spPr>
            <a:ln w="28575" cap="rnd">
              <a:solidFill>
                <a:schemeClr val="accent1"/>
              </a:solidFill>
              <a:round/>
            </a:ln>
            <a:effectLst/>
          </c:spPr>
          <c:marker>
            <c:symbol val="none"/>
          </c:marker>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t"/>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'[2016-2020年GDP图表.xlsx]Sheet1'!$A$23:$A$27</c:f>
              <c:numCache>
                <c:formatCode>General</c:formatCode>
                <c:ptCount val="5"/>
                <c:pt idx="0">
                  <c:v>2017</c:v>
                </c:pt>
                <c:pt idx="1">
                  <c:v>2018</c:v>
                </c:pt>
                <c:pt idx="2">
                  <c:v>2019</c:v>
                </c:pt>
                <c:pt idx="3">
                  <c:v>2020</c:v>
                </c:pt>
                <c:pt idx="4">
                  <c:v>2021</c:v>
                </c:pt>
              </c:numCache>
            </c:numRef>
          </c:cat>
          <c:val>
            <c:numRef>
              <c:f>'[2016-2020年GDP图表.xlsx]Sheet1'!$B$23:$B$27</c:f>
              <c:numCache>
                <c:formatCode>0.0_ </c:formatCode>
                <c:ptCount val="5"/>
                <c:pt idx="0">
                  <c:v>16</c:v>
                </c:pt>
                <c:pt idx="1">
                  <c:v>13.5</c:v>
                </c:pt>
                <c:pt idx="2">
                  <c:v>10.7</c:v>
                </c:pt>
                <c:pt idx="3">
                  <c:v>14.6</c:v>
                </c:pt>
                <c:pt idx="4">
                  <c:v>11.4</c:v>
                </c:pt>
              </c:numCache>
            </c:numRef>
          </c:val>
        </c:ser>
        <c:dLbls>
          <c:showVal val="1"/>
        </c:dLbls>
        <c:marker val="1"/>
        <c:axId val="43970944"/>
        <c:axId val="43972480"/>
      </c:lineChart>
      <c:catAx>
        <c:axId val="439709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972480"/>
        <c:crosses val="autoZero"/>
        <c:auto val="1"/>
        <c:lblAlgn val="ctr"/>
        <c:lblOffset val="100"/>
      </c:catAx>
      <c:valAx>
        <c:axId val="43972480"/>
        <c:scaling>
          <c:orientation val="minMax"/>
        </c:scaling>
        <c:axPos val="l"/>
        <c:majorGridlines>
          <c:spPr>
            <a:ln w="9525" cap="flat" cmpd="sng" algn="ctr">
              <a:solidFill>
                <a:schemeClr val="tx1">
                  <a:lumMod val="15000"/>
                  <a:lumOff val="85000"/>
                </a:schemeClr>
              </a:solidFill>
              <a:round/>
            </a:ln>
            <a:effectLst/>
          </c:spPr>
        </c:majorGridlines>
        <c:numFmt formatCode="0.0_ "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3970944"/>
        <c:crosses val="autoZero"/>
        <c:crossBetween val="between"/>
      </c:valAx>
      <c:dTable>
        <c:showHorzBorder val="1"/>
        <c:showVertBorder val="1"/>
        <c:showOutline val="1"/>
        <c:showKeys val="1"/>
        <c:spPr>
          <a:noFill/>
          <a:ln w="9525" cap="flat" cmpd="sng" algn="ctr">
            <a:solidFill>
              <a:schemeClr val="tx1"/>
            </a:solidFill>
            <a:round/>
          </a:ln>
          <a:effectLst/>
        </c:spPr>
        <c:txPr>
          <a:bodyPr rot="0" spcFirstLastPara="0" vertOverflow="ellipsis" vert="horz" wrap="square" anchor="ctr" anchorCtr="1"/>
          <a:lstStyle/>
          <a:p>
            <a:pPr rtl="0">
              <a:defRPr lang="zh-CN" sz="900" b="1"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600" b="1" i="0" u="none" strike="noStrike" kern="1200" baseline="0">
                <a:solidFill>
                  <a:schemeClr val="tx1">
                    <a:lumMod val="65000"/>
                    <a:lumOff val="35000"/>
                  </a:schemeClr>
                </a:solidFill>
                <a:latin typeface="+mn-lt"/>
                <a:ea typeface="+mn-ea"/>
                <a:cs typeface="+mn-cs"/>
              </a:defRPr>
            </a:pPr>
            <a:r>
              <a:rPr sz="1400" b="1"/>
              <a:t>图</a:t>
            </a:r>
            <a:r>
              <a:rPr lang="en-US" altLang="zh-CN" sz="1400" b="1"/>
              <a:t>6   2021</a:t>
            </a:r>
            <a:r>
              <a:rPr altLang="en-US" sz="1400" b="1"/>
              <a:t>年常住居民人均可支配收入构成</a:t>
            </a:r>
          </a:p>
        </c:rich>
      </c:tx>
      <c:layout>
        <c:manualLayout>
          <c:xMode val="edge"/>
          <c:yMode val="edge"/>
          <c:x val="0.21880661915690311"/>
          <c:y val="4.9732915822435164E-2"/>
        </c:manualLayout>
      </c:layout>
      <c:spPr>
        <a:noFill/>
        <a:ln>
          <a:noFill/>
        </a:ln>
        <a:effectLst/>
      </c:spPr>
    </c:title>
    <c:plotArea>
      <c:layout/>
      <c:pieChart>
        <c:varyColors val="1"/>
        <c:ser>
          <c:idx val="0"/>
          <c:order val="0"/>
          <c:tx>
            <c:strRef>
              <c:f>'[2016-2020年GDP图表.xlsx]Sheet2'!$E$46</c:f>
              <c:strCache>
                <c:ptCount val="1"/>
                <c:pt idx="0">
                  <c:v>金额</c:v>
                </c:pt>
              </c:strCache>
            </c:strRef>
          </c:tx>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layout>
                <c:manualLayout>
                  <c:x val="-0.18621656567989611"/>
                  <c:y val="-2.8786530748082184E-2"/>
                </c:manualLayout>
              </c:layout>
              <c:tx>
                <c:rich>
                  <a:bodyPr/>
                  <a:lstStyle/>
                  <a:p>
                    <a:r>
                      <a:rPr b="1"/>
                      <a:t>工资性收入</a:t>
                    </a:r>
                  </a:p>
                  <a:p>
                    <a:r>
                      <a:rPr b="1"/>
                      <a:t>53%</a:t>
                    </a:r>
                  </a:p>
                </c:rich>
              </c:tx>
              <c:dLblPos val="bestFit"/>
              <c:showCatName val="1"/>
              <c:showPercent val="1"/>
              <c:separator>
</c:separator>
              <c:extLst>
                <c:ext xmlns:c15="http://schemas.microsoft.com/office/drawing/2012/chart" uri="{CE6537A1-D6FC-4f65-9D91-7224C49458BB}">
                  <c15:layout/>
                </c:ext>
              </c:extLst>
            </c:dLbl>
            <c:dLbl>
              <c:idx val="1"/>
              <c:layout>
                <c:manualLayout>
                  <c:x val="8.3178417701144994E-2"/>
                  <c:y val="-0.14307206507329701"/>
                </c:manualLayout>
              </c:layout>
              <c:tx>
                <c:rich>
                  <a:bodyPr/>
                  <a:lstStyle/>
                  <a:p>
                    <a:r>
                      <a:rPr b="1"/>
                      <a:t>经营净收入</a:t>
                    </a:r>
                  </a:p>
                  <a:p>
                    <a:r>
                      <a:rPr b="1"/>
                      <a:t>17%</a:t>
                    </a:r>
                  </a:p>
                </c:rich>
              </c:tx>
              <c:dLblPos val="bestFit"/>
              <c:showCatName val="1"/>
              <c:showPercent val="1"/>
              <c:separator>
</c:separator>
              <c:extLst>
                <c:ext xmlns:c15="http://schemas.microsoft.com/office/drawing/2012/chart" uri="{CE6537A1-D6FC-4f65-9D91-7224C49458BB}">
                  <c15:layout/>
                </c:ext>
              </c:extLst>
            </c:dLbl>
            <c:dLbl>
              <c:idx val="2"/>
              <c:layout>
                <c:manualLayout>
                  <c:x val="0.1315934469799791"/>
                  <c:y val="-1.2916214796960805E-2"/>
                </c:manualLayout>
              </c:layout>
              <c:tx>
                <c:rich>
                  <a:bodyPr/>
                  <a:lstStyle/>
                  <a:p>
                    <a:r>
                      <a:rPr b="1"/>
                      <a:t>财产净收入</a:t>
                    </a:r>
                  </a:p>
                  <a:p>
                    <a:r>
                      <a:rPr b="1"/>
                      <a:t>5%</a:t>
                    </a:r>
                  </a:p>
                </c:rich>
              </c:tx>
              <c:dLblPos val="bestFit"/>
              <c:showCatName val="1"/>
              <c:showPercent val="1"/>
              <c:separator>
</c:separator>
              <c:extLst>
                <c:ext xmlns:c15="http://schemas.microsoft.com/office/drawing/2012/chart" uri="{CE6537A1-D6FC-4f65-9D91-7224C49458BB}">
                  <c15:layout/>
                </c:ext>
              </c:extLst>
            </c:dLbl>
            <c:dLbl>
              <c:idx val="3"/>
              <c:layout>
                <c:manualLayout>
                  <c:x val="0.11287577531448502"/>
                  <c:y val="0.13893329082705821"/>
                </c:manualLayout>
              </c:layout>
              <c:tx>
                <c:rich>
                  <a:bodyPr/>
                  <a:lstStyle/>
                  <a:p>
                    <a:r>
                      <a:rPr b="1"/>
                      <a:t>转移净收入</a:t>
                    </a:r>
                  </a:p>
                  <a:p>
                    <a:r>
                      <a:rPr b="1"/>
                      <a:t>25%</a:t>
                    </a:r>
                  </a:p>
                </c:rich>
              </c:tx>
              <c:dLblPos val="bestFit"/>
              <c:showCatName val="1"/>
              <c:showPercent val="1"/>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endParaRPr lang="zh-CN"/>
              </a:p>
            </c:txPr>
            <c:dLblPos val="bestFit"/>
            <c:showCatName val="1"/>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'[2016-2020年GDP图表.xlsx]Sheet2'!$D$47:$D$50</c:f>
              <c:strCache>
                <c:ptCount val="4"/>
                <c:pt idx="0">
                  <c:v>工资性收入18354元</c:v>
                </c:pt>
                <c:pt idx="1">
                  <c:v>经营净收入6074元</c:v>
                </c:pt>
                <c:pt idx="2">
                  <c:v>财产净收入1850元</c:v>
                </c:pt>
                <c:pt idx="3">
                  <c:v>转移净收入8533元</c:v>
                </c:pt>
              </c:strCache>
            </c:strRef>
          </c:cat>
          <c:val>
            <c:numRef>
              <c:f>'[2016-2020年GDP图表.xlsx]Sheet2'!$E$47:$E$50</c:f>
              <c:numCache>
                <c:formatCode>General</c:formatCode>
                <c:ptCount val="4"/>
                <c:pt idx="0">
                  <c:v>18354</c:v>
                </c:pt>
                <c:pt idx="1">
                  <c:v>6074</c:v>
                </c:pt>
                <c:pt idx="2">
                  <c:v>1850</c:v>
                </c:pt>
                <c:pt idx="3">
                  <c:v>8533</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Info spid="_x0000_s4104"/>
    <customShpInfo spid="_x0000_s4102"/>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1360</Words>
  <Characters>7758</Characters>
  <Application>Microsoft Office Word</Application>
  <DocSecurity>0</DocSecurity>
  <Lines>64</Lines>
  <Paragraphs>18</Paragraphs>
  <ScaleCrop>false</ScaleCrop>
  <Company>国家统计局</Company>
  <LinksUpToDate>false</LinksUpToDate>
  <CharactersWithSpaces>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2016年荣昌区国民经济和社会发展统计公报</dc:title>
  <dc:creator>msw</dc:creator>
  <cp:lastModifiedBy>China</cp:lastModifiedBy>
  <cp:revision>22</cp:revision>
  <cp:lastPrinted>2021-11-17T02:58:00Z</cp:lastPrinted>
  <dcterms:created xsi:type="dcterms:W3CDTF">2020-07-08T09:36:00Z</dcterms:created>
  <dcterms:modified xsi:type="dcterms:W3CDTF">2022-10-26T01:29:00Z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