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2017年重庆市荣昌区国民经济和社会发展统计公报</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重庆市荣昌区统计局</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2018年2月28日</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2017年，面对错综复杂的宏观经济环境，荣昌区委、区政府以</w:t>
      </w:r>
      <w:r>
        <w:rPr>
          <w:rFonts w:hint="eastAsia" w:ascii="方正仿宋_GBK" w:hAnsi="方正仿宋_GBK" w:eastAsia="方正仿宋_GBK" w:cs="方正仿宋_GBK"/>
          <w:bCs/>
          <w:kern w:val="2"/>
          <w:sz w:val="32"/>
          <w:szCs w:val="32"/>
        </w:rPr>
        <w:t>习近平新时代中国特色社会主义思想为指导，</w:t>
      </w:r>
      <w:r>
        <w:rPr>
          <w:rFonts w:hint="eastAsia" w:ascii="方正仿宋_GBK" w:hAnsi="方正仿宋_GBK" w:eastAsia="方正仿宋_GBK" w:cs="方正仿宋_GBK"/>
          <w:sz w:val="32"/>
          <w:szCs w:val="32"/>
        </w:rPr>
        <w:t>坚持稳中求进工作总基调，积极推进供给侧结构性改革，</w:t>
      </w:r>
      <w:r>
        <w:rPr>
          <w:rFonts w:hint="eastAsia" w:ascii="方正仿宋_GBK" w:hAnsi="方正仿宋_GBK" w:eastAsia="方正仿宋_GBK" w:cs="方正仿宋_GBK"/>
          <w:bCs/>
          <w:kern w:val="2"/>
          <w:sz w:val="32"/>
          <w:szCs w:val="32"/>
        </w:rPr>
        <w:t>统筹推进“五位一体”总体布局，协调推进“四个全面”战略布局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kern w:val="2"/>
          <w:sz w:val="32"/>
          <w:szCs w:val="32"/>
        </w:rPr>
        <w:t>围绕实现“三高五新”宏伟蓝图，坚持“说了算、定了干、马上办”</w:t>
      </w:r>
      <w:r>
        <w:rPr>
          <w:rFonts w:hint="eastAsia" w:ascii="方正仿宋_GBK" w:hAnsi="方正仿宋_GBK" w:eastAsia="方正仿宋_GBK" w:cs="方正仿宋_GBK"/>
          <w:sz w:val="32"/>
          <w:szCs w:val="32"/>
        </w:rPr>
        <w:t>，全区经济实现了持续稳定增长，经济发展质量和效益提升，各项社会事业取得全面进步，经济社会发展呈现持续健康发展的良好态势。</w:t>
      </w:r>
    </w:p>
    <w:p>
      <w:pPr>
        <w:pStyle w:val="5"/>
        <w:tabs>
          <w:tab w:val="left" w:pos="550"/>
        </w:tabs>
        <w:spacing w:before="0" w:beforeAutospacing="0" w:after="0" w:afterAutospacing="0"/>
        <w:ind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ab/>
      </w:r>
      <w:r>
        <w:rPr>
          <w:rFonts w:hint="eastAsia" w:ascii="方正黑体_GBK" w:hAnsi="方正黑体_GBK" w:eastAsia="方正黑体_GBK" w:cs="方正黑体_GBK"/>
          <w:b/>
          <w:sz w:val="32"/>
          <w:szCs w:val="32"/>
        </w:rPr>
        <w:t>一、综合</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地区生产总值4147947万元，比上年增长9.2%。按产业分，第一产业增加值505771万元，增长3.6%；第二产业增加值2638346万元，增长10.4%；第三产业增加值1003830万元，增长8.9%。第一产业增加值占地区生产总值的比重为12.2%，比上年下降1.1个百分点；第二产业增加值比重为63.6%，比上年上升1.3个百分点；第三产业增加值比重为24.2%，比上年下降0.2个百分点。</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按常住人口计算，2017年全区人均生产总值达到58657元，比上年增长8.5%。</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年末全区常住人口71.00万人，比上年增加0.57万人。其中城镇人口38.92万人，增加1.64万人，城镇化率54.82%，比上年提高1.89个百分点。</w:t>
      </w:r>
    </w:p>
    <w:p>
      <w:pPr>
        <w:pStyle w:val="5"/>
        <w:spacing w:before="0" w:beforeAutospacing="0" w:after="0" w:afterAutospacing="0"/>
        <w:ind w:right="44" w:firstLine="640" w:firstLineChars="200"/>
        <w:jc w:val="both"/>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年末全区户籍人口849562人，比上年减少1053人。其中城镇人口398937人，乡村人口450625人。分性别看，男性人口433368人，女性人口416194人，人口性别比（以女性为1，男性对女性的比例）为1.04。户籍户数310873户。全年出生人口11685人，出生人口性别比为1.03，出生率为13.7‰；死亡人口10356人，死亡率为12.2‰；自然增长率为1.6‰。</w:t>
      </w: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表1　2017年人口数及其构成</w:t>
      </w:r>
    </w:p>
    <w:tbl>
      <w:tblPr>
        <w:tblStyle w:val="9"/>
        <w:tblW w:w="7380" w:type="dxa"/>
        <w:tblInd w:w="648" w:type="dxa"/>
        <w:tblLayout w:type="fixed"/>
        <w:tblCellMar>
          <w:top w:w="0" w:type="dxa"/>
          <w:left w:w="108" w:type="dxa"/>
          <w:bottom w:w="0" w:type="dxa"/>
          <w:right w:w="108" w:type="dxa"/>
        </w:tblCellMar>
      </w:tblPr>
      <w:tblGrid>
        <w:gridCol w:w="3888"/>
        <w:gridCol w:w="1660"/>
        <w:gridCol w:w="1832"/>
      </w:tblGrid>
      <w:tr>
        <w:tblPrEx>
          <w:tblLayout w:type="fixed"/>
          <w:tblCellMar>
            <w:top w:w="0" w:type="dxa"/>
            <w:left w:w="108" w:type="dxa"/>
            <w:bottom w:w="0" w:type="dxa"/>
            <w:right w:w="108" w:type="dxa"/>
          </w:tblCellMar>
        </w:tblPrEx>
        <w:trPr>
          <w:trHeight w:val="817" w:hRule="atLeast"/>
        </w:trPr>
        <w:tc>
          <w:tcPr>
            <w:tcW w:w="3888"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指标名称</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w:t>
            </w:r>
          </w:p>
        </w:tc>
        <w:tc>
          <w:tcPr>
            <w:tcW w:w="1832" w:type="dxa"/>
            <w:tcBorders>
              <w:top w:val="single" w:color="auto" w:sz="4" w:space="0"/>
              <w:left w:val="single" w:color="auto" w:sz="4" w:space="0"/>
              <w:bottom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比重（％）</w:t>
            </w:r>
          </w:p>
        </w:tc>
      </w:tr>
      <w:tr>
        <w:tblPrEx>
          <w:tblLayout w:type="fixed"/>
          <w:tblCellMar>
            <w:top w:w="0" w:type="dxa"/>
            <w:left w:w="108" w:type="dxa"/>
            <w:bottom w:w="0" w:type="dxa"/>
            <w:right w:w="108" w:type="dxa"/>
          </w:tblCellMar>
        </w:tblPrEx>
        <w:trPr>
          <w:trHeight w:val="615" w:hRule="exact"/>
        </w:trPr>
        <w:tc>
          <w:tcPr>
            <w:tcW w:w="3888" w:type="dxa"/>
            <w:tcBorders>
              <w:right w:val="single" w:color="auto" w:sz="4" w:space="0"/>
            </w:tcBorders>
            <w:vAlign w:val="center"/>
          </w:tcPr>
          <w:p>
            <w:pPr>
              <w:widowControl/>
              <w:shd w:val="clear" w:color="auto" w:fill="FFFFFF"/>
              <w:spacing w:line="360" w:lineRule="auto"/>
              <w:ind w:firstLine="480" w:firstLineChars="2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常住人口（万人）</w:t>
            </w:r>
          </w:p>
        </w:tc>
        <w:tc>
          <w:tcPr>
            <w:tcW w:w="1660" w:type="dxa"/>
            <w:tcBorders>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71.00 </w:t>
            </w:r>
          </w:p>
        </w:tc>
        <w:tc>
          <w:tcPr>
            <w:tcW w:w="1832"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r>
        <w:tblPrEx>
          <w:tblLayout w:type="fixed"/>
          <w:tblCellMar>
            <w:top w:w="0" w:type="dxa"/>
            <w:left w:w="108" w:type="dxa"/>
            <w:bottom w:w="0" w:type="dxa"/>
            <w:right w:w="108" w:type="dxa"/>
          </w:tblCellMar>
        </w:tblPrEx>
        <w:trPr>
          <w:trHeight w:val="615" w:hRule="exact"/>
        </w:trPr>
        <w:tc>
          <w:tcPr>
            <w:tcW w:w="3888" w:type="dxa"/>
            <w:tcBorders>
              <w:right w:val="single" w:color="auto" w:sz="4" w:space="0"/>
            </w:tcBorders>
            <w:vAlign w:val="center"/>
          </w:tcPr>
          <w:p>
            <w:pPr>
              <w:widowControl/>
              <w:shd w:val="clear" w:color="auto" w:fill="FFFFFF"/>
              <w:spacing w:line="360" w:lineRule="auto"/>
              <w:ind w:firstLine="720" w:firstLineChars="3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其中：城镇人口（万人）</w:t>
            </w:r>
          </w:p>
        </w:tc>
        <w:tc>
          <w:tcPr>
            <w:tcW w:w="1660" w:type="dxa"/>
            <w:tcBorders>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38.92 </w:t>
            </w:r>
          </w:p>
        </w:tc>
        <w:tc>
          <w:tcPr>
            <w:tcW w:w="1832"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54.82</w:t>
            </w:r>
          </w:p>
        </w:tc>
      </w:tr>
      <w:tr>
        <w:tblPrEx>
          <w:tblLayout w:type="fixed"/>
          <w:tblCellMar>
            <w:top w:w="0" w:type="dxa"/>
            <w:left w:w="108" w:type="dxa"/>
            <w:bottom w:w="0" w:type="dxa"/>
            <w:right w:w="108" w:type="dxa"/>
          </w:tblCellMar>
        </w:tblPrEx>
        <w:trPr>
          <w:trHeight w:val="615" w:hRule="exact"/>
        </w:trPr>
        <w:tc>
          <w:tcPr>
            <w:tcW w:w="3888" w:type="dxa"/>
            <w:tcBorders>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农村人口（万人）</w:t>
            </w:r>
          </w:p>
        </w:tc>
        <w:tc>
          <w:tcPr>
            <w:tcW w:w="166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32.08 </w:t>
            </w:r>
          </w:p>
        </w:tc>
        <w:tc>
          <w:tcPr>
            <w:tcW w:w="183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45.18</w:t>
            </w:r>
          </w:p>
        </w:tc>
      </w:tr>
      <w:tr>
        <w:tblPrEx>
          <w:tblLayout w:type="fixed"/>
          <w:tblCellMar>
            <w:top w:w="0" w:type="dxa"/>
            <w:left w:w="108" w:type="dxa"/>
            <w:bottom w:w="0" w:type="dxa"/>
            <w:right w:w="108" w:type="dxa"/>
          </w:tblCellMar>
        </w:tblPrEx>
        <w:trPr>
          <w:trHeight w:val="615" w:hRule="exact"/>
        </w:trPr>
        <w:tc>
          <w:tcPr>
            <w:tcW w:w="3888" w:type="dxa"/>
            <w:tcBorders>
              <w:right w:val="single" w:color="auto" w:sz="4" w:space="0"/>
            </w:tcBorders>
            <w:vAlign w:val="center"/>
          </w:tcPr>
          <w:p>
            <w:pPr>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户籍总人口（人）</w:t>
            </w:r>
          </w:p>
        </w:tc>
        <w:tc>
          <w:tcPr>
            <w:tcW w:w="166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849562</w:t>
            </w:r>
          </w:p>
        </w:tc>
        <w:tc>
          <w:tcPr>
            <w:tcW w:w="183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r>
        <w:tblPrEx>
          <w:tblLayout w:type="fixed"/>
          <w:tblCellMar>
            <w:top w:w="0" w:type="dxa"/>
            <w:left w:w="108" w:type="dxa"/>
            <w:bottom w:w="0" w:type="dxa"/>
            <w:right w:w="108" w:type="dxa"/>
          </w:tblCellMar>
        </w:tblPrEx>
        <w:trPr>
          <w:trHeight w:val="615" w:hRule="exact"/>
        </w:trPr>
        <w:tc>
          <w:tcPr>
            <w:tcW w:w="3888" w:type="dxa"/>
            <w:tcBorders>
              <w:right w:val="single" w:color="auto" w:sz="4" w:space="0"/>
            </w:tcBorders>
            <w:vAlign w:val="center"/>
          </w:tcPr>
          <w:p>
            <w:pPr>
              <w:widowControl/>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其中：城镇人口（人）</w:t>
            </w:r>
          </w:p>
        </w:tc>
        <w:tc>
          <w:tcPr>
            <w:tcW w:w="166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398937</w:t>
            </w:r>
          </w:p>
        </w:tc>
        <w:tc>
          <w:tcPr>
            <w:tcW w:w="183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47.0 </w:t>
            </w:r>
          </w:p>
        </w:tc>
      </w:tr>
      <w:tr>
        <w:tblPrEx>
          <w:tblLayout w:type="fixed"/>
          <w:tblCellMar>
            <w:top w:w="0" w:type="dxa"/>
            <w:left w:w="108" w:type="dxa"/>
            <w:bottom w:w="0" w:type="dxa"/>
            <w:right w:w="108" w:type="dxa"/>
          </w:tblCellMar>
        </w:tblPrEx>
        <w:trPr>
          <w:trHeight w:val="615" w:hRule="exact"/>
        </w:trPr>
        <w:tc>
          <w:tcPr>
            <w:tcW w:w="3888" w:type="dxa"/>
            <w:tcBorders>
              <w:right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乡村人口（人）</w:t>
            </w:r>
          </w:p>
        </w:tc>
        <w:tc>
          <w:tcPr>
            <w:tcW w:w="166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450625</w:t>
            </w:r>
          </w:p>
        </w:tc>
        <w:tc>
          <w:tcPr>
            <w:tcW w:w="183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53.0 </w:t>
            </w:r>
          </w:p>
        </w:tc>
      </w:tr>
      <w:tr>
        <w:tblPrEx>
          <w:tblLayout w:type="fixed"/>
          <w:tblCellMar>
            <w:top w:w="0" w:type="dxa"/>
            <w:left w:w="108" w:type="dxa"/>
            <w:bottom w:w="0" w:type="dxa"/>
            <w:right w:w="108" w:type="dxa"/>
          </w:tblCellMar>
        </w:tblPrEx>
        <w:trPr>
          <w:trHeight w:val="615" w:hRule="exact"/>
        </w:trPr>
        <w:tc>
          <w:tcPr>
            <w:tcW w:w="3888" w:type="dxa"/>
            <w:tcBorders>
              <w:right w:val="single" w:color="auto" w:sz="4" w:space="0"/>
            </w:tcBorders>
            <w:vAlign w:val="center"/>
          </w:tcPr>
          <w:p>
            <w:pPr>
              <w:ind w:firstLine="720" w:firstLineChars="3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其中：男性（人）</w:t>
            </w:r>
          </w:p>
        </w:tc>
        <w:tc>
          <w:tcPr>
            <w:tcW w:w="1660"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433368</w:t>
            </w:r>
          </w:p>
        </w:tc>
        <w:tc>
          <w:tcPr>
            <w:tcW w:w="1832"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51.1 </w:t>
            </w:r>
          </w:p>
        </w:tc>
      </w:tr>
      <w:tr>
        <w:tblPrEx>
          <w:tblLayout w:type="fixed"/>
          <w:tblCellMar>
            <w:top w:w="0" w:type="dxa"/>
            <w:left w:w="108" w:type="dxa"/>
            <w:bottom w:w="0" w:type="dxa"/>
            <w:right w:w="108" w:type="dxa"/>
          </w:tblCellMar>
        </w:tblPrEx>
        <w:trPr>
          <w:trHeight w:val="622" w:hRule="exact"/>
        </w:trPr>
        <w:tc>
          <w:tcPr>
            <w:tcW w:w="3888" w:type="dxa"/>
            <w:tcBorders>
              <w:bottom w:val="single" w:color="auto" w:sz="4" w:space="0"/>
              <w:right w:val="single" w:color="auto" w:sz="4" w:space="0"/>
            </w:tcBorders>
            <w:vAlign w:val="center"/>
          </w:tcPr>
          <w:p>
            <w:pPr>
              <w:ind w:firstLine="1440" w:firstLineChars="6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女性（人）</w:t>
            </w:r>
          </w:p>
        </w:tc>
        <w:tc>
          <w:tcPr>
            <w:tcW w:w="1660"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416194</w:t>
            </w:r>
          </w:p>
        </w:tc>
        <w:tc>
          <w:tcPr>
            <w:tcW w:w="1832"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48.9 </w:t>
            </w:r>
          </w:p>
        </w:tc>
      </w:tr>
    </w:tbl>
    <w:p>
      <w:pPr>
        <w:pStyle w:val="5"/>
        <w:spacing w:before="0" w:beforeAutospacing="0" w:after="0" w:afterAutospacing="0"/>
        <w:ind w:left="45" w:right="45" w:firstLine="480" w:firstLineChars="200"/>
        <w:rPr>
          <w:rFonts w:ascii="方正仿宋_GBK" w:hAnsi="方正仿宋_GBK" w:eastAsia="方正仿宋_GBK" w:cs="方正仿宋_GBK"/>
          <w:color w:val="0000FF"/>
        </w:rPr>
      </w:pPr>
    </w:p>
    <w:p>
      <w:pPr>
        <w:widowControl/>
        <w:shd w:val="clear" w:color="auto" w:fill="FFFFFF"/>
        <w:spacing w:line="360" w:lineRule="auto"/>
        <w:ind w:firstLine="420" w:firstLineChars="200"/>
        <w:rPr>
          <w:rFonts w:ascii="方正仿宋_GBK" w:hAnsi="方正仿宋_GBK" w:eastAsia="方正仿宋_GBK" w:cs="方正仿宋_GBK"/>
          <w:bCs/>
          <w:kern w:val="0"/>
          <w:sz w:val="28"/>
          <w:szCs w:val="28"/>
        </w:rPr>
      </w:pPr>
      <w:r>
        <w:rPr>
          <w:rFonts w:ascii="方正仿宋_GBK" w:hAnsi="方正仿宋_GBK" w:eastAsia="方正仿宋_GBK" w:cs="方正仿宋_GBK"/>
        </w:rPr>
        <w:drawing>
          <wp:inline distT="0" distB="0" distL="114300" distR="114300">
            <wp:extent cx="4857750" cy="3352800"/>
            <wp:effectExtent l="0" t="0" r="381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7"/>
                    <a:stretch>
                      <a:fillRect/>
                    </a:stretch>
                  </pic:blipFill>
                  <pic:spPr>
                    <a:xfrm>
                      <a:off x="0" y="0"/>
                      <a:ext cx="4857750" cy="3352800"/>
                    </a:xfrm>
                    <a:prstGeom prst="rect">
                      <a:avLst/>
                    </a:prstGeom>
                    <a:noFill/>
                    <a:ln w="9525">
                      <a:noFill/>
                    </a:ln>
                  </pic:spPr>
                </pic:pic>
              </a:graphicData>
            </a:graphic>
          </wp:inline>
        </w:drawing>
      </w:r>
    </w:p>
    <w:p>
      <w:pPr>
        <w:widowControl/>
        <w:shd w:val="clear" w:color="auto" w:fill="FFFFFF"/>
        <w:spacing w:line="360" w:lineRule="auto"/>
        <w:ind w:firstLine="640" w:firstLineChars="200"/>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Cs/>
          <w:kern w:val="0"/>
          <w:sz w:val="32"/>
          <w:szCs w:val="32"/>
        </w:rPr>
        <w:t>就业形势良好。2017年城镇新增就业人员17952人,比上年增长3.6%。新增转移农村劳动力1173人。年末城镇登记失业人数3570人，比上年增长6.5%。城镇登记失业率3.09％，比上年上升0.08个百分点</w:t>
      </w:r>
      <w:r>
        <w:rPr>
          <w:rFonts w:hint="eastAsia" w:ascii="方正仿宋_GBK" w:hAnsi="方正仿宋_GBK" w:eastAsia="方正仿宋_GBK" w:cs="方正仿宋_GBK"/>
          <w:b/>
          <w:bCs/>
          <w:kern w:val="0"/>
          <w:sz w:val="32"/>
          <w:szCs w:val="32"/>
        </w:rPr>
        <w:t>。</w:t>
      </w:r>
    </w:p>
    <w:p>
      <w:pPr>
        <w:widowControl/>
        <w:shd w:val="clear" w:color="auto" w:fill="FFFFFF"/>
        <w:spacing w:line="360" w:lineRule="auto"/>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经济活力增强。截止2017年，全区共有各类市场主体50374户，比上年增长15.1%。其中内资企业9690户，外资企业35户，个体工商户40141户，农民专业合作社508户。2017年新发展微型企业384户，年末微型企业达4763户。</w:t>
      </w:r>
    </w:p>
    <w:p>
      <w:pPr>
        <w:widowControl/>
        <w:shd w:val="clear" w:color="auto" w:fill="FFFFFF"/>
        <w:spacing w:line="360" w:lineRule="auto"/>
        <w:ind w:firstLine="640"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Cs/>
          <w:kern w:val="0"/>
          <w:sz w:val="32"/>
          <w:szCs w:val="32"/>
        </w:rPr>
        <w:t>财政收支保持平稳。全年一般公共预算收入259166万元，比上年同口径增长5.0%；其中税收收入143613万元，同口径增长7.0%。一般公共预算支出616713万元，增长11.8%。其中，城乡社区支出44432万元，下降11.9%；社会保障和就业支出70722万元，增长9.9%；教育支出129246万元，增长6.3%；一般公共服务支出78784万元，增长8.8%；医疗卫生与计划生育支出66778万元，增长12.6%。</w:t>
      </w:r>
    </w:p>
    <w:p>
      <w:pPr>
        <w:widowControl/>
        <w:shd w:val="clear" w:color="auto" w:fill="FFFFFF"/>
        <w:spacing w:line="360" w:lineRule="auto"/>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二、农业</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全年完成农林牧渔业总产值736037万元，比上年增长3.6%。全年粮食播种面积710973亩，比上年下降1.2%；油料播种面积177906亩，增长1.5%；蔬菜播种面积278200亩，增长3.2%。</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全年粮食产量310249吨，比上年下降 0.2%。蔬菜产量527953吨，增长4.5%。肉类总产量73922吨，增长0.7%。</w:t>
      </w:r>
    </w:p>
    <w:p>
      <w:pPr>
        <w:widowControl/>
        <w:shd w:val="clear" w:color="auto" w:fill="FFFFFF"/>
        <w:tabs>
          <w:tab w:val="left" w:pos="571"/>
          <w:tab w:val="center" w:pos="4493"/>
        </w:tabs>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ab/>
      </w:r>
      <w:r>
        <w:rPr>
          <w:rFonts w:hint="eastAsia" w:ascii="方正仿宋_GBK" w:hAnsi="方正仿宋_GBK" w:eastAsia="方正仿宋_GBK" w:cs="方正仿宋_GBK"/>
          <w:b/>
          <w:bCs/>
          <w:kern w:val="0"/>
          <w:sz w:val="28"/>
          <w:szCs w:val="28"/>
        </w:rPr>
        <w:tab/>
      </w:r>
      <w:r>
        <w:rPr>
          <w:rFonts w:hint="eastAsia" w:ascii="方正仿宋_GBK" w:hAnsi="方正仿宋_GBK" w:eastAsia="方正仿宋_GBK" w:cs="方正仿宋_GBK"/>
          <w:b/>
          <w:bCs/>
          <w:kern w:val="0"/>
          <w:sz w:val="28"/>
          <w:szCs w:val="28"/>
        </w:rPr>
        <w:t>表2　2017年主要农产品产量及其增长速度</w:t>
      </w:r>
    </w:p>
    <w:tbl>
      <w:tblPr>
        <w:tblStyle w:val="9"/>
        <w:tblW w:w="8200" w:type="dxa"/>
        <w:tblInd w:w="0" w:type="dxa"/>
        <w:tblLayout w:type="fixed"/>
        <w:tblCellMar>
          <w:top w:w="15" w:type="dxa"/>
          <w:left w:w="15" w:type="dxa"/>
          <w:bottom w:w="15" w:type="dxa"/>
          <w:right w:w="15" w:type="dxa"/>
        </w:tblCellMar>
      </w:tblPr>
      <w:tblGrid>
        <w:gridCol w:w="3232"/>
        <w:gridCol w:w="1822"/>
        <w:gridCol w:w="1671"/>
        <w:gridCol w:w="1475"/>
      </w:tblGrid>
      <w:tr>
        <w:tblPrEx>
          <w:tblLayout w:type="fixed"/>
          <w:tblCellMar>
            <w:top w:w="15" w:type="dxa"/>
            <w:left w:w="15" w:type="dxa"/>
            <w:bottom w:w="15" w:type="dxa"/>
            <w:right w:w="15" w:type="dxa"/>
          </w:tblCellMar>
        </w:tblPrEx>
        <w:trPr>
          <w:trHeight w:val="402" w:hRule="atLeast"/>
        </w:trPr>
        <w:tc>
          <w:tcPr>
            <w:tcW w:w="3232" w:type="dxa"/>
            <w:tcBorders>
              <w:top w:val="single" w:color="000000" w:sz="4" w:space="0"/>
              <w:bottom w:val="single" w:color="000000" w:sz="4" w:space="0"/>
              <w:right w:val="single" w:color="000000" w:sz="4" w:space="0"/>
            </w:tcBorders>
            <w:vAlign w:val="center"/>
          </w:tcPr>
          <w:p>
            <w:pPr>
              <w:pStyle w:val="5"/>
              <w:tabs>
                <w:tab w:val="left" w:pos="580"/>
              </w:tabs>
              <w:spacing w:before="0" w:beforeAutospacing="0" w:after="0" w:afterAutospacing="0"/>
              <w:ind w:left="45" w:right="45" w:firstLine="482" w:firstLineChars="200"/>
              <w:rPr>
                <w:rFonts w:ascii="方正仿宋_GBK" w:hAnsi="方正仿宋_GBK" w:eastAsia="方正仿宋_GBK" w:cs="方正仿宋_GBK"/>
              </w:rPr>
            </w:pPr>
            <w:r>
              <w:rPr>
                <w:rFonts w:hint="eastAsia" w:ascii="方正仿宋_GBK" w:hAnsi="方正仿宋_GBK" w:eastAsia="方正仿宋_GBK" w:cs="方正仿宋_GBK"/>
                <w:b/>
              </w:rPr>
              <w:tab/>
            </w:r>
            <w:r>
              <w:rPr>
                <w:rFonts w:hint="eastAsia" w:ascii="方正仿宋_GBK" w:hAnsi="方正仿宋_GBK" w:eastAsia="方正仿宋_GBK" w:cs="方正仿宋_GBK"/>
              </w:rPr>
              <w:t>产品名称</w:t>
            </w:r>
          </w:p>
        </w:tc>
        <w:tc>
          <w:tcPr>
            <w:tcW w:w="1822"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单位</w:t>
            </w:r>
          </w:p>
        </w:tc>
        <w:tc>
          <w:tcPr>
            <w:tcW w:w="1671"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2017年</w:t>
            </w:r>
          </w:p>
        </w:tc>
        <w:tc>
          <w:tcPr>
            <w:tcW w:w="1475" w:type="dxa"/>
            <w:tcBorders>
              <w:top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比上年±%</w:t>
            </w:r>
          </w:p>
        </w:tc>
      </w:tr>
      <w:tr>
        <w:tblPrEx>
          <w:tblLayout w:type="fixed"/>
          <w:tblCellMar>
            <w:top w:w="15" w:type="dxa"/>
            <w:left w:w="15" w:type="dxa"/>
            <w:bottom w:w="15" w:type="dxa"/>
            <w:right w:w="15" w:type="dxa"/>
          </w:tblCellMar>
        </w:tblPrEx>
        <w:trPr>
          <w:trHeight w:val="402"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粮食播种面积</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710973</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-1.2</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310249</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-0.2</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＃小麦</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1336</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-27.1</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稻谷</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183679</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0.3</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玉米</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37412</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2.5</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高粱</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13527</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-2.5</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油料产量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26140</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0.9</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蔬菜面积</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278200</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3.2</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527953</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4.5</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肉类产量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73922</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0.7</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＃猪肉</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54430</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0.3</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＃禽肉</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16091</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0.8</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生猪出栏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726345 </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-1.2</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羊出栏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14742 </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5.6</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家禽出栏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万只</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1050.51 </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1.1</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禽蛋产量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10872</w:t>
            </w:r>
          </w:p>
        </w:tc>
        <w:tc>
          <w:tcPr>
            <w:tcW w:w="1475"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0.2</w:t>
            </w:r>
          </w:p>
        </w:tc>
      </w:tr>
      <w:tr>
        <w:tblPrEx>
          <w:tblLayout w:type="fixed"/>
          <w:tblCellMar>
            <w:top w:w="15" w:type="dxa"/>
            <w:left w:w="15" w:type="dxa"/>
            <w:bottom w:w="15" w:type="dxa"/>
            <w:right w:w="15" w:type="dxa"/>
          </w:tblCellMar>
        </w:tblPrEx>
        <w:trPr>
          <w:trHeight w:val="402" w:hRule="atLeast"/>
        </w:trPr>
        <w:tc>
          <w:tcPr>
            <w:tcW w:w="3232" w:type="dxa"/>
            <w:tcBorders>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牛奶产量</w:t>
            </w:r>
          </w:p>
        </w:tc>
        <w:tc>
          <w:tcPr>
            <w:tcW w:w="1822" w:type="dxa"/>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tcBorders>
              <w:bottom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3550</w:t>
            </w:r>
          </w:p>
        </w:tc>
        <w:tc>
          <w:tcPr>
            <w:tcW w:w="1475" w:type="dxa"/>
            <w:tcBorders>
              <w:bottom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4.6</w:t>
            </w:r>
          </w:p>
        </w:tc>
      </w:tr>
    </w:tbl>
    <w:p>
      <w:pPr>
        <w:pStyle w:val="5"/>
        <w:tabs>
          <w:tab w:val="left" w:pos="580"/>
        </w:tabs>
        <w:spacing w:before="0" w:beforeAutospacing="0" w:after="0" w:afterAutospacing="0"/>
        <w:ind w:left="45" w:right="45"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三、工业和建筑业</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全年实现工业增加值2087645万元，比上年增长10.5%；规模以上工业增加值增长10.5%；规模以上工业企业实现总产值 6862071万元，同比增长14.7％</w:t>
      </w:r>
      <w:r>
        <w:rPr>
          <w:rFonts w:hint="eastAsia" w:ascii="方正仿宋_GBK" w:hAnsi="方正仿宋_GBK" w:eastAsia="方正仿宋_GBK" w:cs="方正仿宋_GBK"/>
          <w:color w:val="0000FF"/>
          <w:sz w:val="32"/>
          <w:szCs w:val="32"/>
        </w:rPr>
        <w:t>。</w:t>
      </w:r>
    </w:p>
    <w:p>
      <w:pPr>
        <w:pStyle w:val="5"/>
        <w:tabs>
          <w:tab w:val="left" w:pos="1360"/>
        </w:tabs>
        <w:spacing w:before="0" w:beforeAutospacing="0" w:after="0" w:afterAutospacing="0"/>
        <w:ind w:left="45" w:right="45" w:firstLine="562" w:firstLineChars="200"/>
        <w:jc w:val="both"/>
        <w:rPr>
          <w:rFonts w:ascii="方正仿宋_GBK" w:hAnsi="方正仿宋_GBK" w:eastAsia="方正仿宋_GBK" w:cs="方正仿宋_GBK"/>
          <w:b/>
          <w:color w:val="0000FF"/>
          <w:sz w:val="28"/>
          <w:szCs w:val="28"/>
        </w:rPr>
      </w:pPr>
      <w:r>
        <w:rPr>
          <w:rFonts w:hint="eastAsia" w:ascii="方正仿宋_GBK" w:hAnsi="方正仿宋_GBK" w:eastAsia="方正仿宋_GBK" w:cs="方正仿宋_GBK"/>
          <w:b/>
          <w:color w:val="0000FF"/>
          <w:sz w:val="28"/>
          <w:szCs w:val="28"/>
        </w:rPr>
        <w:tab/>
      </w:r>
    </w:p>
    <w:p>
      <w:pPr>
        <w:pStyle w:val="5"/>
        <w:tabs>
          <w:tab w:val="left" w:pos="1360"/>
        </w:tabs>
        <w:spacing w:before="0" w:beforeAutospacing="0" w:after="0" w:afterAutospacing="0"/>
        <w:ind w:left="45" w:right="45" w:firstLine="480" w:firstLineChars="200"/>
        <w:jc w:val="both"/>
        <w:rPr>
          <w:rFonts w:ascii="方正仿宋_GBK" w:hAnsi="方正仿宋_GBK" w:eastAsia="方正仿宋_GBK" w:cs="方正仿宋_GBK"/>
          <w:b/>
          <w:color w:val="0000FF"/>
          <w:sz w:val="28"/>
          <w:szCs w:val="28"/>
        </w:rPr>
      </w:pPr>
      <w:r>
        <w:rPr>
          <w:rFonts w:ascii="方正仿宋_GBK" w:hAnsi="方正仿宋_GBK" w:eastAsia="方正仿宋_GBK" w:cs="方正仿宋_GBK"/>
        </w:rPr>
        <w:drawing>
          <wp:inline distT="0" distB="0" distL="114300" distR="114300">
            <wp:extent cx="4581525" cy="2752725"/>
            <wp:effectExtent l="0" t="0" r="5715" b="5715"/>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8"/>
                    <a:stretch>
                      <a:fillRect/>
                    </a:stretch>
                  </pic:blipFill>
                  <pic:spPr>
                    <a:xfrm>
                      <a:off x="0" y="0"/>
                      <a:ext cx="4581525" cy="2752725"/>
                    </a:xfrm>
                    <a:prstGeom prst="rect">
                      <a:avLst/>
                    </a:prstGeom>
                    <a:noFill/>
                    <a:ln w="9525">
                      <a:noFill/>
                    </a:ln>
                  </pic:spPr>
                </pic:pic>
              </a:graphicData>
            </a:graphic>
          </wp:inline>
        </w:drawing>
      </w: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表3　2017年规模以上工业企业主要产品产量及其增长速度</w:t>
      </w:r>
    </w:p>
    <w:tbl>
      <w:tblPr>
        <w:tblStyle w:val="9"/>
        <w:tblW w:w="7320" w:type="dxa"/>
        <w:jc w:val="center"/>
        <w:tblInd w:w="0" w:type="dxa"/>
        <w:tblLayout w:type="fixed"/>
        <w:tblCellMar>
          <w:top w:w="0" w:type="dxa"/>
          <w:left w:w="108" w:type="dxa"/>
          <w:bottom w:w="0" w:type="dxa"/>
          <w:right w:w="108" w:type="dxa"/>
        </w:tblCellMar>
      </w:tblPr>
      <w:tblGrid>
        <w:gridCol w:w="2471"/>
        <w:gridCol w:w="1540"/>
        <w:gridCol w:w="1639"/>
        <w:gridCol w:w="1670"/>
      </w:tblGrid>
      <w:tr>
        <w:tblPrEx>
          <w:tblLayout w:type="fixed"/>
          <w:tblCellMar>
            <w:top w:w="0" w:type="dxa"/>
            <w:left w:w="108" w:type="dxa"/>
            <w:bottom w:w="0" w:type="dxa"/>
            <w:right w:w="108" w:type="dxa"/>
          </w:tblCellMar>
        </w:tblPrEx>
        <w:trPr>
          <w:trHeight w:val="717" w:hRule="exact"/>
          <w:jc w:val="center"/>
        </w:trPr>
        <w:tc>
          <w:tcPr>
            <w:tcW w:w="2471" w:type="dxa"/>
            <w:tcBorders>
              <w:top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产品名称</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单位</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产量</w:t>
            </w:r>
          </w:p>
        </w:tc>
        <w:tc>
          <w:tcPr>
            <w:tcW w:w="1670" w:type="dxa"/>
            <w:tcBorders>
              <w:top w:val="single" w:color="auto" w:sz="4" w:space="0"/>
              <w:left w:val="single" w:color="auto" w:sz="4" w:space="0"/>
              <w:bottom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widowControl/>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原煤</w:t>
            </w:r>
          </w:p>
        </w:tc>
        <w:tc>
          <w:tcPr>
            <w:tcW w:w="1540" w:type="dxa"/>
            <w:tcBorders>
              <w:top w:val="single" w:color="auto" w:sz="4" w:space="0"/>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1235659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-46.2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洗煤</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2043060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-29.7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发电量</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万千瓦时</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13055.32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-22.2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饲料</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794530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22.4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鲜、冷藏肉</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66951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17.2 </w:t>
            </w:r>
          </w:p>
        </w:tc>
      </w:tr>
      <w:tr>
        <w:tblPrEx>
          <w:tblLayout w:type="fixed"/>
          <w:tblCellMar>
            <w:top w:w="0" w:type="dxa"/>
            <w:left w:w="108" w:type="dxa"/>
            <w:bottom w:w="0" w:type="dxa"/>
            <w:right w:w="108" w:type="dxa"/>
          </w:tblCellMar>
        </w:tblPrEx>
        <w:trPr>
          <w:trHeight w:val="587"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精制茶</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84024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9.4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苎麻布（含苎麻≥55％）</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万米</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4291.36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2.1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纸制品</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266816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-14.0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不锈钢日用制品</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17237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13.4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阀门</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177507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-2.9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电子元件</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万只</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355870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64.6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印制电路板</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平方米</w:t>
            </w:r>
          </w:p>
        </w:tc>
        <w:tc>
          <w:tcPr>
            <w:tcW w:w="1639" w:type="dxa"/>
            <w:tcBorders>
              <w:top w:val="nil"/>
              <w:left w:val="single" w:color="auto" w:sz="4" w:space="0"/>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633605 </w:t>
            </w:r>
          </w:p>
        </w:tc>
        <w:tc>
          <w:tcPr>
            <w:tcW w:w="167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20.3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兽用药品</w:t>
            </w:r>
          </w:p>
        </w:tc>
        <w:tc>
          <w:tcPr>
            <w:tcW w:w="1540" w:type="dxa"/>
            <w:tcBorders>
              <w:top w:val="nil"/>
              <w:left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1443 </w:t>
            </w:r>
          </w:p>
        </w:tc>
        <w:tc>
          <w:tcPr>
            <w:tcW w:w="1670" w:type="dxa"/>
            <w:tcBorders>
              <w:top w:val="nil"/>
              <w:left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-8.3 </w:t>
            </w:r>
          </w:p>
        </w:tc>
      </w:tr>
      <w:tr>
        <w:tblPrEx>
          <w:tblLayout w:type="fixed"/>
          <w:tblCellMar>
            <w:top w:w="0" w:type="dxa"/>
            <w:left w:w="108" w:type="dxa"/>
            <w:bottom w:w="0" w:type="dxa"/>
            <w:right w:w="108" w:type="dxa"/>
          </w:tblCellMar>
        </w:tblPrEx>
        <w:trPr>
          <w:trHeight w:val="487" w:hRule="exact"/>
          <w:jc w:val="center"/>
        </w:trPr>
        <w:tc>
          <w:tcPr>
            <w:tcW w:w="2471" w:type="dxa"/>
            <w:tcBorders>
              <w:top w:val="nil"/>
              <w:left w:val="nil"/>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日用玻璃制品</w:t>
            </w:r>
          </w:p>
        </w:tc>
        <w:tc>
          <w:tcPr>
            <w:tcW w:w="1540" w:type="dxa"/>
            <w:tcBorders>
              <w:top w:val="nil"/>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single" w:color="auto" w:sz="4" w:space="0"/>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46468 </w:t>
            </w:r>
          </w:p>
        </w:tc>
        <w:tc>
          <w:tcPr>
            <w:tcW w:w="1670" w:type="dxa"/>
            <w:tcBorders>
              <w:top w:val="nil"/>
              <w:left w:val="nil"/>
              <w:bottom w:val="single" w:color="auto" w:sz="4" w:space="0"/>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 xml:space="preserve">-19.1 </w:t>
            </w:r>
          </w:p>
        </w:tc>
      </w:tr>
    </w:tbl>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区建筑业实现增加值550701万元，比上年增长9.9%。年末在荣昌注册具有资质等级的总承包和专业承包的独立核算建筑业法人企业47家，实现建筑业总产值达到131.00亿元，增长34.8%。全年建筑企业房屋施工面积567.1万平方米，比上年下降0.7%；房屋建筑竣工面积361.1万平方米，比上年增长22.7% 。</w:t>
      </w:r>
    </w:p>
    <w:p>
      <w:pPr>
        <w:ind w:firstLine="420" w:firstLineChars="200"/>
        <w:rPr>
          <w:rFonts w:ascii="方正仿宋_GBK" w:hAnsi="方正仿宋_GBK" w:eastAsia="方正仿宋_GBK" w:cs="方正仿宋_GBK"/>
          <w:kern w:val="0"/>
          <w:sz w:val="28"/>
        </w:rPr>
      </w:pPr>
      <w:r>
        <w:rPr>
          <w:rFonts w:ascii="方正仿宋_GBK" w:hAnsi="方正仿宋_GBK" w:eastAsia="方正仿宋_GBK" w:cs="方正仿宋_GBK"/>
        </w:rPr>
        <w:drawing>
          <wp:inline distT="0" distB="0" distL="114300" distR="114300">
            <wp:extent cx="4581525" cy="2752725"/>
            <wp:effectExtent l="0" t="0" r="5715" b="5715"/>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9"/>
                    <a:stretch>
                      <a:fillRect/>
                    </a:stretch>
                  </pic:blipFill>
                  <pic:spPr>
                    <a:xfrm>
                      <a:off x="0" y="0"/>
                      <a:ext cx="4581525" cy="2752725"/>
                    </a:xfrm>
                    <a:prstGeom prst="rect">
                      <a:avLst/>
                    </a:prstGeom>
                    <a:noFill/>
                    <a:ln w="9525">
                      <a:noFill/>
                    </a:ln>
                  </pic:spPr>
                </pic:pic>
              </a:graphicData>
            </a:graphic>
          </wp:inline>
        </w:drawing>
      </w:r>
    </w:p>
    <w:p>
      <w:pPr>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四、固定资产投资</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固定资产投资较快增长。全年固定资产投资完成5612499万元，比上年增长13.5％。其中基础设施建设投资1512712万元，增长53.4%，占全区固定资产投资的27.0%。从投资主体看，国有投资1113316万元，增长28.1％；民间投资4480482万元，增长10.2%，占全区固定资产投资的比重为79.8%。从三次产业投资看，第一产业投资144614万元，增长18.8%；第二产业投资3640000万元，增长12.7%；第三产业投资1827885万元，增长14.9%。</w:t>
      </w:r>
    </w:p>
    <w:p>
      <w:pPr>
        <w:widowControl/>
        <w:shd w:val="clear" w:color="auto" w:fill="FFFFFF"/>
        <w:spacing w:line="360" w:lineRule="auto"/>
        <w:ind w:firstLine="420" w:firstLineChars="200"/>
        <w:rPr>
          <w:rFonts w:ascii="方正仿宋_GBK" w:hAnsi="方正仿宋_GBK" w:eastAsia="方正仿宋_GBK" w:cs="方正仿宋_GBK"/>
          <w:kern w:val="0"/>
          <w:sz w:val="28"/>
        </w:rPr>
      </w:pPr>
      <w:r>
        <w:rPr>
          <w:rFonts w:ascii="方正仿宋_GBK" w:hAnsi="方正仿宋_GBK" w:eastAsia="方正仿宋_GBK" w:cs="方正仿宋_GBK"/>
        </w:rPr>
        <w:drawing>
          <wp:inline distT="0" distB="0" distL="114300" distR="114300">
            <wp:extent cx="5267325" cy="3114675"/>
            <wp:effectExtent l="0" t="0" r="5715" b="9525"/>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10"/>
                    <a:stretch>
                      <a:fillRect/>
                    </a:stretch>
                  </pic:blipFill>
                  <pic:spPr>
                    <a:xfrm>
                      <a:off x="0" y="0"/>
                      <a:ext cx="5267325" cy="3114675"/>
                    </a:xfrm>
                    <a:prstGeom prst="rect">
                      <a:avLst/>
                    </a:prstGeom>
                    <a:noFill/>
                    <a:ln w="9525">
                      <a:noFill/>
                    </a:ln>
                  </pic:spPr>
                </pic:pic>
              </a:graphicData>
            </a:graphic>
          </wp:inline>
        </w:drawing>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全年工业投资3640000万元，增长12.7%，占全区固定资产投资总额的64.9%。房地产开发投资222527万元，增长11.5%，占全区固定资产投资总额的4.0%。其中住宅投资163558万元，增长26.7%。</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商品房施工面积361.9万平方米，比上年下降10.3%；商品房竣工面积88.5万平方米，增长8.9%。商品房销售面积109.44万平方米，增长9.1%。其中住宅销售面积98.19万平方米，增长6.9%。商品房销售额45.79亿元，增长19.8%。</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完成城市棚户区改造8.65万平方米。完成农村危旧房改造10.68万平方米，下降63.3%。</w:t>
      </w: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表4　2017年固定资产投资及其增长速度</w:t>
      </w:r>
    </w:p>
    <w:tbl>
      <w:tblPr>
        <w:tblStyle w:val="9"/>
        <w:tblW w:w="8060" w:type="dxa"/>
        <w:jc w:val="center"/>
        <w:tblInd w:w="0" w:type="dxa"/>
        <w:tblLayout w:type="fixed"/>
        <w:tblCellMar>
          <w:top w:w="0" w:type="dxa"/>
          <w:left w:w="108" w:type="dxa"/>
          <w:bottom w:w="0" w:type="dxa"/>
          <w:right w:w="108" w:type="dxa"/>
        </w:tblCellMar>
      </w:tblPr>
      <w:tblGrid>
        <w:gridCol w:w="4334"/>
        <w:gridCol w:w="1926"/>
        <w:gridCol w:w="1800"/>
      </w:tblGrid>
      <w:tr>
        <w:tblPrEx>
          <w:tblLayout w:type="fixed"/>
          <w:tblCellMar>
            <w:top w:w="0" w:type="dxa"/>
            <w:left w:w="108" w:type="dxa"/>
            <w:bottom w:w="0" w:type="dxa"/>
            <w:right w:w="108" w:type="dxa"/>
          </w:tblCellMar>
        </w:tblPrEx>
        <w:trPr>
          <w:trHeight w:val="1381" w:hRule="atLeast"/>
          <w:jc w:val="center"/>
        </w:trPr>
        <w:tc>
          <w:tcPr>
            <w:tcW w:w="4334"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指标名称</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2017年</w:t>
            </w:r>
          </w:p>
        </w:tc>
        <w:tc>
          <w:tcPr>
            <w:tcW w:w="1800"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80" w:hanging="480" w:hangingChars="2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828" w:hRule="exact"/>
          <w:jc w:val="center"/>
        </w:trPr>
        <w:tc>
          <w:tcPr>
            <w:tcW w:w="4334" w:type="dxa"/>
            <w:tcBorders>
              <w:top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投资总额（万元）</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5612499</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13.5</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按投资类别分</w:t>
            </w:r>
          </w:p>
        </w:tc>
        <w:tc>
          <w:tcPr>
            <w:tcW w:w="1926" w:type="dxa"/>
            <w:tcBorders>
              <w:top w:val="nil"/>
              <w:left w:val="nil"/>
              <w:bottom w:val="nil"/>
              <w:right w:val="nil"/>
            </w:tcBorders>
            <w:vAlign w:val="center"/>
          </w:tcPr>
          <w:p>
            <w:pPr>
              <w:jc w:val="right"/>
              <w:rPr>
                <w:rFonts w:ascii="方正仿宋_GBK" w:hAnsi="方正仿宋_GBK" w:eastAsia="方正仿宋_GBK" w:cs="方正仿宋_GBK"/>
                <w:sz w:val="24"/>
              </w:rPr>
            </w:pPr>
          </w:p>
        </w:tc>
        <w:tc>
          <w:tcPr>
            <w:tcW w:w="1800" w:type="dxa"/>
            <w:tcBorders>
              <w:top w:val="nil"/>
              <w:left w:val="nil"/>
              <w:bottom w:val="nil"/>
              <w:right w:val="nil"/>
            </w:tcBorders>
            <w:vAlign w:val="center"/>
          </w:tcPr>
          <w:p>
            <w:pPr>
              <w:jc w:val="righ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建设与改造</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5389972</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13.6</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＃基础设施</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1512712</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53.4</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房地产开发</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222527</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11.5</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按登记注册类型分</w:t>
            </w:r>
          </w:p>
        </w:tc>
        <w:tc>
          <w:tcPr>
            <w:tcW w:w="1926" w:type="dxa"/>
            <w:tcBorders>
              <w:top w:val="nil"/>
              <w:left w:val="nil"/>
              <w:bottom w:val="nil"/>
              <w:right w:val="nil"/>
            </w:tcBorders>
            <w:vAlign w:val="center"/>
          </w:tcPr>
          <w:p>
            <w:pPr>
              <w:jc w:val="right"/>
              <w:rPr>
                <w:rFonts w:ascii="方正仿宋_GBK" w:hAnsi="方正仿宋_GBK" w:eastAsia="方正仿宋_GBK" w:cs="方正仿宋_GBK"/>
                <w:sz w:val="24"/>
              </w:rPr>
            </w:pPr>
          </w:p>
        </w:tc>
        <w:tc>
          <w:tcPr>
            <w:tcW w:w="1800" w:type="dxa"/>
            <w:tcBorders>
              <w:top w:val="nil"/>
              <w:left w:val="nil"/>
              <w:bottom w:val="nil"/>
              <w:right w:val="nil"/>
            </w:tcBorders>
            <w:vAlign w:val="center"/>
          </w:tcPr>
          <w:p>
            <w:pPr>
              <w:jc w:val="righ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国有投资</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1113316</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28.1</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民间投资</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4480482</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10.2</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按三次产业分</w:t>
            </w:r>
          </w:p>
        </w:tc>
        <w:tc>
          <w:tcPr>
            <w:tcW w:w="1926" w:type="dxa"/>
            <w:tcBorders>
              <w:top w:val="nil"/>
              <w:left w:val="nil"/>
              <w:bottom w:val="nil"/>
              <w:right w:val="nil"/>
            </w:tcBorders>
            <w:vAlign w:val="center"/>
          </w:tcPr>
          <w:p>
            <w:pPr>
              <w:jc w:val="right"/>
              <w:rPr>
                <w:rFonts w:ascii="方正仿宋_GBK" w:hAnsi="方正仿宋_GBK" w:eastAsia="方正仿宋_GBK" w:cs="方正仿宋_GBK"/>
                <w:sz w:val="24"/>
              </w:rPr>
            </w:pPr>
          </w:p>
        </w:tc>
        <w:tc>
          <w:tcPr>
            <w:tcW w:w="1800" w:type="dxa"/>
            <w:tcBorders>
              <w:top w:val="nil"/>
              <w:left w:val="nil"/>
              <w:bottom w:val="nil"/>
              <w:right w:val="nil"/>
            </w:tcBorders>
            <w:vAlign w:val="center"/>
          </w:tcPr>
          <w:p>
            <w:pPr>
              <w:jc w:val="righ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第一产业</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144614</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18.8</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第二产业</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3640000</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12.7</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＃工业投资</w:t>
            </w:r>
          </w:p>
        </w:tc>
        <w:tc>
          <w:tcPr>
            <w:tcW w:w="1926"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3640000</w:t>
            </w:r>
          </w:p>
        </w:tc>
        <w:tc>
          <w:tcPr>
            <w:tcW w:w="180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12.7</w:t>
            </w:r>
          </w:p>
        </w:tc>
      </w:tr>
      <w:tr>
        <w:tblPrEx>
          <w:tblLayout w:type="fixed"/>
          <w:tblCellMar>
            <w:top w:w="0" w:type="dxa"/>
            <w:left w:w="108" w:type="dxa"/>
            <w:bottom w:w="0" w:type="dxa"/>
            <w:right w:w="108" w:type="dxa"/>
          </w:tblCellMar>
        </w:tblPrEx>
        <w:trPr>
          <w:trHeight w:val="828" w:hRule="exact"/>
          <w:jc w:val="center"/>
        </w:trPr>
        <w:tc>
          <w:tcPr>
            <w:tcW w:w="4334"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第三产业</w:t>
            </w:r>
          </w:p>
        </w:tc>
        <w:tc>
          <w:tcPr>
            <w:tcW w:w="1926" w:type="dxa"/>
            <w:tcBorders>
              <w:top w:val="nil"/>
              <w:left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1827885</w:t>
            </w:r>
          </w:p>
        </w:tc>
        <w:tc>
          <w:tcPr>
            <w:tcW w:w="1800" w:type="dxa"/>
            <w:tcBorders>
              <w:top w:val="nil"/>
              <w:left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14.9</w:t>
            </w:r>
          </w:p>
        </w:tc>
      </w:tr>
      <w:tr>
        <w:tblPrEx>
          <w:tblLayout w:type="fixed"/>
          <w:tblCellMar>
            <w:top w:w="0" w:type="dxa"/>
            <w:left w:w="108" w:type="dxa"/>
            <w:bottom w:w="0" w:type="dxa"/>
            <w:right w:w="108" w:type="dxa"/>
          </w:tblCellMar>
        </w:tblPrEx>
        <w:trPr>
          <w:trHeight w:val="842" w:hRule="exact"/>
          <w:jc w:val="center"/>
        </w:trPr>
        <w:tc>
          <w:tcPr>
            <w:tcW w:w="4334" w:type="dxa"/>
            <w:tcBorders>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＃房地产业</w:t>
            </w:r>
          </w:p>
        </w:tc>
        <w:tc>
          <w:tcPr>
            <w:tcW w:w="1926" w:type="dxa"/>
            <w:tcBorders>
              <w:top w:val="nil"/>
              <w:left w:val="nil"/>
              <w:bottom w:val="single" w:color="auto" w:sz="4" w:space="0"/>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409639</w:t>
            </w:r>
          </w:p>
        </w:tc>
        <w:tc>
          <w:tcPr>
            <w:tcW w:w="1800" w:type="dxa"/>
            <w:tcBorders>
              <w:top w:val="nil"/>
              <w:left w:val="nil"/>
              <w:bottom w:val="single" w:color="auto" w:sz="4" w:space="0"/>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2.7</w:t>
            </w:r>
          </w:p>
        </w:tc>
      </w:tr>
    </w:tbl>
    <w:p>
      <w:pPr>
        <w:widowControl/>
        <w:shd w:val="clear" w:color="auto" w:fill="FFFFFF"/>
        <w:spacing w:line="360" w:lineRule="auto"/>
        <w:ind w:right="-210" w:rightChars="-100" w:firstLine="562" w:firstLineChars="200"/>
        <w:jc w:val="center"/>
        <w:rPr>
          <w:rFonts w:ascii="方正仿宋_GBK" w:hAnsi="方正仿宋_GBK" w:eastAsia="方正仿宋_GBK" w:cs="方正仿宋_GBK"/>
          <w:b/>
          <w:bCs/>
          <w:color w:val="0000FF"/>
          <w:kern w:val="0"/>
          <w:sz w:val="28"/>
          <w:szCs w:val="28"/>
        </w:rPr>
      </w:pPr>
    </w:p>
    <w:p>
      <w:pPr>
        <w:widowControl/>
        <w:shd w:val="clear" w:color="auto" w:fill="FFFFFF"/>
        <w:spacing w:line="360" w:lineRule="auto"/>
        <w:ind w:right="-210" w:rightChars="-100"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表5　2017年房地产开发和销售主要指标完成情况及其增长速度</w:t>
      </w:r>
    </w:p>
    <w:tbl>
      <w:tblPr>
        <w:tblStyle w:val="9"/>
        <w:tblW w:w="7680" w:type="dxa"/>
        <w:jc w:val="center"/>
        <w:tblInd w:w="0" w:type="dxa"/>
        <w:tblLayout w:type="fixed"/>
        <w:tblCellMar>
          <w:top w:w="0" w:type="dxa"/>
          <w:left w:w="108" w:type="dxa"/>
          <w:bottom w:w="0" w:type="dxa"/>
          <w:right w:w="108" w:type="dxa"/>
        </w:tblCellMar>
      </w:tblPr>
      <w:tblGrid>
        <w:gridCol w:w="4130"/>
        <w:gridCol w:w="1835"/>
        <w:gridCol w:w="1715"/>
      </w:tblGrid>
      <w:tr>
        <w:tblPrEx>
          <w:tblLayout w:type="fixed"/>
          <w:tblCellMar>
            <w:top w:w="0" w:type="dxa"/>
            <w:left w:w="108" w:type="dxa"/>
            <w:bottom w:w="0" w:type="dxa"/>
            <w:right w:w="108" w:type="dxa"/>
          </w:tblCellMar>
        </w:tblPrEx>
        <w:trPr>
          <w:trHeight w:val="821" w:hRule="atLeast"/>
          <w:jc w:val="center"/>
        </w:trPr>
        <w:tc>
          <w:tcPr>
            <w:tcW w:w="4130"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指标名称</w:t>
            </w:r>
          </w:p>
        </w:tc>
        <w:tc>
          <w:tcPr>
            <w:tcW w:w="183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2017年</w:t>
            </w:r>
          </w:p>
        </w:tc>
        <w:tc>
          <w:tcPr>
            <w:tcW w:w="1715"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80" w:hanging="480" w:hanging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666" w:hRule="exact"/>
          <w:jc w:val="center"/>
        </w:trPr>
        <w:tc>
          <w:tcPr>
            <w:tcW w:w="4130" w:type="dxa"/>
            <w:tcBorders>
              <w:top w:val="single" w:color="auto" w:sz="4" w:space="0"/>
              <w:left w:val="nil"/>
              <w:bottom w:val="nil"/>
              <w:right w:val="single" w:color="auto" w:sz="4" w:space="0"/>
            </w:tcBorders>
            <w:shd w:val="clear" w:color="auto" w:fill="auto"/>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商品房施工面积（万平方米）</w:t>
            </w:r>
          </w:p>
        </w:tc>
        <w:tc>
          <w:tcPr>
            <w:tcW w:w="1835"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361.9</w:t>
            </w:r>
          </w:p>
        </w:tc>
        <w:tc>
          <w:tcPr>
            <w:tcW w:w="1715"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-10.3</w:t>
            </w:r>
          </w:p>
        </w:tc>
      </w:tr>
      <w:tr>
        <w:tblPrEx>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shd w:val="clear" w:color="auto" w:fill="auto"/>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＃：住宅</w:t>
            </w:r>
          </w:p>
        </w:tc>
        <w:tc>
          <w:tcPr>
            <w:tcW w:w="1835"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259.5</w:t>
            </w:r>
          </w:p>
        </w:tc>
        <w:tc>
          <w:tcPr>
            <w:tcW w:w="1715"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-13</w:t>
            </w:r>
          </w:p>
        </w:tc>
      </w:tr>
      <w:tr>
        <w:tblPrEx>
          <w:tblLayout w:type="fixed"/>
          <w:tblCellMar>
            <w:top w:w="0" w:type="dxa"/>
            <w:left w:w="108" w:type="dxa"/>
            <w:bottom w:w="0" w:type="dxa"/>
            <w:right w:w="108" w:type="dxa"/>
          </w:tblCellMar>
        </w:tblPrEx>
        <w:trPr>
          <w:trHeight w:val="666" w:hRule="exact"/>
          <w:jc w:val="center"/>
        </w:trPr>
        <w:tc>
          <w:tcPr>
            <w:tcW w:w="4130" w:type="dxa"/>
            <w:tcBorders>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新开工面积（万平方米）</w:t>
            </w:r>
          </w:p>
        </w:tc>
        <w:tc>
          <w:tcPr>
            <w:tcW w:w="1835" w:type="dxa"/>
            <w:tcBorders>
              <w:top w:val="nil"/>
              <w:left w:val="single" w:color="auto" w:sz="4" w:space="0"/>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44.5</w:t>
            </w:r>
          </w:p>
        </w:tc>
        <w:tc>
          <w:tcPr>
            <w:tcW w:w="1715"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1.6</w:t>
            </w:r>
          </w:p>
        </w:tc>
      </w:tr>
      <w:tr>
        <w:tblPrEx>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＃：住宅</w:t>
            </w:r>
          </w:p>
        </w:tc>
        <w:tc>
          <w:tcPr>
            <w:tcW w:w="1835" w:type="dxa"/>
            <w:tcBorders>
              <w:top w:val="nil"/>
              <w:left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29.9</w:t>
            </w:r>
          </w:p>
        </w:tc>
        <w:tc>
          <w:tcPr>
            <w:tcW w:w="1715"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12.4</w:t>
            </w:r>
          </w:p>
        </w:tc>
      </w:tr>
      <w:tr>
        <w:tblPrEx>
          <w:tblLayout w:type="fixed"/>
          <w:tblCellMar>
            <w:top w:w="0" w:type="dxa"/>
            <w:left w:w="108" w:type="dxa"/>
            <w:bottom w:w="0" w:type="dxa"/>
            <w:right w:w="108" w:type="dxa"/>
          </w:tblCellMar>
        </w:tblPrEx>
        <w:trPr>
          <w:trHeight w:val="666" w:hRule="exact"/>
          <w:jc w:val="center"/>
        </w:trPr>
        <w:tc>
          <w:tcPr>
            <w:tcW w:w="4130" w:type="dxa"/>
            <w:tcBorders>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商品房竣工面积（万平方米）</w:t>
            </w:r>
          </w:p>
        </w:tc>
        <w:tc>
          <w:tcPr>
            <w:tcW w:w="1835" w:type="dxa"/>
            <w:tcBorders>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88.5</w:t>
            </w:r>
          </w:p>
        </w:tc>
        <w:tc>
          <w:tcPr>
            <w:tcW w:w="1715" w:type="dxa"/>
            <w:tcBorders>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8.9</w:t>
            </w:r>
          </w:p>
        </w:tc>
      </w:tr>
      <w:tr>
        <w:tblPrEx>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＃：住宅</w:t>
            </w:r>
          </w:p>
        </w:tc>
        <w:tc>
          <w:tcPr>
            <w:tcW w:w="1835" w:type="dxa"/>
            <w:tcBorders>
              <w:top w:val="nil"/>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61.8</w:t>
            </w:r>
          </w:p>
        </w:tc>
        <w:tc>
          <w:tcPr>
            <w:tcW w:w="1715" w:type="dxa"/>
            <w:tcBorders>
              <w:top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-6.4</w:t>
            </w:r>
          </w:p>
        </w:tc>
      </w:tr>
      <w:tr>
        <w:tblPrEx>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shd w:val="clear" w:color="auto" w:fill="auto"/>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商品房销售面积（万平方米）</w:t>
            </w:r>
          </w:p>
        </w:tc>
        <w:tc>
          <w:tcPr>
            <w:tcW w:w="1835" w:type="dxa"/>
            <w:tcBorders>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109.44</w:t>
            </w:r>
          </w:p>
        </w:tc>
        <w:tc>
          <w:tcPr>
            <w:tcW w:w="1715" w:type="dxa"/>
            <w:tcBorders>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9.1</w:t>
            </w:r>
          </w:p>
        </w:tc>
      </w:tr>
      <w:tr>
        <w:tblPrEx>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shd w:val="clear" w:color="auto" w:fill="auto"/>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＃：住宅</w:t>
            </w:r>
          </w:p>
        </w:tc>
        <w:tc>
          <w:tcPr>
            <w:tcW w:w="1835"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98.19</w:t>
            </w:r>
          </w:p>
        </w:tc>
        <w:tc>
          <w:tcPr>
            <w:tcW w:w="1715"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6.9</w:t>
            </w:r>
          </w:p>
        </w:tc>
      </w:tr>
      <w:tr>
        <w:tblPrEx>
          <w:tblLayout w:type="fixed"/>
          <w:tblCellMar>
            <w:top w:w="0" w:type="dxa"/>
            <w:left w:w="108" w:type="dxa"/>
            <w:bottom w:w="0" w:type="dxa"/>
            <w:right w:w="108" w:type="dxa"/>
          </w:tblCellMar>
        </w:tblPrEx>
        <w:trPr>
          <w:trHeight w:val="666" w:hRule="exact"/>
          <w:jc w:val="center"/>
        </w:trPr>
        <w:tc>
          <w:tcPr>
            <w:tcW w:w="4130" w:type="dxa"/>
            <w:tcBorders>
              <w:top w:val="nil"/>
              <w:left w:val="nil"/>
              <w:right w:val="single" w:color="auto" w:sz="4" w:space="0"/>
            </w:tcBorders>
            <w:shd w:val="clear" w:color="auto" w:fill="auto"/>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商品房销售额（万元）</w:t>
            </w:r>
          </w:p>
        </w:tc>
        <w:tc>
          <w:tcPr>
            <w:tcW w:w="1835" w:type="dxa"/>
            <w:tcBorders>
              <w:top w:val="nil"/>
              <w:left w:val="nil"/>
              <w:right w:val="nil"/>
            </w:tcBorders>
            <w:shd w:val="clear" w:color="auto" w:fill="FFFFFF"/>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457866</w:t>
            </w:r>
          </w:p>
        </w:tc>
        <w:tc>
          <w:tcPr>
            <w:tcW w:w="1715"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19.8</w:t>
            </w:r>
          </w:p>
        </w:tc>
      </w:tr>
      <w:tr>
        <w:tblPrEx>
          <w:tblLayout w:type="fixed"/>
          <w:tblCellMar>
            <w:top w:w="0" w:type="dxa"/>
            <w:left w:w="108" w:type="dxa"/>
            <w:bottom w:w="0" w:type="dxa"/>
            <w:right w:w="108" w:type="dxa"/>
          </w:tblCellMar>
        </w:tblPrEx>
        <w:trPr>
          <w:trHeight w:val="676" w:hRule="exact"/>
          <w:jc w:val="center"/>
        </w:trPr>
        <w:tc>
          <w:tcPr>
            <w:tcW w:w="4130" w:type="dxa"/>
            <w:tcBorders>
              <w:top w:val="nil"/>
              <w:left w:val="nil"/>
              <w:bottom w:val="single" w:color="auto" w:sz="4" w:space="0"/>
              <w:right w:val="single" w:color="auto" w:sz="4" w:space="0"/>
            </w:tcBorders>
            <w:shd w:val="clear" w:color="auto" w:fill="auto"/>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＃：住宅</w:t>
            </w:r>
          </w:p>
        </w:tc>
        <w:tc>
          <w:tcPr>
            <w:tcW w:w="1835" w:type="dxa"/>
            <w:tcBorders>
              <w:top w:val="nil"/>
              <w:left w:val="nil"/>
              <w:bottom w:val="single" w:color="auto" w:sz="4" w:space="0"/>
              <w:right w:val="nil"/>
            </w:tcBorders>
            <w:shd w:val="clear" w:color="auto" w:fill="FFFFFF"/>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401178</w:t>
            </w:r>
          </w:p>
        </w:tc>
        <w:tc>
          <w:tcPr>
            <w:tcW w:w="1715"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21.5</w:t>
            </w:r>
          </w:p>
        </w:tc>
      </w:tr>
    </w:tbl>
    <w:p>
      <w:pPr>
        <w:pStyle w:val="5"/>
        <w:spacing w:before="0" w:beforeAutospacing="0" w:after="0" w:afterAutospacing="0"/>
        <w:ind w:left="45" w:right="45" w:firstLine="562"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28"/>
          <w:szCs w:val="28"/>
        </w:rPr>
        <w:t xml:space="preserve"> </w:t>
      </w:r>
      <w:r>
        <w:rPr>
          <w:rFonts w:hint="eastAsia" w:ascii="方正黑体_GBK" w:hAnsi="方正黑体_GBK" w:eastAsia="方正黑体_GBK" w:cs="方正黑体_GBK"/>
          <w:b/>
          <w:sz w:val="32"/>
          <w:szCs w:val="32"/>
        </w:rPr>
        <w:t>五、国内贸易</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全年批发和零售业实现增加值239495万元，比上年增长11.2%，占全区生产总值的5.8%；住宿和餐饮业实现增加值85960万元，比上年增长9.8%，占全区生产总值的2.1%。 </w:t>
      </w:r>
    </w:p>
    <w:p>
      <w:pPr>
        <w:pStyle w:val="5"/>
        <w:spacing w:before="0" w:beforeAutospacing="0" w:after="0" w:afterAutospacing="0"/>
        <w:ind w:left="45" w:right="45" w:firstLine="640" w:firstLineChars="200"/>
        <w:jc w:val="both"/>
        <w:rPr>
          <w:rFonts w:ascii="方正仿宋_GBK" w:hAnsi="方正仿宋_GBK" w:eastAsia="方正仿宋_GBK" w:cs="方正仿宋_GBK"/>
        </w:rPr>
      </w:pPr>
      <w:r>
        <w:rPr>
          <w:rFonts w:hint="eastAsia" w:ascii="方正仿宋_GBK" w:hAnsi="方正仿宋_GBK" w:eastAsia="方正仿宋_GBK" w:cs="方正仿宋_GBK"/>
          <w:sz w:val="32"/>
          <w:szCs w:val="32"/>
        </w:rPr>
        <w:t>消费品市场平稳增长。全年实现社会消费品零售总额1254487万元，同比增长13.3%。限额以上法人企业主要商品零售额中，汽车类增长25.8％，粮油、食品类增长23.4％，家用电器和音响器材类增长25.0％，石油及其制品类增长15.4％。</w:t>
      </w:r>
    </w:p>
    <w:p>
      <w:pPr>
        <w:ind w:firstLine="420" w:firstLineChars="200"/>
        <w:rPr>
          <w:rFonts w:ascii="方正仿宋_GBK" w:hAnsi="方正仿宋_GBK" w:eastAsia="方正仿宋_GBK" w:cs="方正仿宋_GBK"/>
          <w:kern w:val="0"/>
          <w:sz w:val="28"/>
        </w:rPr>
      </w:pPr>
      <w:r>
        <w:rPr>
          <w:rFonts w:ascii="方正仿宋_GBK" w:hAnsi="方正仿宋_GBK" w:eastAsia="方正仿宋_GBK" w:cs="方正仿宋_GBK"/>
        </w:rPr>
        <w:drawing>
          <wp:inline distT="0" distB="0" distL="114300" distR="114300">
            <wp:extent cx="5105400" cy="2933700"/>
            <wp:effectExtent l="0" t="0" r="0" b="762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1"/>
                    <a:stretch>
                      <a:fillRect/>
                    </a:stretch>
                  </pic:blipFill>
                  <pic:spPr>
                    <a:xfrm>
                      <a:off x="0" y="0"/>
                      <a:ext cx="5105400" cy="2933700"/>
                    </a:xfrm>
                    <a:prstGeom prst="rect">
                      <a:avLst/>
                    </a:prstGeom>
                    <a:noFill/>
                    <a:ln w="9525">
                      <a:noFill/>
                    </a:ln>
                  </pic:spPr>
                </pic:pic>
              </a:graphicData>
            </a:graphic>
          </wp:inline>
        </w:drawing>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全年批发和零售业实现销售额2500449万元，增长21.2%；住宿和餐饮业实现营业额459388万元，增长18.5%。</w:t>
      </w:r>
    </w:p>
    <w:p>
      <w:pPr>
        <w:pStyle w:val="5"/>
        <w:spacing w:before="0" w:beforeAutospacing="0" w:after="0" w:afterAutospacing="0"/>
        <w:ind w:left="45" w:right="45" w:firstLine="643" w:firstLineChars="200"/>
        <w:jc w:val="both"/>
        <w:rPr>
          <w:rStyle w:val="7"/>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六、</w:t>
      </w:r>
      <w:r>
        <w:rPr>
          <w:rStyle w:val="7"/>
          <w:rFonts w:hint="eastAsia" w:ascii="方正黑体_GBK" w:hAnsi="方正黑体_GBK" w:eastAsia="方正黑体_GBK" w:cs="方正黑体_GBK"/>
          <w:sz w:val="32"/>
          <w:szCs w:val="32"/>
        </w:rPr>
        <w:t>对外经济</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全年实现外贸进出口总值228068万元，下降47.7％。其中：出口226039万元，下降47.5%；进口2029万元，下降64.9%。</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际使用外资金额4692万美元，增长6.4％。其中，外商直接投资320万美元。全年实际利用内资项目767个，同比下降28.5%。实际利用内资金额278.63亿元，增长20.5%，其中5000万元以上项目183个，5000万元以上项目实际利用内资252.79亿元，增长20.8％。</w:t>
      </w:r>
    </w:p>
    <w:p>
      <w:pPr>
        <w:pStyle w:val="5"/>
        <w:spacing w:before="0" w:beforeAutospacing="0" w:after="0" w:afterAutospacing="0"/>
        <w:ind w:left="44"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七、交通、邮电和旅游</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kern w:val="2"/>
          <w:sz w:val="32"/>
          <w:szCs w:val="32"/>
        </w:rPr>
      </w:pPr>
      <w:r>
        <w:rPr>
          <w:rFonts w:hint="eastAsia" w:ascii="方正仿宋_GBK" w:hAnsi="方正仿宋_GBK" w:eastAsia="方正仿宋_GBK" w:cs="方正仿宋_GBK"/>
          <w:kern w:val="2"/>
          <w:sz w:val="32"/>
          <w:szCs w:val="32"/>
        </w:rPr>
        <w:t>全年交通运输、仓储和邮政业实现增加值140851万元，比上年增长10.4％，占全区生产总值的比重为3.4%。</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全年公路客运量完成4361万人，比上年增长22.9%；公路旅客周转量197613万人公里，增长11.6%；公路货运量完成803万吨，增长5.9%；公路货物周转量79792万吨公里，增长13.5%。</w:t>
      </w:r>
      <w:r>
        <w:rPr>
          <w:rFonts w:hint="eastAsia" w:ascii="方正仿宋_GBK" w:hAnsi="方正仿宋_GBK" w:eastAsia="方正仿宋_GBK" w:cs="方正仿宋_GBK"/>
          <w:kern w:val="2"/>
          <w:sz w:val="32"/>
          <w:szCs w:val="32"/>
        </w:rPr>
        <w:tab/>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拥有营运汽车7626辆，其中货车6812辆、客车594辆(含公交车)、出租汽车220辆。全区民用车辆拥有量127286辆，比上年末增长12.0%，其中私人汽车拥有量57089辆，增长19.1%。民用轿车拥有量28993辆，增长18.8%，其中私人轿车28990辆，增长18.8%。</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底全区公路总里程2360.667公里。按行政等级划分：国道（高速公路）63.436公里，省道209.182公里，县道136.588公里，乡道295.921公里，专用公路10.755公里，村道1644.785公里。按技术等级分：高速公路29.8公里、一级公路25.004公里、二级公路191.904公里、三级公路79.35公里、四级公路1943.009公里，等外公路91.6公里。</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完成邮电业务总量48528万元，比上年增长10.4%。其中，邮政业务收入10314万元，增长18.6%；电信业务总量38214万元，增长8.3%。年末固定电话用户数7.64万户，比上年下降10.9%；移动电话用户63.93万户，比上年增长10.2%。固定互联网宽带接入用户13.69万户，比上年增长45.8%；手机上网用户50.29万户，比上年增长12.3%；互联网用户57.44万户。</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旅游业加快发展。全年接待游客人数492万人次，比上年增长34.6%；实现旅游总收入13.78亿元，比上年增长40.2％。年末全区拥有A级旅游景区4个，其中4A级景区1个，3A级景区3个。</w:t>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八、金融</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金融市场稳健运行。全年金融业实现增加值88614万元，比上年增长15.1%,占全区生产总值的2.1%。不良贷款率为0.68%。</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规模进一步扩大。年末全区金融机构各项存款余额达到3361010万元，比年初增加412951万元，增长14.0%。其中，住户存款余额2399139万元，比年初增长11.9%。年末金融机构贷款余额达到2268840万元，比年初增加394542万元，增长21.1%。其中，个人消费贷款850571万元，增长92.2%。</w:t>
      </w: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表6　　2017年末金融机构存贷款余额</w:t>
      </w:r>
    </w:p>
    <w:tbl>
      <w:tblPr>
        <w:tblStyle w:val="9"/>
        <w:tblW w:w="7800" w:type="dxa"/>
        <w:tblInd w:w="648" w:type="dxa"/>
        <w:tblLayout w:type="fixed"/>
        <w:tblCellMar>
          <w:top w:w="0" w:type="dxa"/>
          <w:left w:w="108" w:type="dxa"/>
          <w:bottom w:w="0" w:type="dxa"/>
          <w:right w:w="108" w:type="dxa"/>
        </w:tblCellMar>
      </w:tblPr>
      <w:tblGrid>
        <w:gridCol w:w="3120"/>
        <w:gridCol w:w="2538"/>
        <w:gridCol w:w="2142"/>
      </w:tblGrid>
      <w:tr>
        <w:tblPrEx>
          <w:tblLayout w:type="fixed"/>
          <w:tblCellMar>
            <w:top w:w="0" w:type="dxa"/>
            <w:left w:w="108" w:type="dxa"/>
            <w:bottom w:w="0" w:type="dxa"/>
            <w:right w:w="108" w:type="dxa"/>
          </w:tblCellMar>
        </w:tblPrEx>
        <w:trPr>
          <w:trHeight w:val="1025" w:hRule="atLeast"/>
        </w:trPr>
        <w:tc>
          <w:tcPr>
            <w:tcW w:w="312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年末数（万元）</w:t>
            </w:r>
          </w:p>
        </w:tc>
        <w:tc>
          <w:tcPr>
            <w:tcW w:w="2142" w:type="dxa"/>
            <w:tcBorders>
              <w:top w:val="single" w:color="auto" w:sz="4" w:space="0"/>
              <w:left w:val="single" w:color="auto" w:sz="4" w:space="0"/>
              <w:bottom w:val="single" w:color="auto" w:sz="4" w:space="0"/>
              <w:right w:val="nil"/>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比年初±％</w:t>
            </w:r>
          </w:p>
        </w:tc>
      </w:tr>
      <w:tr>
        <w:tblPrEx>
          <w:tblLayout w:type="fixed"/>
          <w:tblCellMar>
            <w:top w:w="0" w:type="dxa"/>
            <w:left w:w="108" w:type="dxa"/>
            <w:bottom w:w="0" w:type="dxa"/>
            <w:right w:w="108" w:type="dxa"/>
          </w:tblCellMar>
        </w:tblPrEx>
        <w:trPr>
          <w:trHeight w:val="920" w:hRule="exact"/>
        </w:trPr>
        <w:tc>
          <w:tcPr>
            <w:tcW w:w="3120" w:type="dxa"/>
            <w:tcBorders>
              <w:top w:val="single" w:color="auto" w:sz="4" w:space="0"/>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金融机构存款余额</w:t>
            </w:r>
          </w:p>
        </w:tc>
        <w:tc>
          <w:tcPr>
            <w:tcW w:w="2538"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3361010</w:t>
            </w:r>
          </w:p>
        </w:tc>
        <w:tc>
          <w:tcPr>
            <w:tcW w:w="214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14</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＃企事业单位存款</w:t>
            </w:r>
          </w:p>
        </w:tc>
        <w:tc>
          <w:tcPr>
            <w:tcW w:w="2538"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921359</w:t>
            </w:r>
          </w:p>
        </w:tc>
        <w:tc>
          <w:tcPr>
            <w:tcW w:w="214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22.4</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住户存款</w:t>
            </w:r>
          </w:p>
        </w:tc>
        <w:tc>
          <w:tcPr>
            <w:tcW w:w="2538"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2399139</w:t>
            </w:r>
          </w:p>
        </w:tc>
        <w:tc>
          <w:tcPr>
            <w:tcW w:w="214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11.9</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金融机构贷款余额</w:t>
            </w:r>
          </w:p>
        </w:tc>
        <w:tc>
          <w:tcPr>
            <w:tcW w:w="2538"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2268840</w:t>
            </w:r>
          </w:p>
        </w:tc>
        <w:tc>
          <w:tcPr>
            <w:tcW w:w="214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21.1</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shd w:val="clear" w:color="auto" w:fill="auto"/>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＃短期贷款</w:t>
            </w:r>
          </w:p>
        </w:tc>
        <w:tc>
          <w:tcPr>
            <w:tcW w:w="253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428177</w:t>
            </w:r>
          </w:p>
        </w:tc>
        <w:tc>
          <w:tcPr>
            <w:tcW w:w="214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0.3</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shd w:val="clear" w:color="auto" w:fill="auto"/>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中长期贷款</w:t>
            </w:r>
          </w:p>
        </w:tc>
        <w:tc>
          <w:tcPr>
            <w:tcW w:w="253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1835600</w:t>
            </w:r>
          </w:p>
        </w:tc>
        <w:tc>
          <w:tcPr>
            <w:tcW w:w="2142"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30.8</w:t>
            </w:r>
          </w:p>
        </w:tc>
      </w:tr>
      <w:tr>
        <w:tblPrEx>
          <w:tblLayout w:type="fixed"/>
          <w:tblCellMar>
            <w:top w:w="0" w:type="dxa"/>
            <w:left w:w="108" w:type="dxa"/>
            <w:bottom w:w="0" w:type="dxa"/>
            <w:right w:w="108" w:type="dxa"/>
          </w:tblCellMar>
        </w:tblPrEx>
        <w:trPr>
          <w:trHeight w:val="920" w:hRule="exact"/>
        </w:trPr>
        <w:tc>
          <w:tcPr>
            <w:tcW w:w="3120" w:type="dxa"/>
            <w:tcBorders>
              <w:top w:val="nil"/>
              <w:left w:val="nil"/>
              <w:right w:val="single" w:color="auto" w:sz="4" w:space="0"/>
            </w:tcBorders>
            <w:vAlign w:val="center"/>
          </w:tcPr>
          <w:p>
            <w:pPr>
              <w:ind w:firstLine="720" w:firstLineChars="300"/>
              <w:rPr>
                <w:rFonts w:ascii="方正仿宋_GBK" w:hAnsi="方正仿宋_GBK" w:eastAsia="方正仿宋_GBK" w:cs="方正仿宋_GBK"/>
                <w:sz w:val="24"/>
              </w:rPr>
            </w:pPr>
            <w:r>
              <w:rPr>
                <w:rFonts w:hint="eastAsia" w:ascii="方正仿宋_GBK" w:hAnsi="方正仿宋_GBK" w:eastAsia="方正仿宋_GBK" w:cs="方正仿宋_GBK"/>
                <w:sz w:val="24"/>
              </w:rPr>
              <w:t>＃个人消费贷款</w:t>
            </w:r>
          </w:p>
        </w:tc>
        <w:tc>
          <w:tcPr>
            <w:tcW w:w="2538"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850571</w:t>
            </w:r>
          </w:p>
        </w:tc>
        <w:tc>
          <w:tcPr>
            <w:tcW w:w="2142"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92.2</w:t>
            </w:r>
          </w:p>
        </w:tc>
      </w:tr>
      <w:tr>
        <w:tblPrEx>
          <w:tblLayout w:type="fixed"/>
          <w:tblCellMar>
            <w:top w:w="0" w:type="dxa"/>
            <w:left w:w="108" w:type="dxa"/>
            <w:bottom w:w="0" w:type="dxa"/>
            <w:right w:w="108" w:type="dxa"/>
          </w:tblCellMar>
        </w:tblPrEx>
        <w:trPr>
          <w:trHeight w:val="930" w:hRule="exact"/>
        </w:trPr>
        <w:tc>
          <w:tcPr>
            <w:tcW w:w="3120" w:type="dxa"/>
            <w:tcBorders>
              <w:top w:val="nil"/>
              <w:left w:val="nil"/>
              <w:bottom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＃不良贷款</w:t>
            </w:r>
          </w:p>
        </w:tc>
        <w:tc>
          <w:tcPr>
            <w:tcW w:w="2538"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15336</w:t>
            </w:r>
          </w:p>
        </w:tc>
        <w:tc>
          <w:tcPr>
            <w:tcW w:w="2142"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25</w:t>
            </w:r>
          </w:p>
        </w:tc>
      </w:tr>
    </w:tbl>
    <w:p>
      <w:pPr>
        <w:ind w:firstLine="640" w:firstLineChars="200"/>
        <w:jc w:val="left"/>
        <w:rPr>
          <w:rFonts w:ascii="方正仿宋_GBK" w:hAnsi="方正仿宋_GBK" w:eastAsia="方正仿宋_GBK" w:cs="方正仿宋_GBK"/>
          <w:color w:val="0000FF"/>
          <w:kern w:val="0"/>
          <w:sz w:val="32"/>
          <w:szCs w:val="32"/>
        </w:rPr>
      </w:pPr>
      <w:r>
        <w:rPr>
          <w:rFonts w:hint="eastAsia" w:ascii="方正仿宋_GBK" w:hAnsi="方正仿宋_GBK" w:eastAsia="方正仿宋_GBK" w:cs="方正仿宋_GBK"/>
          <w:kern w:val="0"/>
          <w:sz w:val="32"/>
          <w:szCs w:val="32"/>
        </w:rPr>
        <w:t>保险业稳定发展。全年保险机构实现保费收入76127万元，增长9.7%。理赔金额32533万元，增长9.1%。</w:t>
      </w:r>
    </w:p>
    <w:p>
      <w:pPr>
        <w:pStyle w:val="5"/>
        <w:tabs>
          <w:tab w:val="left" w:pos="1375"/>
        </w:tabs>
        <w:spacing w:before="0" w:beforeAutospacing="0" w:after="0" w:afterAutospacing="0"/>
        <w:ind w:left="44" w:right="44" w:firstLine="480" w:firstLineChars="200"/>
        <w:jc w:val="both"/>
        <w:rPr>
          <w:rStyle w:val="7"/>
          <w:rFonts w:ascii="方正仿宋_GBK" w:hAnsi="方正仿宋_GBK" w:eastAsia="方正仿宋_GBK" w:cs="方正仿宋_GBK"/>
          <w:color w:val="0000FF"/>
          <w:sz w:val="28"/>
        </w:rPr>
      </w:pPr>
      <w:r>
        <w:rPr>
          <w:rFonts w:ascii="方正仿宋_GBK" w:hAnsi="方正仿宋_GBK" w:eastAsia="方正仿宋_GBK" w:cs="方正仿宋_GBK"/>
        </w:rPr>
        <w:drawing>
          <wp:inline distT="0" distB="0" distL="114300" distR="114300">
            <wp:extent cx="4848225" cy="2924175"/>
            <wp:effectExtent l="0" t="0" r="13335" b="1905"/>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r:embed="rId12"/>
                    <a:stretch>
                      <a:fillRect/>
                    </a:stretch>
                  </pic:blipFill>
                  <pic:spPr>
                    <a:xfrm>
                      <a:off x="0" y="0"/>
                      <a:ext cx="4848225" cy="2924175"/>
                    </a:xfrm>
                    <a:prstGeom prst="rect">
                      <a:avLst/>
                    </a:prstGeom>
                    <a:noFill/>
                    <a:ln w="9525">
                      <a:noFill/>
                    </a:ln>
                  </pic:spPr>
                </pic:pic>
              </a:graphicData>
            </a:graphic>
          </wp:inline>
        </w:drawing>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九、人民生活和社会保障</w:t>
      </w:r>
    </w:p>
    <w:p>
      <w:pPr>
        <w:pStyle w:val="5"/>
        <w:spacing w:before="0" w:beforeAutospacing="0" w:after="0" w:afterAutospacing="0"/>
        <w:ind w:left="44" w:right="44" w:firstLine="640" w:firstLineChars="200"/>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居民收入持续增加。全区常住居民人均可支配收入24443元，比上年增长11.8%。</w:t>
      </w:r>
    </w:p>
    <w:p>
      <w:pPr>
        <w:pStyle w:val="5"/>
        <w:spacing w:before="0" w:beforeAutospacing="0" w:after="0" w:afterAutospacing="0"/>
        <w:ind w:left="44" w:right="44" w:firstLine="560" w:firstLineChars="200"/>
        <w:jc w:val="both"/>
        <w:rPr>
          <w:rStyle w:val="7"/>
          <w:rFonts w:ascii="方正仿宋_GBK" w:hAnsi="方正仿宋_GBK" w:eastAsia="方正仿宋_GBK" w:cs="方正仿宋_GBK"/>
          <w:b w:val="0"/>
          <w:sz w:val="28"/>
        </w:rPr>
      </w:pPr>
    </w:p>
    <w:p>
      <w:pPr>
        <w:pStyle w:val="5"/>
        <w:spacing w:before="0" w:beforeAutospacing="0" w:after="0" w:afterAutospacing="0"/>
        <w:ind w:left="44" w:right="44" w:firstLine="931"/>
        <w:jc w:val="both"/>
        <w:rPr>
          <w:rStyle w:val="7"/>
          <w:rFonts w:ascii="方正仿宋_GBK" w:hAnsi="方正仿宋_GBK" w:eastAsia="方正仿宋_GBK" w:cs="方正仿宋_GBK"/>
          <w:b w:val="0"/>
          <w:sz w:val="28"/>
        </w:rPr>
      </w:pPr>
    </w:p>
    <w:p>
      <w:pPr>
        <w:pStyle w:val="5"/>
        <w:spacing w:before="0" w:beforeAutospacing="0" w:after="0" w:afterAutospacing="0"/>
        <w:ind w:right="44"/>
        <w:jc w:val="both"/>
        <w:rPr>
          <w:rStyle w:val="7"/>
          <w:rFonts w:ascii="方正仿宋_GBK" w:hAnsi="方正仿宋_GBK" w:eastAsia="方正仿宋_GBK" w:cs="方正仿宋_GBK"/>
          <w:b w:val="0"/>
          <w:sz w:val="28"/>
        </w:rPr>
      </w:pPr>
      <w:r>
        <w:rPr>
          <w:rFonts w:ascii="方正仿宋_GBK" w:hAnsi="方正仿宋_GBK" w:eastAsia="方正仿宋_GBK" w:cs="方正仿宋_GBK"/>
        </w:rPr>
        <w:drawing>
          <wp:inline distT="0" distB="0" distL="114300" distR="114300">
            <wp:extent cx="5267325" cy="2924175"/>
            <wp:effectExtent l="0" t="0" r="5715" b="1905"/>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ChangeAspect="1"/>
                    </pic:cNvPicPr>
                  </pic:nvPicPr>
                  <pic:blipFill>
                    <a:blip r:embed="rId13"/>
                    <a:stretch>
                      <a:fillRect/>
                    </a:stretch>
                  </pic:blipFill>
                  <pic:spPr>
                    <a:xfrm>
                      <a:off x="0" y="0"/>
                      <a:ext cx="5267325" cy="2924175"/>
                    </a:xfrm>
                    <a:prstGeom prst="rect">
                      <a:avLst/>
                    </a:prstGeom>
                    <a:noFill/>
                    <a:ln w="9525">
                      <a:noFill/>
                    </a:ln>
                  </pic:spPr>
                </pic:pic>
              </a:graphicData>
            </a:graphic>
          </wp:inline>
        </w:drawing>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城镇常住居民人均可支配收入32230元，增长8.8%。其中，人均工资性收入19086元，增长8.4%；人均经营净收入3524元，增长10.7%；人均财产净收入2310元，增长8.3%；人均转移净收入7310元，增长9.1%。城镇居民恩格尔系数32.89%，比上年下降0.91个百分点。城镇居民人均住房面积41.06平方米，比上年增加3.96平方米。</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农村常住居民人均可支配收入15686元，增长9.5%。其中，人均工资性收入5415元，增长10.5%；人均经营净收入5421元，增长8.1%；人均财产净收入218元，增长6.3%；人均转移净收入4632元，增长10.2％。农村常住居民人均生活消费支出10442元，增长7.1%；其中，衣着647元，增长15.3%；居住1951元，增长6.4%；生活用品及服务941元，增长9.9%；交通通信1178元，增长9.2%；教育文化娱乐959元，增长8.0%；医疗保健805元，增长21.3%。农村居民恩格尔系数36.66 %，比上年下降1.64个百分点。农村居民人均住房面积45.72平方米，比上年减少0.08平方米。</w:t>
      </w: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表7  2017年常住居民人均可支配收入</w:t>
      </w:r>
    </w:p>
    <w:tbl>
      <w:tblPr>
        <w:tblStyle w:val="9"/>
        <w:tblW w:w="8140" w:type="dxa"/>
        <w:tblInd w:w="0" w:type="dxa"/>
        <w:tblLayout w:type="fixed"/>
        <w:tblCellMar>
          <w:top w:w="15" w:type="dxa"/>
          <w:left w:w="15" w:type="dxa"/>
          <w:bottom w:w="15" w:type="dxa"/>
          <w:right w:w="15" w:type="dxa"/>
        </w:tblCellMar>
      </w:tblPr>
      <w:tblGrid>
        <w:gridCol w:w="1890"/>
        <w:gridCol w:w="985"/>
        <w:gridCol w:w="1087"/>
        <w:gridCol w:w="985"/>
        <w:gridCol w:w="1118"/>
        <w:gridCol w:w="985"/>
        <w:gridCol w:w="1090"/>
      </w:tblGrid>
      <w:tr>
        <w:tblPrEx>
          <w:tblLayout w:type="fixed"/>
          <w:tblCellMar>
            <w:top w:w="15" w:type="dxa"/>
            <w:left w:w="15" w:type="dxa"/>
            <w:bottom w:w="15" w:type="dxa"/>
            <w:right w:w="15" w:type="dxa"/>
          </w:tblCellMar>
        </w:tblPrEx>
        <w:trPr>
          <w:trHeight w:val="555" w:hRule="atLeast"/>
        </w:trPr>
        <w:tc>
          <w:tcPr>
            <w:tcW w:w="189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20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全区常住居民 </w:t>
            </w:r>
          </w:p>
        </w:tc>
        <w:tc>
          <w:tcPr>
            <w:tcW w:w="21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城镇常住居民</w:t>
            </w:r>
          </w:p>
        </w:tc>
        <w:tc>
          <w:tcPr>
            <w:tcW w:w="2075"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农村常住居民 </w:t>
            </w:r>
          </w:p>
        </w:tc>
      </w:tr>
      <w:tr>
        <w:tblPrEx>
          <w:tblLayout w:type="fixed"/>
          <w:tblCellMar>
            <w:top w:w="15" w:type="dxa"/>
            <w:left w:w="15" w:type="dxa"/>
            <w:bottom w:w="15" w:type="dxa"/>
            <w:right w:w="15" w:type="dxa"/>
          </w:tblCellMar>
        </w:tblPrEx>
        <w:trPr>
          <w:trHeight w:val="936" w:hRule="atLeast"/>
        </w:trPr>
        <w:tc>
          <w:tcPr>
            <w:tcW w:w="1890" w:type="dxa"/>
            <w:vMerge w:val="continue"/>
            <w:tcBorders>
              <w:top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118"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90" w:type="dxa"/>
            <w:tcBorders>
              <w:top w:val="single" w:color="000000" w:sz="4" w:space="0"/>
              <w:left w:val="single" w:color="000000" w:sz="4" w:space="0"/>
              <w:bottom w:val="single" w:color="auto"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r>
      <w:tr>
        <w:tblPrEx>
          <w:tblLayout w:type="fixed"/>
          <w:tblCellMar>
            <w:top w:w="15" w:type="dxa"/>
            <w:left w:w="15" w:type="dxa"/>
            <w:bottom w:w="15" w:type="dxa"/>
            <w:right w:w="15" w:type="dxa"/>
          </w:tblCellMar>
        </w:tblPrEx>
        <w:trPr>
          <w:trHeight w:val="555" w:hRule="atLeast"/>
        </w:trPr>
        <w:tc>
          <w:tcPr>
            <w:tcW w:w="1890" w:type="dxa"/>
            <w:tcBorders>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人均可支配收入</w:t>
            </w:r>
          </w:p>
        </w:tc>
        <w:tc>
          <w:tcPr>
            <w:tcW w:w="985" w:type="dxa"/>
            <w:tcBorders>
              <w:top w:val="single" w:color="auto" w:sz="4" w:space="0"/>
              <w:left w:val="single" w:color="auto" w:sz="4" w:space="0"/>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24443</w:t>
            </w:r>
          </w:p>
        </w:tc>
        <w:tc>
          <w:tcPr>
            <w:tcW w:w="1087" w:type="dxa"/>
            <w:tcBorders>
              <w:top w:val="single" w:color="auto" w:sz="4" w:space="0"/>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11.8</w:t>
            </w:r>
          </w:p>
        </w:tc>
        <w:tc>
          <w:tcPr>
            <w:tcW w:w="985" w:type="dxa"/>
            <w:tcBorders>
              <w:top w:val="single" w:color="auto" w:sz="4" w:space="0"/>
              <w:left w:val="nil"/>
              <w:bottom w:val="nil"/>
              <w:right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32230</w:t>
            </w:r>
          </w:p>
        </w:tc>
        <w:tc>
          <w:tcPr>
            <w:tcW w:w="1118" w:type="dxa"/>
            <w:tcBorders>
              <w:top w:val="single" w:color="auto" w:sz="4" w:space="0"/>
              <w:left w:val="nil"/>
              <w:bottom w:val="nil"/>
              <w:right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8.8</w:t>
            </w:r>
          </w:p>
        </w:tc>
        <w:tc>
          <w:tcPr>
            <w:tcW w:w="985" w:type="dxa"/>
            <w:tcBorders>
              <w:top w:val="single" w:color="auto" w:sz="4" w:space="0"/>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15686</w:t>
            </w:r>
          </w:p>
        </w:tc>
        <w:tc>
          <w:tcPr>
            <w:tcW w:w="1090" w:type="dxa"/>
            <w:tcBorders>
              <w:top w:val="single" w:color="auto" w:sz="4" w:space="0"/>
              <w:left w:val="nil"/>
              <w:bottom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9.5</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工资性收入</w:t>
            </w:r>
          </w:p>
        </w:tc>
        <w:tc>
          <w:tcPr>
            <w:tcW w:w="985" w:type="dxa"/>
            <w:tcBorders>
              <w:top w:val="nil"/>
              <w:left w:val="single" w:color="auto" w:sz="4" w:space="0"/>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12651</w:t>
            </w:r>
          </w:p>
        </w:tc>
        <w:tc>
          <w:tcPr>
            <w:tcW w:w="1087"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13.4</w:t>
            </w:r>
          </w:p>
        </w:tc>
        <w:tc>
          <w:tcPr>
            <w:tcW w:w="985"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19086</w:t>
            </w:r>
          </w:p>
        </w:tc>
        <w:tc>
          <w:tcPr>
            <w:tcW w:w="1118" w:type="dxa"/>
            <w:tcBorders>
              <w:top w:val="nil"/>
              <w:left w:val="nil"/>
              <w:bottom w:val="nil"/>
              <w:right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ab/>
            </w:r>
            <w:r>
              <w:rPr>
                <w:rFonts w:hint="eastAsia" w:ascii="方正仿宋_GBK" w:hAnsi="方正仿宋_GBK" w:eastAsia="方正仿宋_GBK" w:cs="方正仿宋_GBK"/>
                <w:color w:val="000000"/>
                <w:kern w:val="0"/>
                <w:sz w:val="24"/>
              </w:rPr>
              <w:t>8.4</w:t>
            </w:r>
          </w:p>
        </w:tc>
        <w:tc>
          <w:tcPr>
            <w:tcW w:w="985"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5415</w:t>
            </w:r>
          </w:p>
        </w:tc>
        <w:tc>
          <w:tcPr>
            <w:tcW w:w="1090" w:type="dxa"/>
            <w:tcBorders>
              <w:top w:val="nil"/>
              <w:left w:val="nil"/>
              <w:bottom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10.5</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  经营净收入</w:t>
            </w:r>
          </w:p>
        </w:tc>
        <w:tc>
          <w:tcPr>
            <w:tcW w:w="985" w:type="dxa"/>
            <w:tcBorders>
              <w:top w:val="nil"/>
              <w:left w:val="single" w:color="auto" w:sz="4" w:space="0"/>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4417</w:t>
            </w:r>
          </w:p>
        </w:tc>
        <w:tc>
          <w:tcPr>
            <w:tcW w:w="1087"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7.4</w:t>
            </w:r>
          </w:p>
        </w:tc>
        <w:tc>
          <w:tcPr>
            <w:tcW w:w="985"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3524</w:t>
            </w:r>
          </w:p>
        </w:tc>
        <w:tc>
          <w:tcPr>
            <w:tcW w:w="1118" w:type="dxa"/>
            <w:tcBorders>
              <w:top w:val="nil"/>
              <w:left w:val="nil"/>
              <w:bottom w:val="nil"/>
              <w:right w:val="nil"/>
            </w:tcBorders>
            <w:shd w:val="clear" w:color="auto" w:fill="FFFFFF"/>
            <w:vAlign w:val="center"/>
          </w:tcPr>
          <w:p>
            <w:pPr>
              <w:widowControl/>
              <w:jc w:val="righ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10.7</w:t>
            </w:r>
          </w:p>
        </w:tc>
        <w:tc>
          <w:tcPr>
            <w:tcW w:w="985"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5421</w:t>
            </w:r>
          </w:p>
        </w:tc>
        <w:tc>
          <w:tcPr>
            <w:tcW w:w="1090" w:type="dxa"/>
            <w:tcBorders>
              <w:top w:val="nil"/>
              <w:left w:val="nil"/>
              <w:bottom w:val="nil"/>
            </w:tcBorders>
            <w:shd w:val="clear" w:color="auto" w:fill="FFFFFF"/>
            <w:vAlign w:val="center"/>
          </w:tcPr>
          <w:p>
            <w:pPr>
              <w:widowControl/>
              <w:jc w:val="righ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8.1</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财产净收入</w:t>
            </w:r>
          </w:p>
        </w:tc>
        <w:tc>
          <w:tcPr>
            <w:tcW w:w="985" w:type="dxa"/>
            <w:tcBorders>
              <w:top w:val="nil"/>
              <w:left w:val="single" w:color="auto" w:sz="4" w:space="0"/>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1325</w:t>
            </w:r>
          </w:p>
        </w:tc>
        <w:tc>
          <w:tcPr>
            <w:tcW w:w="1087"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14.8</w:t>
            </w:r>
          </w:p>
        </w:tc>
        <w:tc>
          <w:tcPr>
            <w:tcW w:w="985"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2310</w:t>
            </w:r>
          </w:p>
        </w:tc>
        <w:tc>
          <w:tcPr>
            <w:tcW w:w="1118" w:type="dxa"/>
            <w:tcBorders>
              <w:top w:val="nil"/>
              <w:left w:val="nil"/>
              <w:bottom w:val="nil"/>
              <w:right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8.3</w:t>
            </w:r>
          </w:p>
        </w:tc>
        <w:tc>
          <w:tcPr>
            <w:tcW w:w="985" w:type="dxa"/>
            <w:tcBorders>
              <w:top w:val="nil"/>
              <w:left w:val="nil"/>
              <w:bottom w:val="nil"/>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218</w:t>
            </w:r>
          </w:p>
        </w:tc>
        <w:tc>
          <w:tcPr>
            <w:tcW w:w="1090" w:type="dxa"/>
            <w:tcBorders>
              <w:top w:val="nil"/>
              <w:left w:val="nil"/>
              <w:bottom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6.3</w:t>
            </w:r>
          </w:p>
        </w:tc>
      </w:tr>
      <w:tr>
        <w:tblPrEx>
          <w:tblLayout w:type="fixed"/>
          <w:tblCellMar>
            <w:top w:w="15" w:type="dxa"/>
            <w:left w:w="15" w:type="dxa"/>
            <w:bottom w:w="15" w:type="dxa"/>
            <w:right w:w="15" w:type="dxa"/>
          </w:tblCellMar>
        </w:tblPrEx>
        <w:trPr>
          <w:trHeight w:val="582"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转移净收入</w:t>
            </w:r>
          </w:p>
        </w:tc>
        <w:tc>
          <w:tcPr>
            <w:tcW w:w="985" w:type="dxa"/>
            <w:tcBorders>
              <w:top w:val="nil"/>
              <w:left w:val="single" w:color="auto" w:sz="4" w:space="0"/>
              <w:bottom w:val="single" w:color="auto" w:sz="4" w:space="0"/>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6050</w:t>
            </w:r>
          </w:p>
        </w:tc>
        <w:tc>
          <w:tcPr>
            <w:tcW w:w="1087" w:type="dxa"/>
            <w:tcBorders>
              <w:top w:val="nil"/>
              <w:left w:val="nil"/>
              <w:bottom w:val="single" w:color="auto" w:sz="4" w:space="0"/>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11.3</w:t>
            </w:r>
          </w:p>
        </w:tc>
        <w:tc>
          <w:tcPr>
            <w:tcW w:w="985" w:type="dxa"/>
            <w:tcBorders>
              <w:top w:val="nil"/>
              <w:left w:val="nil"/>
              <w:bottom w:val="single" w:color="auto" w:sz="4" w:space="0"/>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7310</w:t>
            </w:r>
          </w:p>
        </w:tc>
        <w:tc>
          <w:tcPr>
            <w:tcW w:w="1118" w:type="dxa"/>
            <w:tcBorders>
              <w:top w:val="nil"/>
              <w:left w:val="nil"/>
              <w:bottom w:val="single" w:color="auto" w:sz="4" w:space="0"/>
              <w:right w:val="nil"/>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9.1</w:t>
            </w:r>
          </w:p>
        </w:tc>
        <w:tc>
          <w:tcPr>
            <w:tcW w:w="985" w:type="dxa"/>
            <w:tcBorders>
              <w:top w:val="nil"/>
              <w:left w:val="nil"/>
              <w:bottom w:val="single" w:color="auto" w:sz="4" w:space="0"/>
              <w:right w:val="nil"/>
            </w:tcBorders>
            <w:shd w:val="clear" w:color="auto" w:fill="auto"/>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4632</w:t>
            </w:r>
          </w:p>
        </w:tc>
        <w:tc>
          <w:tcPr>
            <w:tcW w:w="1090" w:type="dxa"/>
            <w:tcBorders>
              <w:top w:val="nil"/>
              <w:left w:val="nil"/>
              <w:bottom w:val="single" w:color="auto" w:sz="4" w:space="0"/>
            </w:tcBorders>
            <w:shd w:val="clear" w:color="auto" w:fill="FFFFFF"/>
            <w:vAlign w:val="center"/>
          </w:tcPr>
          <w:p>
            <w:pPr>
              <w:widowControl/>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10.2</w:t>
            </w:r>
          </w:p>
        </w:tc>
      </w:tr>
    </w:tbl>
    <w:p>
      <w:pPr>
        <w:pStyle w:val="5"/>
        <w:tabs>
          <w:tab w:val="left" w:pos="1081"/>
        </w:tabs>
        <w:spacing w:before="0" w:beforeAutospacing="0" w:after="0" w:afterAutospacing="0"/>
        <w:ind w:right="44" w:firstLine="640" w:firstLineChars="200"/>
        <w:jc w:val="both"/>
        <w:rPr>
          <w:rStyle w:val="7"/>
          <w:rFonts w:ascii="方正仿宋_GBK" w:hAnsi="方正仿宋_GBK" w:eastAsia="方正仿宋_GBK" w:cs="方正仿宋_GBK"/>
          <w:b w:val="0"/>
          <w:color w:val="0000FF"/>
          <w:sz w:val="32"/>
          <w:szCs w:val="32"/>
        </w:rPr>
      </w:pPr>
      <w:r>
        <w:rPr>
          <w:rStyle w:val="7"/>
          <w:rFonts w:hint="eastAsia" w:ascii="方正仿宋_GBK" w:hAnsi="方正仿宋_GBK" w:eastAsia="方正仿宋_GBK" w:cs="方正仿宋_GBK"/>
          <w:b w:val="0"/>
          <w:sz w:val="32"/>
          <w:szCs w:val="32"/>
        </w:rPr>
        <w:t>社会保障建设稳步推进。全区城镇企业职工基本养老保险参保人数为98826人，比上年增长7.5%。参加城乡居民社会养老保险人数34.24万人，比上年下降0.3%。城镇职工基本医疗保险参保人数86122人，增长4.6%；城乡居民合作医疗保险参保人数680812人，下降1.2%，全年城乡居民合作医疗基金总支出40609万元。工伤保险参保人数88326人，增长21.1％；生育保险参保人数45619人，增长18.4％。领取失业保险金人数1778人，增长6.6%</w:t>
      </w:r>
      <w:r>
        <w:rPr>
          <w:rStyle w:val="7"/>
          <w:rFonts w:hint="eastAsia" w:ascii="方正仿宋_GBK" w:hAnsi="方正仿宋_GBK" w:eastAsia="方正仿宋_GBK" w:cs="方正仿宋_GBK"/>
          <w:b w:val="0"/>
          <w:color w:val="0000FF"/>
          <w:sz w:val="32"/>
          <w:szCs w:val="32"/>
        </w:rPr>
        <w:t>。</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十、教育、科学技术和文化</w:t>
      </w:r>
    </w:p>
    <w:p>
      <w:pPr>
        <w:pStyle w:val="5"/>
        <w:spacing w:before="0" w:beforeAutospacing="0" w:after="0" w:afterAutospacing="0"/>
        <w:ind w:left="44" w:right="44"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全区共有区属各类学校310所。其中，普通中学 20所（含4所高完中），中等职业学校2 所，小学 128所，幼儿园159所，特殊学校１所。普通初中招生8793人，在校生23932人，毕业生7668人；普通高中招生4699人，在校生13512人，毕业生4443人；小学招生6934人，在校生48604人，毕业生8803人；中等职业学校招生1900人，在校生4790人，毕业生1334人；学前教育招生9787人，在校生20981人，毕业生8184人；特殊学校招生34人，在校生186人，毕业生11人。2017年全年全区初中入学率为100%，小学的入学率为100%。</w:t>
      </w:r>
    </w:p>
    <w:p>
      <w:pPr>
        <w:pStyle w:val="5"/>
        <w:tabs>
          <w:tab w:val="left" w:pos="796"/>
        </w:tabs>
        <w:spacing w:before="0" w:beforeAutospacing="0" w:after="0" w:afterAutospacing="0"/>
        <w:ind w:left="45" w:right="45" w:firstLine="560" w:firstLineChars="200"/>
        <w:jc w:val="both"/>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ab/>
      </w:r>
      <w:r>
        <w:rPr>
          <w:rFonts w:hint="eastAsia" w:ascii="方正仿宋_GBK" w:hAnsi="方正仿宋_GBK" w:eastAsia="方正仿宋_GBK" w:cs="方正仿宋_GBK"/>
          <w:kern w:val="2"/>
          <w:sz w:val="28"/>
          <w:szCs w:val="28"/>
        </w:rPr>
        <w:tab/>
      </w:r>
      <w:r>
        <w:rPr>
          <w:rFonts w:ascii="方正仿宋_GBK" w:hAnsi="方正仿宋_GBK" w:eastAsia="方正仿宋_GBK" w:cs="方正仿宋_GBK"/>
        </w:rPr>
        <w:drawing>
          <wp:inline distT="0" distB="0" distL="114300" distR="114300">
            <wp:extent cx="4581525" cy="2752725"/>
            <wp:effectExtent l="0" t="0" r="5715" b="5715"/>
            <wp:docPr id="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7"/>
                    <pic:cNvPicPr>
                      <a:picLocks noChangeAspect="1"/>
                    </pic:cNvPicPr>
                  </pic:nvPicPr>
                  <pic:blipFill>
                    <a:blip r:embed="rId14"/>
                    <a:stretch>
                      <a:fillRect/>
                    </a:stretch>
                  </pic:blipFill>
                  <pic:spPr>
                    <a:xfrm>
                      <a:off x="0" y="0"/>
                      <a:ext cx="4581525" cy="2752725"/>
                    </a:xfrm>
                    <a:prstGeom prst="rect">
                      <a:avLst/>
                    </a:prstGeom>
                    <a:noFill/>
                    <a:ln w="9525">
                      <a:noFill/>
                    </a:ln>
                  </pic:spPr>
                </pic:pic>
              </a:graphicData>
            </a:graphic>
          </wp:inline>
        </w:drawing>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全年高新技术企业37家；高新技术产品173个。全年受理专利申请767件，下降69.1%。获得专利授权905件，增长7.4%。</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kern w:val="2"/>
          <w:sz w:val="32"/>
          <w:szCs w:val="32"/>
        </w:rPr>
      </w:pPr>
      <w:r>
        <w:rPr>
          <w:rFonts w:hint="eastAsia" w:ascii="方正仿宋_GBK" w:hAnsi="方正仿宋_GBK" w:eastAsia="方正仿宋_GBK" w:cs="方正仿宋_GBK"/>
          <w:kern w:val="2"/>
          <w:sz w:val="32"/>
          <w:szCs w:val="32"/>
        </w:rPr>
        <w:t>全区共有中国驰名商标3件，与上年持平。著名商标20件、地理标志量7件。</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kern w:val="2"/>
          <w:sz w:val="32"/>
          <w:szCs w:val="32"/>
        </w:rPr>
      </w:pPr>
      <w:r>
        <w:rPr>
          <w:rFonts w:hint="eastAsia" w:ascii="方正仿宋_GBK" w:hAnsi="方正仿宋_GBK" w:eastAsia="方正仿宋_GBK" w:cs="方正仿宋_GBK"/>
          <w:kern w:val="2"/>
          <w:sz w:val="32"/>
          <w:szCs w:val="32"/>
        </w:rPr>
        <w:t>全区共有文化馆1个，图书馆1个。有线电视用户13.33万户，其中数字电视用户9.89万户。乡镇文化站21个。</w:t>
      </w:r>
    </w:p>
    <w:p>
      <w:pPr>
        <w:pStyle w:val="5"/>
        <w:spacing w:before="0" w:beforeAutospacing="0" w:after="0" w:afterAutospacing="0"/>
        <w:ind w:left="45" w:right="45"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十一、卫生和社会服务</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共有各级各类卫生机构442个（含村卫生室），其中，医院11个，乡镇卫生院15个，社区卫生服务中心5个，诊所（门诊部、医务室）136个，村卫生室271个，疾病预防控制中心1个，卫生监督局1个，中心血库1个，卫生计生培训学校1所。共有医院卫生机构床位数4246张。全区共有卫生技术人员4292人，其中执业医师和执业助理医师1851人，注册护士1852人。</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共有7959户13550人享受城乡居民最低生活保障，比上年增加216人，增长1.6%，其中城镇居民最低生活保障人数为5883人，比上年增加106人，城镇居民最低生活保障3691户，比上年增加198户；农村居民最低生活保障人数为7667人，比上年增加110人，农村居民最低生活保障4268户，比上年增加172户。全年共救助城乡低保对象13550人，发放低保金5713万元，其中农村低保发放2791万元，城镇低保发放2922万元。农村特困人员救助供养人数5510人。</w:t>
      </w:r>
    </w:p>
    <w:p>
      <w:pPr>
        <w:pStyle w:val="5"/>
        <w:spacing w:before="0" w:beforeAutospacing="0" w:after="0" w:afterAutospacing="0"/>
        <w:ind w:left="45" w:right="45"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城市居民最低生活保障标准为500元/月，农村居民最低生活保障标准为350元/月，分别比上年增长8.7%和16.7%。</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十二、资源、环境和安全生产</w:t>
      </w:r>
    </w:p>
    <w:p>
      <w:pPr>
        <w:widowControl/>
        <w:ind w:firstLine="640" w:firstLineChars="200"/>
        <w:jc w:val="left"/>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sz w:val="32"/>
          <w:szCs w:val="32"/>
        </w:rPr>
        <w:t>当年降水量757.5毫米，比上年下降19.0%。全年用水总量1.7322亿立方米,比上年下降1.1%。</w:t>
      </w:r>
    </w:p>
    <w:p>
      <w:pPr>
        <w:widowControl/>
        <w:ind w:firstLine="640" w:firstLineChars="200"/>
        <w:rPr>
          <w:rStyle w:val="7"/>
          <w:rFonts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全年空气优良天数254天 。濑溪河、大清流河出境断面水质稳定达到Ⅲ类标准 ,酸雨频率19.4%，空气中二氧化硫年日均值17微克/立方米，空气中二氧化氮年日均值23微克/立方米，空气中可吸入颗粒物年均浓度76微克/立方米，地表水达标率62.5%。</w:t>
      </w:r>
    </w:p>
    <w:p>
      <w:pPr>
        <w:widowControl/>
        <w:ind w:firstLine="640" w:firstLineChars="200"/>
        <w:jc w:val="left"/>
        <w:rPr>
          <w:rStyle w:val="7"/>
          <w:rFonts w:ascii="方正仿宋_GBK" w:hAnsi="方正仿宋_GBK" w:eastAsia="方正仿宋_GBK" w:cs="方正仿宋_GBK"/>
          <w:b w:val="0"/>
          <w:bCs/>
          <w:kern w:val="0"/>
          <w:sz w:val="32"/>
          <w:szCs w:val="32"/>
        </w:rPr>
      </w:pPr>
      <w:r>
        <w:rPr>
          <w:rStyle w:val="7"/>
          <w:rFonts w:hint="eastAsia" w:ascii="方正仿宋_GBK" w:hAnsi="方正仿宋_GBK" w:eastAsia="方正仿宋_GBK" w:cs="方正仿宋_GBK"/>
          <w:b w:val="0"/>
          <w:bCs/>
          <w:kern w:val="0"/>
          <w:sz w:val="32"/>
          <w:szCs w:val="32"/>
        </w:rPr>
        <w:t>全区森林面积38719.5公顷，森林覆盖率35.9%。</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bCs/>
          <w:sz w:val="32"/>
          <w:szCs w:val="32"/>
        </w:rPr>
        <w:t>建成区园林绿化覆盖面积1376公顷，</w:t>
      </w:r>
      <w:r>
        <w:rPr>
          <w:rStyle w:val="7"/>
          <w:rFonts w:hint="eastAsia" w:ascii="方正仿宋_GBK" w:hAnsi="方正仿宋_GBK" w:eastAsia="方正仿宋_GBK" w:cs="方正仿宋_GBK"/>
          <w:b w:val="0"/>
          <w:sz w:val="32"/>
          <w:szCs w:val="32"/>
        </w:rPr>
        <w:t>建成区绿化覆盖率43.34%。</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color w:val="0000FF"/>
          <w:sz w:val="32"/>
          <w:szCs w:val="32"/>
        </w:rPr>
      </w:pPr>
      <w:r>
        <w:rPr>
          <w:rStyle w:val="7"/>
          <w:rFonts w:hint="eastAsia" w:ascii="方正仿宋_GBK" w:hAnsi="方正仿宋_GBK" w:eastAsia="方正仿宋_GBK" w:cs="方正仿宋_GBK"/>
          <w:b w:val="0"/>
          <w:sz w:val="32"/>
          <w:szCs w:val="32"/>
        </w:rPr>
        <w:t>全年全区全社会用电量102085万千瓦时，增长12.2%；城乡居民生活用电36712万千瓦时，增长8.9%。</w:t>
      </w:r>
    </w:p>
    <w:p>
      <w:pPr>
        <w:pStyle w:val="5"/>
        <w:spacing w:before="0" w:beforeAutospacing="0" w:after="0" w:afterAutospacing="0"/>
        <w:ind w:left="44" w:right="44" w:firstLine="640" w:firstLineChars="200"/>
        <w:jc w:val="both"/>
        <w:rPr>
          <w:rStyle w:val="7"/>
          <w:b w:val="0"/>
          <w:sz w:val="32"/>
          <w:szCs w:val="32"/>
        </w:rPr>
      </w:pPr>
      <w:r>
        <w:rPr>
          <w:rStyle w:val="7"/>
          <w:rFonts w:hint="eastAsia" w:ascii="方正仿宋_GBK" w:hAnsi="方正仿宋_GBK" w:eastAsia="方正仿宋_GBK" w:cs="方正仿宋_GBK"/>
          <w:b w:val="0"/>
          <w:sz w:val="32"/>
          <w:szCs w:val="32"/>
        </w:rPr>
        <w:t>全年生产安全事故死亡人数18人，比上年增长38.5%。其中，工矿商贸企业事故死亡人数8人，营运车辆交通事故7日内死亡10人。</w:t>
      </w:r>
    </w:p>
    <w:p>
      <w:pPr>
        <w:pStyle w:val="5"/>
        <w:spacing w:before="0" w:beforeAutospacing="0" w:after="0" w:afterAutospacing="0"/>
        <w:ind w:left="130" w:leftChars="62" w:right="45" w:firstLine="640" w:firstLineChars="200"/>
        <w:rPr>
          <w:rFonts w:ascii="仿宋_GB2312" w:eastAsia="仿宋_GB2312"/>
          <w:color w:val="000000"/>
          <w:sz w:val="32"/>
          <w:szCs w:val="32"/>
        </w:rPr>
      </w:pPr>
    </w:p>
    <w:p>
      <w:pPr>
        <w:pStyle w:val="5"/>
        <w:spacing w:before="0" w:beforeAutospacing="0" w:after="0" w:afterAutospacing="0"/>
        <w:ind w:left="130" w:leftChars="62" w:right="45" w:firstLine="640" w:firstLineChars="200"/>
        <w:rPr>
          <w:rFonts w:ascii="仿宋_GB2312" w:eastAsia="仿宋_GB2312"/>
          <w:color w:val="000000"/>
          <w:sz w:val="32"/>
          <w:szCs w:val="32"/>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r>
        <w:rPr>
          <w:rFonts w:ascii="仿宋_GB2312" w:eastAsia="仿宋_GB2312"/>
          <w:color w:val="000000"/>
          <w:sz w:val="21"/>
          <w:szCs w:val="21"/>
        </w:rPr>
        <w:t>注：</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1、本公报中2017年的数据均为初步统计数，最终数据以《2018荣昌统计年鉴》为准。肉产量、蛋、奶产量为上报数。部分数据因四舍五入的原因，存在着与分项不等的情况。</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2、地区生产总值、人均生产总值、各产业增加值绝对数按现价计算，增长速度按可比价计算。</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3、规模以上工业、有资质的建筑业、限额以上批发零售业、限额以上住宿和餐饮业、全部房地产开发经营业、规模以上服务业等行业统计标准：</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规模以上工业：</w:t>
      </w:r>
      <w:r>
        <w:rPr>
          <w:rFonts w:hint="eastAsia" w:ascii="仿宋" w:hAnsi="仿宋" w:eastAsia="仿宋" w:cs="仿宋"/>
          <w:sz w:val="21"/>
          <w:szCs w:val="21"/>
        </w:rPr>
        <w:t>年主营业务收入2000万元及以上的工业法人企业。</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有资质的建筑业：</w:t>
      </w:r>
      <w:r>
        <w:rPr>
          <w:rFonts w:hint="eastAsia" w:ascii="仿宋" w:hAnsi="仿宋" w:eastAsia="仿宋" w:cs="仿宋"/>
          <w:sz w:val="21"/>
          <w:szCs w:val="21"/>
        </w:rPr>
        <w:t>有总承包、专业承包和劳务分包资质的建筑业法人单位。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限额以上批发和零售业：</w:t>
      </w:r>
      <w:r>
        <w:rPr>
          <w:rFonts w:hint="eastAsia" w:ascii="仿宋" w:hAnsi="仿宋" w:eastAsia="仿宋" w:cs="仿宋"/>
          <w:sz w:val="21"/>
          <w:szCs w:val="21"/>
        </w:rPr>
        <w:t>年主营业务收入2000万元及以上的批发业、年主营业务收入500万元及以上的零售业法人单位。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限额以上住宿和餐饮业：</w:t>
      </w:r>
      <w:r>
        <w:rPr>
          <w:rFonts w:hint="eastAsia" w:ascii="仿宋" w:hAnsi="仿宋" w:eastAsia="仿宋" w:cs="仿宋"/>
          <w:sz w:val="21"/>
          <w:szCs w:val="21"/>
        </w:rPr>
        <w:t>年主营业务收入200万元及以上的住宿和餐饮业法人单位。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房地产开发经营业：</w:t>
      </w:r>
      <w:r>
        <w:rPr>
          <w:rFonts w:hint="eastAsia" w:ascii="仿宋" w:hAnsi="仿宋" w:eastAsia="仿宋" w:cs="仿宋"/>
          <w:sz w:val="21"/>
          <w:szCs w:val="21"/>
        </w:rPr>
        <w:t>全部房地产开发经营业法人单位。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规模以上服务业：</w:t>
      </w:r>
      <w:r>
        <w:rPr>
          <w:rFonts w:hint="eastAsia" w:ascii="仿宋" w:hAnsi="仿宋" w:eastAsia="仿宋" w:cs="仿宋"/>
          <w:sz w:val="21"/>
          <w:szCs w:val="21"/>
        </w:rPr>
        <w:t>一定规模以上的服务业法人单位。包括：交通运输、仓储和邮政业，信息传输、软件和信息技术服务服务业，租赁和商务服务业，科学研究和技术服务业，水利、环境和公共设施管理业，居民服务、修理和其他服务业，教育，卫生和社会工作，文化、体育和娱乐业，物业管理、房地产中介服务等行业。</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4、基础设施投资指用于电力、燃气及水的生产和供应业，交通运输和邮政业，电信和其他信息传输服务业，水利、环境和公共设施管理业等的投资。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b/>
          <w:sz w:val="21"/>
          <w:szCs w:val="21"/>
        </w:rPr>
        <w:t>常住人口</w:t>
      </w:r>
      <w:r>
        <w:rPr>
          <w:rFonts w:hint="eastAsia" w:ascii="仿宋" w:hAnsi="仿宋" w:eastAsia="仿宋" w:cs="仿宋"/>
          <w:sz w:val="21"/>
          <w:szCs w:val="21"/>
        </w:rPr>
        <w:t xml:space="preserve"> 是指在本乡镇（街道）居住半年以上的人口，或虽居住不满半年但离开户口登记地半年以上人口以及户口待定人口。</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b/>
          <w:sz w:val="21"/>
          <w:szCs w:val="21"/>
        </w:rPr>
        <w:t>户籍人口</w:t>
      </w:r>
      <w:r>
        <w:rPr>
          <w:rFonts w:hint="eastAsia" w:ascii="仿宋" w:hAnsi="仿宋" w:eastAsia="仿宋" w:cs="仿宋"/>
          <w:sz w:val="21"/>
          <w:szCs w:val="21"/>
        </w:rPr>
        <w:t xml:space="preserve"> 是指公民依照《中华人民共和国户口登记条例》，已在其经常居住地的公安户籍管理机关登记了常住户口的人。这类人口不管其是否外出，也不管外出时间长短，只要在某地注册有常住户口，则为该地区的户籍人口。户籍人口数一般是通过公安部门的经常性统计月报或年报取得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b/>
          <w:sz w:val="21"/>
          <w:szCs w:val="21"/>
        </w:rPr>
        <w:t>可支配收入</w:t>
      </w:r>
      <w:r>
        <w:rPr>
          <w:rFonts w:hint="eastAsia" w:ascii="仿宋" w:hAnsi="仿宋" w:eastAsia="仿宋" w:cs="仿宋"/>
          <w:sz w:val="21"/>
          <w:szCs w:val="21"/>
        </w:rPr>
        <w:t xml:space="preserve"> 是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可支配收入=工资性收入+经营净收入+财产净收入+转移净收入</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其中：经营净收入=经营收入-经营费用-生产性固定资产折旧-生产税净额（生产税-生产补贴）</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财产净收入=财产性收入-财产性支出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转移净收入=转移性收入-转移性支出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8、经国务院批准,我国对城乡住户调查实施了一体化改革,在现行统计制度下的城乡居民收支指标,在口径和内涵上与原有制度相比均有一定差别,其增减变动幅度亦是根据现行统计制度按同口径计算所得, 对此,使用时须加以斟酌和区别。重庆市居民可支配收入数据于2014年按照新口径正式发布。荣昌区发布可支配收入数据执行新口径时间延后1年，于2015年正式执行。</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b/>
          <w:sz w:val="21"/>
          <w:szCs w:val="21"/>
        </w:rPr>
        <w:t xml:space="preserve">    9、恩格尔系数</w:t>
      </w:r>
      <w:r>
        <w:rPr>
          <w:rFonts w:hint="eastAsia" w:ascii="仿宋" w:hAnsi="仿宋" w:eastAsia="仿宋" w:cs="仿宋"/>
          <w:sz w:val="21"/>
          <w:szCs w:val="21"/>
        </w:rPr>
        <w:t xml:space="preserve"> 是指居民食品消费支出占全部消费支出的比重。</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10、公报中水资源数据为初步数据。</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11、教育数据中没有包括西南大学荣昌校区、益民技校、永荣技校。</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12、部</w:t>
      </w:r>
      <w:r>
        <w:rPr>
          <w:rFonts w:hint="eastAsia" w:ascii="仿宋" w:hAnsi="仿宋" w:eastAsia="仿宋" w:cs="仿宋"/>
          <w:sz w:val="21"/>
          <w:szCs w:val="21"/>
          <w:lang w:eastAsia="zh-CN"/>
        </w:rPr>
        <w:t>分</w:t>
      </w:r>
      <w:r>
        <w:rPr>
          <w:rFonts w:hint="eastAsia" w:ascii="仿宋" w:hAnsi="仿宋" w:eastAsia="仿宋" w:cs="仿宋"/>
          <w:sz w:val="21"/>
          <w:szCs w:val="21"/>
        </w:rPr>
        <w:t>数据由于计量单位取舍不同而产生的计算误差未作机械调整。</w:t>
      </w:r>
    </w:p>
    <w:p>
      <w:pPr>
        <w:pStyle w:val="5"/>
        <w:tabs>
          <w:tab w:val="left" w:pos="316"/>
        </w:tabs>
        <w:spacing w:before="0" w:beforeAutospacing="0" w:after="0" w:afterAutospacing="0"/>
        <w:ind w:right="45" w:firstLine="420" w:firstLineChars="200"/>
        <w:rPr>
          <w:rFonts w:ascii="仿宋" w:hAnsi="仿宋" w:eastAsia="仿宋" w:cs="仿宋"/>
          <w:sz w:val="21"/>
          <w:szCs w:val="21"/>
        </w:rPr>
      </w:pPr>
      <w:bookmarkStart w:id="0" w:name="_GoBack"/>
      <w:bookmarkEnd w:id="0"/>
      <w:r>
        <w:rPr>
          <w:rFonts w:hint="eastAsia" w:ascii="仿宋" w:hAnsi="仿宋" w:eastAsia="仿宋" w:cs="仿宋"/>
          <w:sz w:val="21"/>
          <w:szCs w:val="21"/>
        </w:rPr>
        <w:t>13、资料来源：</w:t>
      </w:r>
    </w:p>
    <w:p>
      <w:pPr>
        <w:pStyle w:val="5"/>
        <w:spacing w:before="0" w:beforeAutospacing="0" w:after="0" w:afterAutospacing="0"/>
        <w:ind w:right="45" w:firstLine="420" w:firstLineChars="200"/>
        <w:rPr>
          <w:rFonts w:ascii="仿宋" w:hAnsi="仿宋" w:eastAsia="仿宋" w:cs="仿宋"/>
          <w:sz w:val="21"/>
          <w:szCs w:val="21"/>
        </w:rPr>
      </w:pPr>
      <w:r>
        <w:rPr>
          <w:rFonts w:hint="eastAsia" w:ascii="仿宋" w:hAnsi="仿宋" w:eastAsia="仿宋" w:cs="仿宋"/>
          <w:sz w:val="21"/>
          <w:szCs w:val="21"/>
        </w:rPr>
        <w:t>本公报中户籍人口、汽车保有量、交通运输事故死亡数据来自区公安局；就业、失业、社会保障数据来自区人力社保局；各类市场主体、商标数据来自区工商分局；财政、金融、保险数据来自区财政局；教育数据来自区教委；农村危旧房改造、城市棚户区数据来自区城乡建委；进出口、利用外资数据来自区商务局；交通运输数据来自区交委；邮政数据来自区邮政管理局；用电量、通信数据来自区经信委；旅游数据来自区旅游景区管委会；科技、专利数据来自区科委；文化数据来自区文化委；卫生数据来自区卫计委；最低生活保障标准数据来自区民政局；水资源数据来自区水务局；林业数据来自区林业局；空气监测、环境数据来自区环保局、区城市管理局；安全生产事故数据来自区安监局；其他数据来自区统计局。</w:t>
      </w:r>
    </w:p>
    <w:p>
      <w:pPr>
        <w:pStyle w:val="5"/>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28"/>
    <w:rsid w:val="00004A20"/>
    <w:rsid w:val="00020DA6"/>
    <w:rsid w:val="00020EFD"/>
    <w:rsid w:val="000261AD"/>
    <w:rsid w:val="00030B05"/>
    <w:rsid w:val="00074FB4"/>
    <w:rsid w:val="000757BB"/>
    <w:rsid w:val="0008299D"/>
    <w:rsid w:val="00086926"/>
    <w:rsid w:val="00092800"/>
    <w:rsid w:val="000A1F33"/>
    <w:rsid w:val="000A24DB"/>
    <w:rsid w:val="000E2CD8"/>
    <w:rsid w:val="000F549A"/>
    <w:rsid w:val="0010048F"/>
    <w:rsid w:val="0010119F"/>
    <w:rsid w:val="001170CC"/>
    <w:rsid w:val="00117764"/>
    <w:rsid w:val="001214DE"/>
    <w:rsid w:val="001248B7"/>
    <w:rsid w:val="00145C36"/>
    <w:rsid w:val="00165F6C"/>
    <w:rsid w:val="001767F4"/>
    <w:rsid w:val="00176A74"/>
    <w:rsid w:val="001B1460"/>
    <w:rsid w:val="001B1B7C"/>
    <w:rsid w:val="001B7716"/>
    <w:rsid w:val="001C5D40"/>
    <w:rsid w:val="001D0C5A"/>
    <w:rsid w:val="001D3762"/>
    <w:rsid w:val="001F776B"/>
    <w:rsid w:val="00200B70"/>
    <w:rsid w:val="002341C1"/>
    <w:rsid w:val="00234F7E"/>
    <w:rsid w:val="0023727C"/>
    <w:rsid w:val="00240BB9"/>
    <w:rsid w:val="00242260"/>
    <w:rsid w:val="00243241"/>
    <w:rsid w:val="002553C1"/>
    <w:rsid w:val="002943D8"/>
    <w:rsid w:val="002B360A"/>
    <w:rsid w:val="002B62F5"/>
    <w:rsid w:val="002C76FA"/>
    <w:rsid w:val="002D590F"/>
    <w:rsid w:val="002E097E"/>
    <w:rsid w:val="002E5A45"/>
    <w:rsid w:val="00304EDE"/>
    <w:rsid w:val="003069FE"/>
    <w:rsid w:val="0031231B"/>
    <w:rsid w:val="00312CE1"/>
    <w:rsid w:val="00316FA6"/>
    <w:rsid w:val="003319FD"/>
    <w:rsid w:val="00334542"/>
    <w:rsid w:val="00347084"/>
    <w:rsid w:val="00347D92"/>
    <w:rsid w:val="00366E6A"/>
    <w:rsid w:val="003742BF"/>
    <w:rsid w:val="00377065"/>
    <w:rsid w:val="0038365F"/>
    <w:rsid w:val="00383BE7"/>
    <w:rsid w:val="00394784"/>
    <w:rsid w:val="003D3394"/>
    <w:rsid w:val="003D701D"/>
    <w:rsid w:val="003E5984"/>
    <w:rsid w:val="003F1305"/>
    <w:rsid w:val="003F3552"/>
    <w:rsid w:val="00400E97"/>
    <w:rsid w:val="00402243"/>
    <w:rsid w:val="0040673A"/>
    <w:rsid w:val="00411604"/>
    <w:rsid w:val="004138EA"/>
    <w:rsid w:val="00425527"/>
    <w:rsid w:val="00433F50"/>
    <w:rsid w:val="004555D9"/>
    <w:rsid w:val="0045672D"/>
    <w:rsid w:val="004625ED"/>
    <w:rsid w:val="00496407"/>
    <w:rsid w:val="004A4D5D"/>
    <w:rsid w:val="004A4EB1"/>
    <w:rsid w:val="004A58CD"/>
    <w:rsid w:val="004B3DEB"/>
    <w:rsid w:val="004C710F"/>
    <w:rsid w:val="00501229"/>
    <w:rsid w:val="00551733"/>
    <w:rsid w:val="0057192A"/>
    <w:rsid w:val="00575EF0"/>
    <w:rsid w:val="005A282E"/>
    <w:rsid w:val="005A7228"/>
    <w:rsid w:val="005C5CBC"/>
    <w:rsid w:val="005F0CA4"/>
    <w:rsid w:val="00634B2D"/>
    <w:rsid w:val="00656B48"/>
    <w:rsid w:val="00666122"/>
    <w:rsid w:val="0068676F"/>
    <w:rsid w:val="006941A5"/>
    <w:rsid w:val="006948F0"/>
    <w:rsid w:val="006A64F7"/>
    <w:rsid w:val="006B1335"/>
    <w:rsid w:val="006C1D93"/>
    <w:rsid w:val="006C3AD5"/>
    <w:rsid w:val="006D080D"/>
    <w:rsid w:val="006D4B81"/>
    <w:rsid w:val="006D76CF"/>
    <w:rsid w:val="0072214F"/>
    <w:rsid w:val="007429E3"/>
    <w:rsid w:val="007512D2"/>
    <w:rsid w:val="00766AC1"/>
    <w:rsid w:val="007763C0"/>
    <w:rsid w:val="00777421"/>
    <w:rsid w:val="0078016C"/>
    <w:rsid w:val="007C1E1D"/>
    <w:rsid w:val="007C719C"/>
    <w:rsid w:val="007D470E"/>
    <w:rsid w:val="007E21B7"/>
    <w:rsid w:val="007E3239"/>
    <w:rsid w:val="007F6A3A"/>
    <w:rsid w:val="00810424"/>
    <w:rsid w:val="00815C2D"/>
    <w:rsid w:val="00816157"/>
    <w:rsid w:val="00816D2A"/>
    <w:rsid w:val="008269B4"/>
    <w:rsid w:val="00837726"/>
    <w:rsid w:val="00845F08"/>
    <w:rsid w:val="008716A8"/>
    <w:rsid w:val="00893CAF"/>
    <w:rsid w:val="008A2BB2"/>
    <w:rsid w:val="008A2C2F"/>
    <w:rsid w:val="008A550D"/>
    <w:rsid w:val="008D4132"/>
    <w:rsid w:val="008D4613"/>
    <w:rsid w:val="009036E2"/>
    <w:rsid w:val="0092693C"/>
    <w:rsid w:val="009320ED"/>
    <w:rsid w:val="00941E31"/>
    <w:rsid w:val="00961AEF"/>
    <w:rsid w:val="00964416"/>
    <w:rsid w:val="0097095F"/>
    <w:rsid w:val="00982424"/>
    <w:rsid w:val="009A5ADD"/>
    <w:rsid w:val="009A7644"/>
    <w:rsid w:val="009C0A0D"/>
    <w:rsid w:val="009C5848"/>
    <w:rsid w:val="009C5C6A"/>
    <w:rsid w:val="009E07E8"/>
    <w:rsid w:val="00A01FF1"/>
    <w:rsid w:val="00A15F7A"/>
    <w:rsid w:val="00A24110"/>
    <w:rsid w:val="00A26C13"/>
    <w:rsid w:val="00A33527"/>
    <w:rsid w:val="00A55226"/>
    <w:rsid w:val="00A76F69"/>
    <w:rsid w:val="00A97F59"/>
    <w:rsid w:val="00AA51A2"/>
    <w:rsid w:val="00AA67D2"/>
    <w:rsid w:val="00AC05C8"/>
    <w:rsid w:val="00AC08EC"/>
    <w:rsid w:val="00AC3794"/>
    <w:rsid w:val="00AD00A6"/>
    <w:rsid w:val="00AD6037"/>
    <w:rsid w:val="00AF7D85"/>
    <w:rsid w:val="00B12EC0"/>
    <w:rsid w:val="00B17BEE"/>
    <w:rsid w:val="00B251DC"/>
    <w:rsid w:val="00B25F2D"/>
    <w:rsid w:val="00B72CC7"/>
    <w:rsid w:val="00B86A1C"/>
    <w:rsid w:val="00BC4357"/>
    <w:rsid w:val="00BF205B"/>
    <w:rsid w:val="00BF681C"/>
    <w:rsid w:val="00C00668"/>
    <w:rsid w:val="00C03F9E"/>
    <w:rsid w:val="00C060FD"/>
    <w:rsid w:val="00C168EA"/>
    <w:rsid w:val="00C2218B"/>
    <w:rsid w:val="00C70619"/>
    <w:rsid w:val="00C70A62"/>
    <w:rsid w:val="00C94E31"/>
    <w:rsid w:val="00CB5C4C"/>
    <w:rsid w:val="00CC4D11"/>
    <w:rsid w:val="00CC68D6"/>
    <w:rsid w:val="00CD7A99"/>
    <w:rsid w:val="00D07F92"/>
    <w:rsid w:val="00D10983"/>
    <w:rsid w:val="00D148B4"/>
    <w:rsid w:val="00D251E8"/>
    <w:rsid w:val="00D44271"/>
    <w:rsid w:val="00D63A09"/>
    <w:rsid w:val="00D721C8"/>
    <w:rsid w:val="00D94814"/>
    <w:rsid w:val="00DB4070"/>
    <w:rsid w:val="00DD2BD8"/>
    <w:rsid w:val="00DD4242"/>
    <w:rsid w:val="00DE263F"/>
    <w:rsid w:val="00DE2A86"/>
    <w:rsid w:val="00DF5067"/>
    <w:rsid w:val="00E17596"/>
    <w:rsid w:val="00E200E0"/>
    <w:rsid w:val="00E44BB3"/>
    <w:rsid w:val="00E478CB"/>
    <w:rsid w:val="00E563B8"/>
    <w:rsid w:val="00E754FD"/>
    <w:rsid w:val="00E8160A"/>
    <w:rsid w:val="00E8797D"/>
    <w:rsid w:val="00E93EFA"/>
    <w:rsid w:val="00E95EE1"/>
    <w:rsid w:val="00EA1D51"/>
    <w:rsid w:val="00ED0F61"/>
    <w:rsid w:val="00EE2C7D"/>
    <w:rsid w:val="00EF11FD"/>
    <w:rsid w:val="00F333E7"/>
    <w:rsid w:val="00F45A3F"/>
    <w:rsid w:val="00F65F2D"/>
    <w:rsid w:val="00F67C14"/>
    <w:rsid w:val="00F67C19"/>
    <w:rsid w:val="00F73FB0"/>
    <w:rsid w:val="00F76DE1"/>
    <w:rsid w:val="00FA3F14"/>
    <w:rsid w:val="00FB7180"/>
    <w:rsid w:val="00FD7028"/>
    <w:rsid w:val="00FE04E3"/>
    <w:rsid w:val="01C9417B"/>
    <w:rsid w:val="033433CD"/>
    <w:rsid w:val="04C50528"/>
    <w:rsid w:val="06E728E4"/>
    <w:rsid w:val="0A2552B4"/>
    <w:rsid w:val="0BE61692"/>
    <w:rsid w:val="0C0444C5"/>
    <w:rsid w:val="0E5258B9"/>
    <w:rsid w:val="0F5848BD"/>
    <w:rsid w:val="0FB278A4"/>
    <w:rsid w:val="10FC16EA"/>
    <w:rsid w:val="13021E3F"/>
    <w:rsid w:val="13465DAC"/>
    <w:rsid w:val="139513AE"/>
    <w:rsid w:val="14962256"/>
    <w:rsid w:val="14C804A6"/>
    <w:rsid w:val="162E3271"/>
    <w:rsid w:val="16F83DC9"/>
    <w:rsid w:val="198C19F9"/>
    <w:rsid w:val="1B0F4F57"/>
    <w:rsid w:val="1F1220B1"/>
    <w:rsid w:val="1F375EA0"/>
    <w:rsid w:val="1FD707C9"/>
    <w:rsid w:val="200545EF"/>
    <w:rsid w:val="20664BB5"/>
    <w:rsid w:val="208A18F1"/>
    <w:rsid w:val="2222290C"/>
    <w:rsid w:val="23700030"/>
    <w:rsid w:val="259E0645"/>
    <w:rsid w:val="25F200CF"/>
    <w:rsid w:val="26537D14"/>
    <w:rsid w:val="285F54CF"/>
    <w:rsid w:val="2BA94BE7"/>
    <w:rsid w:val="2CE618B6"/>
    <w:rsid w:val="2DC76CFD"/>
    <w:rsid w:val="2E2F2B52"/>
    <w:rsid w:val="308F4C3A"/>
    <w:rsid w:val="31AA05EF"/>
    <w:rsid w:val="31F61B87"/>
    <w:rsid w:val="323E2ACC"/>
    <w:rsid w:val="33251AE9"/>
    <w:rsid w:val="363C4E06"/>
    <w:rsid w:val="36C21BE7"/>
    <w:rsid w:val="37820D4F"/>
    <w:rsid w:val="389B1F46"/>
    <w:rsid w:val="38E70267"/>
    <w:rsid w:val="39CE7FA1"/>
    <w:rsid w:val="3B732625"/>
    <w:rsid w:val="3BC14218"/>
    <w:rsid w:val="3CD134FA"/>
    <w:rsid w:val="400D5A38"/>
    <w:rsid w:val="41A6493B"/>
    <w:rsid w:val="450042C0"/>
    <w:rsid w:val="460E2D77"/>
    <w:rsid w:val="47CF49F6"/>
    <w:rsid w:val="48A40ED8"/>
    <w:rsid w:val="496F6108"/>
    <w:rsid w:val="4A5C030F"/>
    <w:rsid w:val="4A8F03B7"/>
    <w:rsid w:val="4AAA260D"/>
    <w:rsid w:val="4AF22A01"/>
    <w:rsid w:val="4D41354B"/>
    <w:rsid w:val="50795316"/>
    <w:rsid w:val="50887BD7"/>
    <w:rsid w:val="52935D52"/>
    <w:rsid w:val="52CA5AE0"/>
    <w:rsid w:val="5329368F"/>
    <w:rsid w:val="5340173E"/>
    <w:rsid w:val="53932FAA"/>
    <w:rsid w:val="53C16078"/>
    <w:rsid w:val="54680BE2"/>
    <w:rsid w:val="54CC782F"/>
    <w:rsid w:val="55B77B04"/>
    <w:rsid w:val="58A911FA"/>
    <w:rsid w:val="59243E89"/>
    <w:rsid w:val="59CB7C73"/>
    <w:rsid w:val="5B9B465A"/>
    <w:rsid w:val="5E2A018B"/>
    <w:rsid w:val="5F172392"/>
    <w:rsid w:val="62444AC8"/>
    <w:rsid w:val="641254F8"/>
    <w:rsid w:val="65790D87"/>
    <w:rsid w:val="68A60B90"/>
    <w:rsid w:val="705F10F1"/>
    <w:rsid w:val="72A662C9"/>
    <w:rsid w:val="73730B78"/>
    <w:rsid w:val="7490224A"/>
    <w:rsid w:val="77904DB5"/>
    <w:rsid w:val="77C2468B"/>
    <w:rsid w:val="7C4E67FA"/>
    <w:rsid w:val="7CF0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 w:type="character" w:styleId="8">
    <w:name w:val="page number"/>
    <w:basedOn w:val="6"/>
    <w:qFormat/>
    <w:uiPriority w:val="0"/>
  </w:style>
  <w:style w:type="character" w:customStyle="1" w:styleId="10">
    <w:name w:val="页眉 Char"/>
    <w:link w:val="4"/>
    <w:qFormat/>
    <w:uiPriority w:val="0"/>
    <w:rPr>
      <w:sz w:val="18"/>
      <w:szCs w:val="18"/>
    </w:rPr>
  </w:style>
  <w:style w:type="character" w:customStyle="1" w:styleId="11">
    <w:name w:val="页脚 Char"/>
    <w:link w:val="3"/>
    <w:qFormat/>
    <w:uiPriority w:val="0"/>
    <w:rPr>
      <w:sz w:val="18"/>
      <w:szCs w:val="18"/>
    </w:rPr>
  </w:style>
  <w:style w:type="character" w:customStyle="1" w:styleId="12">
    <w:name w:val="批注框文本 Char"/>
    <w:link w:val="2"/>
    <w:semiHidden/>
    <w:qFormat/>
    <w:uiPriority w:val="99"/>
    <w:rPr>
      <w:rFonts w:ascii="Times New Roman" w:hAnsi="Times New Roman" w:eastAsia="宋体" w:cs="Times New Roman"/>
      <w:sz w:val="18"/>
      <w:szCs w:val="18"/>
    </w:rPr>
  </w:style>
  <w:style w:type="character" w:customStyle="1" w:styleId="13">
    <w:name w:val="font01"/>
    <w:qFormat/>
    <w:uiPriority w:val="0"/>
    <w:rPr>
      <w:rFonts w:hint="default" w:ascii="Times New Roman" w:hAnsi="Times New Roman" w:cs="Times New Roman"/>
      <w:b/>
      <w:color w:val="000000"/>
      <w:sz w:val="18"/>
      <w:szCs w:val="18"/>
      <w:u w:val="none"/>
    </w:rPr>
  </w:style>
  <w:style w:type="character" w:customStyle="1" w:styleId="14">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Pages>
  <Words>1414</Words>
  <Characters>8061</Characters>
  <Lines>67</Lines>
  <Paragraphs>18</Paragraphs>
  <TotalTime>0</TotalTime>
  <ScaleCrop>false</ScaleCrop>
  <LinksUpToDate>false</LinksUpToDate>
  <CharactersWithSpaces>9457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2015-05-15T07:16:00Z</dcterms:created>
  <dc:creator>msw</dc:creator>
  <cp:lastModifiedBy>Administrator</cp:lastModifiedBy>
  <cp:lastPrinted>2018-02-28T00:41:00Z</cp:lastPrinted>
  <dcterms:modified xsi:type="dcterms:W3CDTF">2025-01-09T10:03:39Z</dcterms:modified>
  <dc:title>2016年荣昌区国民经济和社会发展统计公报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