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color w:val="333333"/>
          <w:spacing w:val="0"/>
          <w:sz w:val="44"/>
          <w:szCs w:val="44"/>
          <w:bdr w:val="none" w:color="auto" w:sz="0" w:space="0"/>
          <w:shd w:val="clear" w:fill="FFFFFF"/>
        </w:rPr>
      </w:pPr>
      <w:bookmarkStart w:id="0" w:name="_GoBack"/>
      <w:r>
        <w:rPr>
          <w:rFonts w:hint="eastAsia" w:ascii="方正小标宋_GBK" w:hAnsi="方正小标宋_GBK" w:eastAsia="方正小标宋_GBK" w:cs="方正小标宋_GBK"/>
          <w:color w:val="333333"/>
          <w:spacing w:val="0"/>
          <w:sz w:val="44"/>
          <w:szCs w:val="44"/>
          <w:bdr w:val="none" w:color="auto" w:sz="0" w:space="0"/>
          <w:shd w:val="clear" w:fill="FFFFFF"/>
        </w:rPr>
        <w:t>重庆市荣昌区生活必需品保供能力提升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color w:val="333333"/>
          <w:spacing w:val="0"/>
          <w:sz w:val="44"/>
          <w:szCs w:val="44"/>
          <w:bdr w:val="none" w:color="auto" w:sz="0" w:space="0"/>
          <w:shd w:val="clear" w:fill="FFFFFF"/>
        </w:rPr>
      </w:pPr>
      <w:r>
        <w:rPr>
          <w:rFonts w:hint="eastAsia" w:ascii="方正小标宋_GBK" w:hAnsi="方正小标宋_GBK" w:eastAsia="方正小标宋_GBK" w:cs="方正小标宋_GBK"/>
          <w:color w:val="333333"/>
          <w:spacing w:val="0"/>
          <w:sz w:val="44"/>
          <w:szCs w:val="44"/>
          <w:bdr w:val="none" w:color="auto" w:sz="0" w:space="0"/>
          <w:shd w:val="clear" w:fill="FFFFFF"/>
        </w:rPr>
        <w:t>先行区县项目（第二批）拟入库项目公示</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rPr>
          <w:rFonts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pPr>
      <w:r>
        <w:rPr>
          <w:rFonts w:ascii="方正仿宋_GBK" w:hAnsi="方正仿宋_GBK" w:eastAsia="方正仿宋_GBK" w:cs="方正仿宋_GBK"/>
          <w:color w:val="333333"/>
          <w:spacing w:val="0"/>
          <w:sz w:val="31"/>
          <w:szCs w:val="31"/>
          <w:bdr w:val="none" w:color="auto" w:sz="0" w:space="0"/>
          <w:shd w:val="clear" w:fill="FFFFFF"/>
        </w:rPr>
        <w:t>根据《重庆市商务委员会重庆市财政局关于印发</w:t>
      </w:r>
      <w:r>
        <w:rPr>
          <w:rFonts w:hint="eastAsia" w:ascii="方正仿宋_GBK" w:hAnsi="方正仿宋_GBK" w:eastAsia="方正仿宋_GBK" w:cs="方正仿宋_GBK"/>
          <w:color w:val="333333"/>
          <w:spacing w:val="0"/>
          <w:sz w:val="31"/>
          <w:szCs w:val="31"/>
          <w:bdr w:val="none" w:color="auto" w:sz="0" w:space="0"/>
          <w:shd w:val="clear" w:fill="FFFFFF"/>
        </w:rPr>
        <w:t>&lt;2024年重庆市商务发展专项资金项目（第二批）申报指南&gt;的通知》（渝商务发〔2024〕18号）、《重庆市商务委员会重庆市财政局重庆市生活必需品流通保供体系建设专项资金管理实施细则》（渝商务发〔2023〕47号）文件要求，我委组织了重庆市荣昌区生活必需品保供能力提升先行区县项目（第二批）申报工作。经过企业申报、区商务委初审、评审等程序，形成重庆市荣昌区生活必需品保供能力提升先行区县项目（第二批）拟入库项目名单（共5个项目），现在向社会公示。公示期为：2024年6月24日—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15"/>
      </w:pPr>
      <w:r>
        <w:rPr>
          <w:rFonts w:hint="eastAsia" w:ascii="方正仿宋_GBK" w:hAnsi="方正仿宋_GBK" w:eastAsia="方正仿宋_GBK" w:cs="方正仿宋_GBK"/>
          <w:color w:val="333333"/>
          <w:spacing w:val="0"/>
          <w:sz w:val="31"/>
          <w:szCs w:val="31"/>
          <w:bdr w:val="none" w:color="auto" w:sz="0" w:space="0"/>
          <w:shd w:val="clear" w:fill="FFFFFF"/>
        </w:rPr>
        <w:t>公示期间，广泛听取意见，接受社会监督。如有异议，请于公示期内以书面形式向重庆市荣昌区商务委员会反映，通过快递方式寄往重庆市荣昌区商务委员会（通讯地址：重庆市荣昌区昌元街道迎宾大道26号；邮编：402460）。以单位名义反映情况，应加盖单位公章；以个人名义反映情况，应署真实姓名和联系电话。过期不予受理。（联系方式：区商务委经济运行科，61471451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pPr>
      <w:r>
        <w:rPr>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1560" w:right="0" w:firstLine="0"/>
      </w:pPr>
      <w:r>
        <w:rPr>
          <w:rFonts w:hint="eastAsia" w:ascii="方正仿宋_GBK" w:hAnsi="方正仿宋_GBK" w:eastAsia="方正仿宋_GBK" w:cs="方正仿宋_GBK"/>
          <w:color w:val="333333"/>
          <w:spacing w:val="0"/>
          <w:sz w:val="31"/>
          <w:szCs w:val="31"/>
          <w:bdr w:val="none" w:color="auto" w:sz="0" w:space="0"/>
          <w:shd w:val="clear" w:fill="FFFFFF"/>
        </w:rPr>
        <w:t>附件：重庆市荣昌区生活必需品保供能力提升先行区县项目（第二批）名单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pPr>
      <w:r>
        <w:rPr>
          <w:rFonts w:hint="eastAsia" w:ascii="方正仿宋_GBK" w:hAnsi="方正仿宋_GBK" w:eastAsia="方正仿宋_GBK" w:cs="方正仿宋_GBK"/>
          <w:color w:val="333333"/>
          <w:spacing w:val="0"/>
          <w:sz w:val="31"/>
          <w:szCs w:val="31"/>
          <w:bdr w:val="none" w:color="auto" w:sz="0" w:space="0"/>
          <w:shd w:val="clear" w:fill="FFFFFF"/>
        </w:rPr>
        <w:t>重庆市荣昌区商务委员会 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pPr>
      <w:r>
        <w:rPr>
          <w:rFonts w:hint="eastAsia" w:ascii="方正仿宋_GBK" w:hAnsi="方正仿宋_GBK" w:eastAsia="方正仿宋_GBK" w:cs="方正仿宋_GBK"/>
          <w:color w:val="333333"/>
          <w:spacing w:val="0"/>
          <w:sz w:val="31"/>
          <w:szCs w:val="31"/>
          <w:bdr w:val="none" w:color="auto" w:sz="0" w:space="0"/>
          <w:shd w:val="clear" w:fill="FFFFFF"/>
        </w:rPr>
        <w:t>                                 2024年6月24日 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left"/>
      </w:pPr>
      <w:r>
        <w:rPr>
          <w:rFonts w:hint="eastAsia" w:ascii="方正仿宋_GBK" w:hAnsi="方正仿宋_GBK" w:eastAsia="方正仿宋_GBK" w:cs="方正仿宋_GBK"/>
          <w:color w:val="333333"/>
          <w:spacing w:val="0"/>
          <w:sz w:val="31"/>
          <w:szCs w:val="31"/>
          <w:bdr w:val="none" w:color="auto" w:sz="0" w:space="0"/>
          <w:shd w:val="clear" w:fill="FFFFFF"/>
        </w:rPr>
        <w:t>（此件公开发布） 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rPr>
          <w:rFonts w:hint="eastAsia" w:ascii="方正仿宋_GBK" w:hAnsi="方正仿宋_GBK" w:eastAsia="方正仿宋_GBK" w:cs="方正仿宋_GBK"/>
          <w:color w:val="333333"/>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420"/>
        <w:jc w:val="right"/>
      </w:pPr>
      <w:r>
        <w:rPr>
          <w:rFonts w:hint="eastAsia" w:ascii="方正仿宋_GBK" w:hAnsi="方正仿宋_GBK" w:eastAsia="方正仿宋_GBK" w:cs="方正仿宋_GBK"/>
          <w:color w:val="333333"/>
          <w:spacing w:val="0"/>
          <w:sz w:val="31"/>
          <w:szCs w:val="31"/>
          <w:bdr w:val="none" w:color="auto" w:sz="0" w:space="0"/>
          <w:shd w:val="clear" w:fill="FFFFFF"/>
        </w:rPr>
        <w:t>  </w:t>
      </w:r>
      <w:r>
        <w:rPr>
          <w:bdr w:val="none" w:color="auto" w:sz="0" w:space="0"/>
        </w:rPr>
        <w:t> </w:t>
      </w:r>
    </w:p>
    <w:p>
      <w:pPr>
        <w:pStyle w:val="3"/>
        <w:keepNext w:val="0"/>
        <w:keepLines w:val="0"/>
        <w:widowControl/>
        <w:suppressLineNumbers w:val="0"/>
        <w:spacing w:before="0" w:beforeAutospacing="0" w:after="0" w:afterAutospacing="0" w:line="555" w:lineRule="atLeast"/>
        <w:ind w:left="0" w:right="0"/>
      </w:pPr>
      <w:r>
        <w:rPr>
          <w:rFonts w:ascii="方正黑体_GBK" w:hAnsi="方正黑体_GBK" w:eastAsia="方正黑体_GBK" w:cs="方正黑体_GBK"/>
          <w:sz w:val="31"/>
          <w:szCs w:val="31"/>
        </w:rPr>
        <w:t>附件</w:t>
      </w:r>
    </w:p>
    <w:p>
      <w:pPr>
        <w:pStyle w:val="2"/>
        <w:keepNext w:val="0"/>
        <w:keepLines w:val="0"/>
        <w:widowControl/>
        <w:suppressLineNumbers w:val="0"/>
        <w:spacing w:before="0" w:beforeAutospacing="0" w:after="0" w:afterAutospacing="0" w:line="555" w:lineRule="atLeast"/>
        <w:jc w:val="center"/>
      </w:pPr>
      <w:r>
        <w:rPr>
          <w:rFonts w:hint="eastAsia" w:ascii="方正仿宋_GBK" w:hAnsi="方正仿宋_GBK" w:eastAsia="方正仿宋_GBK" w:cs="方正仿宋_GBK"/>
          <w:color w:val="333333"/>
          <w:spacing w:val="0"/>
          <w:sz w:val="31"/>
          <w:szCs w:val="31"/>
          <w:shd w:val="clear" w:fill="FFFFFF"/>
        </w:rPr>
        <w:t> </w:t>
      </w:r>
    </w:p>
    <w:p>
      <w:pPr>
        <w:pStyle w:val="2"/>
        <w:keepNext w:val="0"/>
        <w:keepLines w:val="0"/>
        <w:widowControl/>
        <w:suppressLineNumbers w:val="0"/>
        <w:spacing w:before="0" w:beforeAutospacing="0" w:after="0" w:afterAutospacing="0" w:line="555" w:lineRule="atLeast"/>
        <w:jc w:val="center"/>
      </w:pPr>
      <w:r>
        <w:rPr>
          <w:rFonts w:ascii="方正小标宋_GBK" w:hAnsi="方正小标宋_GBK" w:eastAsia="方正小标宋_GBK" w:cs="方正小标宋_GBK"/>
          <w:color w:val="333333"/>
          <w:spacing w:val="0"/>
          <w:sz w:val="43"/>
          <w:szCs w:val="43"/>
          <w:shd w:val="clear" w:fill="FFFFFF"/>
        </w:rPr>
        <w:t>重庆市荣昌区生活必需品保供能力提升</w:t>
      </w:r>
    </w:p>
    <w:p>
      <w:pPr>
        <w:pStyle w:val="2"/>
        <w:keepNext w:val="0"/>
        <w:keepLines w:val="0"/>
        <w:widowControl/>
        <w:suppressLineNumbers w:val="0"/>
        <w:spacing w:before="0" w:beforeAutospacing="0" w:after="0" w:afterAutospacing="0" w:line="555" w:lineRule="atLeast"/>
        <w:jc w:val="center"/>
      </w:pPr>
      <w:r>
        <w:rPr>
          <w:rFonts w:hint="eastAsia" w:ascii="方正小标宋_GBK" w:hAnsi="方正小标宋_GBK" w:eastAsia="方正小标宋_GBK" w:cs="方正小标宋_GBK"/>
          <w:color w:val="333333"/>
          <w:spacing w:val="0"/>
          <w:sz w:val="43"/>
          <w:szCs w:val="43"/>
          <w:shd w:val="clear" w:fill="FFFFFF"/>
        </w:rPr>
        <w:t>先行区县项目（第二批）名单</w:t>
      </w:r>
    </w:p>
    <w:p>
      <w:pPr>
        <w:pStyle w:val="3"/>
        <w:keepNext w:val="0"/>
        <w:keepLines w:val="0"/>
        <w:widowControl/>
        <w:suppressLineNumbers w:val="0"/>
        <w:spacing w:before="0" w:beforeAutospacing="0" w:after="0" w:afterAutospacing="0" w:line="315" w:lineRule="atLeast"/>
        <w:ind w:left="0" w:right="0"/>
      </w:pPr>
      <w:r>
        <w:rPr>
          <w:rFonts w:ascii="微软雅黑" w:hAnsi="微软雅黑" w:eastAsia="微软雅黑" w:cs="微软雅黑"/>
          <w:sz w:val="22"/>
          <w:szCs w:val="22"/>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885"/>
        <w:gridCol w:w="2520"/>
        <w:gridCol w:w="2340"/>
        <w:gridCol w:w="26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8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方正黑体_GBK" w:hAnsi="方正黑体_GBK" w:eastAsia="方正黑体_GBK" w:cs="方正黑体_GBK"/>
                <w:sz w:val="28"/>
                <w:szCs w:val="28"/>
                <w:bdr w:val="none" w:color="auto" w:sz="0" w:space="0"/>
              </w:rPr>
              <w:t>序号</w:t>
            </w:r>
          </w:p>
        </w:tc>
        <w:tc>
          <w:tcPr>
            <w:tcW w:w="2520"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方正黑体_GBK" w:hAnsi="方正黑体_GBK" w:eastAsia="方正黑体_GBK" w:cs="方正黑体_GBK"/>
                <w:sz w:val="28"/>
                <w:szCs w:val="28"/>
                <w:bdr w:val="none" w:color="auto" w:sz="0" w:space="0"/>
              </w:rPr>
              <w:t>项目名称</w:t>
            </w:r>
          </w:p>
        </w:tc>
        <w:tc>
          <w:tcPr>
            <w:tcW w:w="2340"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方正黑体_GBK" w:hAnsi="方正黑体_GBK" w:eastAsia="方正黑体_GBK" w:cs="方正黑体_GBK"/>
                <w:sz w:val="28"/>
                <w:szCs w:val="28"/>
                <w:bdr w:val="none" w:color="auto" w:sz="0" w:space="0"/>
              </w:rPr>
              <w:t>支持方向</w:t>
            </w:r>
          </w:p>
        </w:tc>
        <w:tc>
          <w:tcPr>
            <w:tcW w:w="2625" w:type="dxa"/>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pPr>
            <w:r>
              <w:rPr>
                <w:rFonts w:hint="eastAsia" w:ascii="方正黑体_GBK" w:hAnsi="方正黑体_GBK" w:eastAsia="方正黑体_GBK" w:cs="方正黑体_GBK"/>
                <w:sz w:val="28"/>
                <w:szCs w:val="28"/>
                <w:bdr w:val="none" w:color="auto" w:sz="0" w:space="0"/>
              </w:rPr>
              <w:t>项目单位</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88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1</w:t>
            </w:r>
          </w:p>
        </w:tc>
        <w:tc>
          <w:tcPr>
            <w:tcW w:w="252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荣昌传化公路港物流分拨中心保供能力项目</w:t>
            </w:r>
          </w:p>
        </w:tc>
        <w:tc>
          <w:tcPr>
            <w:tcW w:w="23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提高骨干仓储加工配送能力和效率类项目</w:t>
            </w:r>
          </w:p>
        </w:tc>
        <w:tc>
          <w:tcPr>
            <w:tcW w:w="262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重庆市荣昌区传化智慧园区管理服务有限公司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88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2</w:t>
            </w:r>
          </w:p>
        </w:tc>
        <w:tc>
          <w:tcPr>
            <w:tcW w:w="252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电商企业保供能力提升项目</w:t>
            </w:r>
          </w:p>
        </w:tc>
        <w:tc>
          <w:tcPr>
            <w:tcW w:w="23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提高骨干仓储加工配送能力和效率类项目</w:t>
            </w:r>
          </w:p>
        </w:tc>
        <w:tc>
          <w:tcPr>
            <w:tcW w:w="262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渝心（重庆）实业有限公司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jc w:val="center"/>
        </w:trPr>
        <w:tc>
          <w:tcPr>
            <w:tcW w:w="88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3</w:t>
            </w:r>
          </w:p>
        </w:tc>
        <w:tc>
          <w:tcPr>
            <w:tcW w:w="252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泰禾公司提高仓储加工配送能力项目</w:t>
            </w:r>
          </w:p>
        </w:tc>
        <w:tc>
          <w:tcPr>
            <w:tcW w:w="23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提高骨干仓储加工配送能力和效率类项目</w:t>
            </w:r>
          </w:p>
        </w:tc>
        <w:tc>
          <w:tcPr>
            <w:tcW w:w="262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重庆泰禾粮油有限公司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88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4</w:t>
            </w:r>
          </w:p>
        </w:tc>
        <w:tc>
          <w:tcPr>
            <w:tcW w:w="252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永立物流分拨中心保供能力提升项目</w:t>
            </w:r>
          </w:p>
        </w:tc>
        <w:tc>
          <w:tcPr>
            <w:tcW w:w="23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提高骨干仓储加工配送能力和效率类项目</w:t>
            </w:r>
          </w:p>
        </w:tc>
        <w:tc>
          <w:tcPr>
            <w:tcW w:w="262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重庆市永立百货超市连锁有限公司</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jc w:val="center"/>
        </w:trPr>
        <w:tc>
          <w:tcPr>
            <w:tcW w:w="88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5</w:t>
            </w:r>
          </w:p>
        </w:tc>
        <w:tc>
          <w:tcPr>
            <w:tcW w:w="252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重庆润生源中央厨房建设项目</w:t>
            </w:r>
          </w:p>
        </w:tc>
        <w:tc>
          <w:tcPr>
            <w:tcW w:w="23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提高骨干仓储加工配送能力和效率类项目</w:t>
            </w:r>
          </w:p>
        </w:tc>
        <w:tc>
          <w:tcPr>
            <w:tcW w:w="262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jc w:val="center"/>
            </w:pPr>
            <w:r>
              <w:rPr>
                <w:rFonts w:hint="eastAsia" w:ascii="方正仿宋_GBK" w:hAnsi="方正仿宋_GBK" w:eastAsia="方正仿宋_GBK" w:cs="方正仿宋_GBK"/>
                <w:sz w:val="21"/>
                <w:szCs w:val="21"/>
                <w:bdr w:val="none" w:color="auto" w:sz="0" w:space="0"/>
              </w:rPr>
              <w:t>重庆润生源餐饮有限公司</w:t>
            </w:r>
          </w:p>
        </w:tc>
      </w:tr>
    </w:tbl>
    <w:p>
      <w:pPr>
        <w:pStyle w:val="3"/>
        <w:keepNext w:val="0"/>
        <w:keepLines w:val="0"/>
        <w:widowControl/>
        <w:suppressLineNumbers w:val="0"/>
        <w:spacing w:before="0" w:beforeAutospacing="0" w:after="0" w:afterAutospacing="0" w:line="315" w:lineRule="atLeast"/>
        <w:ind w:left="0" w:right="0"/>
      </w:pPr>
      <w:r>
        <w:rPr>
          <w:rFonts w:hint="eastAsia" w:ascii="微软雅黑" w:hAnsi="微软雅黑" w:eastAsia="微软雅黑" w:cs="微软雅黑"/>
          <w:sz w:val="22"/>
          <w:szCs w:val="22"/>
        </w:rPr>
        <w:t> </w:t>
      </w:r>
    </w:p>
    <w:p>
      <w:pPr>
        <w:pStyle w:val="3"/>
        <w:keepNext w:val="0"/>
        <w:keepLines w:val="0"/>
        <w:widowControl/>
        <w:suppressLineNumbers w:val="0"/>
        <w:spacing w:before="0" w:beforeAutospacing="0" w:after="0" w:afterAutospacing="0" w:line="315" w:lineRule="atLeast"/>
        <w:ind w:left="0" w:right="0" w:firstLine="420"/>
      </w:pPr>
      <w:r>
        <w:rPr>
          <w:rFonts w:hint="eastAsia" w:ascii="方正仿宋_GBK" w:hAnsi="方正仿宋_GBK" w:eastAsia="方正仿宋_GBK" w:cs="方正仿宋_GBK"/>
          <w:color w:val="333333"/>
          <w:sz w:val="31"/>
          <w:szCs w:val="31"/>
        </w:rPr>
        <w:t>（此件公开发布）</w:t>
      </w:r>
    </w:p>
    <w:p>
      <w:pPr>
        <w:pStyle w:val="3"/>
        <w:keepNext w:val="0"/>
        <w:keepLines w:val="0"/>
        <w:widowControl/>
        <w:suppressLineNumbers w:val="0"/>
        <w:spacing w:before="0" w:beforeAutospacing="0" w:after="0" w:afterAutospacing="0" w:line="315"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DD9027"/>
    <w:rsid w:val="EFDD9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2024-11-21T16:55:00Z</dcterms:created>
  <dc:creator>guest</dc:creator>
  <cp:lastModifiedBy>guest</cp:lastModifiedBy>
  <dcterms:modified xsi:type="dcterms:W3CDTF">2024-11-21T17:37:45Z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2052-11.1.0.9711</vt:lpwstr>
  </property>
</Properties>
</file>