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_GBK" w:hAnsi="方正小标宋_GBK" w:eastAsia="方正小标宋_GBK" w:cs="方正小标宋_GBK"/>
          <w:color w:val="auto"/>
          <w:sz w:val="44"/>
          <w:highlight w:val="none"/>
          <w:lang w:val="en-US" w:eastAsia="zh-CN"/>
        </w:rPr>
      </w:pPr>
      <w:r>
        <w:rPr>
          <w:rFonts w:hint="eastAsia" w:eastAsia="方正小标宋_GBK"/>
          <w:color w:val="auto"/>
          <w:sz w:val="44"/>
          <w:highlight w:val="none"/>
        </w:rPr>
        <w:t>荣昌区2024年“双昌”合作园产业发展（配套基础设施建设）项目</w:t>
      </w:r>
      <w:r>
        <w:rPr>
          <w:rFonts w:hint="eastAsia" w:ascii="方正小标宋_GBK" w:hAnsi="方正小标宋_GBK" w:eastAsia="方正小标宋_GBK" w:cs="方正小标宋_GBK"/>
          <w:color w:val="auto"/>
          <w:sz w:val="44"/>
          <w:highlight w:val="none"/>
        </w:rPr>
        <w:t>实施方案</w:t>
      </w:r>
    </w:p>
    <w:p>
      <w:pPr>
        <w:spacing w:line="560" w:lineRule="exact"/>
        <w:rPr>
          <w:rFonts w:hint="eastAsia" w:ascii="方正仿宋_GBK" w:hAnsi="方正仿宋_GBK" w:eastAsia="方正仿宋_GBK" w:cs="方正仿宋_GBK"/>
          <w:color w:val="auto"/>
          <w:sz w:val="32"/>
          <w:szCs w:val="32"/>
          <w:highlight w:val="none"/>
        </w:rPr>
      </w:pPr>
    </w:p>
    <w:p>
      <w:pPr>
        <w:spacing w:line="560" w:lineRule="exact"/>
        <w:rPr>
          <w:rFonts w:hint="eastAsia" w:ascii="方正仿宋_GBK" w:hAnsi="方正仿宋_GBK" w:eastAsia="方正仿宋_GBK" w:cs="方正仿宋_GBK"/>
          <w:color w:val="auto"/>
          <w:sz w:val="32"/>
          <w:szCs w:val="32"/>
          <w:highlight w:val="none"/>
        </w:rPr>
      </w:pPr>
    </w:p>
    <w:p>
      <w:pPr>
        <w:tabs>
          <w:tab w:val="left" w:pos="3990"/>
        </w:tabs>
        <w:spacing w:line="560" w:lineRule="exact"/>
        <w:ind w:left="2238" w:leftChars="304" w:hanging="1600" w:hangingChars="500"/>
        <w:rPr>
          <w:rFonts w:hint="eastAsia" w:ascii="方正仿宋_GBK" w:hAnsi="方正仿宋_GBK" w:eastAsia="方正仿宋_GBK" w:cs="方正仿宋_GBK"/>
          <w:color w:val="auto"/>
          <w:sz w:val="32"/>
          <w:highlight w:val="none"/>
        </w:rPr>
      </w:pPr>
      <w:r>
        <w:rPr>
          <w:rFonts w:hint="eastAsia" w:ascii="方正仿宋_GBK" w:hAnsi="方正仿宋_GBK" w:eastAsia="方正仿宋_GBK" w:cs="方正仿宋_GBK"/>
          <w:color w:val="auto"/>
          <w:sz w:val="32"/>
          <w:highlight w:val="none"/>
        </w:rPr>
        <w:t>项目名称：</w:t>
      </w:r>
      <w:r>
        <w:rPr>
          <w:rFonts w:hint="eastAsia" w:eastAsia="方正仿宋_GBK"/>
          <w:color w:val="auto"/>
          <w:sz w:val="32"/>
          <w:highlight w:val="none"/>
          <w:lang w:val="en-US" w:eastAsia="zh-CN"/>
        </w:rPr>
        <w:t>荣昌区2024年“双昌”合作园产业发展（配套基础设施建设）项目</w:t>
      </w:r>
    </w:p>
    <w:p>
      <w:pPr>
        <w:spacing w:line="560" w:lineRule="exact"/>
        <w:ind w:firstLine="640" w:firstLineChars="200"/>
        <w:rPr>
          <w:rFonts w:hint="default" w:ascii="方正仿宋_GBK" w:hAnsi="方正仿宋_GBK" w:eastAsia="方正仿宋_GBK" w:cs="方正仿宋_GBK"/>
          <w:color w:val="auto"/>
          <w:sz w:val="32"/>
          <w:highlight w:val="none"/>
          <w:lang w:val="en-US" w:eastAsia="zh-CN"/>
        </w:rPr>
      </w:pPr>
      <w:r>
        <w:rPr>
          <w:rFonts w:hint="eastAsia" w:ascii="方正仿宋_GBK" w:hAnsi="方正仿宋_GBK" w:eastAsia="方正仿宋_GBK" w:cs="方正仿宋_GBK"/>
          <w:color w:val="auto"/>
          <w:sz w:val="32"/>
          <w:highlight w:val="none"/>
        </w:rPr>
        <w:t>项目实施单位：</w:t>
      </w:r>
      <w:r>
        <w:rPr>
          <w:rFonts w:hint="eastAsia" w:ascii="方正仿宋_GBK" w:hAnsi="方正仿宋_GBK" w:eastAsia="方正仿宋_GBK" w:cs="方正仿宋_GBK"/>
          <w:color w:val="0000FF"/>
          <w:sz w:val="32"/>
          <w:highlight w:val="none"/>
          <w:lang w:val="en-US" w:eastAsia="zh-CN"/>
        </w:rPr>
        <w:t>重庆昌农乡建建设开发有限责任公司</w:t>
      </w:r>
    </w:p>
    <w:p>
      <w:pPr>
        <w:ind w:firstLine="640" w:firstLineChars="200"/>
        <w:rPr>
          <w:rFonts w:hint="eastAsia" w:ascii="方正仿宋_GBK" w:hAnsi="方正仿宋_GBK" w:eastAsia="方正仿宋_GBK" w:cs="方正仿宋_GBK"/>
          <w:color w:val="auto"/>
          <w:sz w:val="32"/>
          <w:highlight w:val="none"/>
        </w:rPr>
      </w:pPr>
      <w:r>
        <w:rPr>
          <w:rFonts w:hint="eastAsia" w:ascii="方正仿宋_GBK" w:hAnsi="方正仿宋_GBK" w:eastAsia="方正仿宋_GBK" w:cs="方正仿宋_GBK"/>
          <w:color w:val="auto"/>
          <w:sz w:val="32"/>
          <w:highlight w:val="none"/>
        </w:rPr>
        <w:t>通讯地址：</w:t>
      </w:r>
      <w:r>
        <w:rPr>
          <w:rFonts w:hint="eastAsia" w:ascii="方正仿宋_GBK" w:hAnsi="方正仿宋_GBK" w:eastAsia="方正仿宋_GBK" w:cs="方正仿宋_GBK"/>
          <w:color w:val="auto"/>
          <w:sz w:val="32"/>
          <w:szCs w:val="32"/>
          <w:highlight w:val="none"/>
        </w:rPr>
        <w:t>重庆市荣昌区昌州街道灵方大道22号1号楼2-10</w:t>
      </w:r>
    </w:p>
    <w:p>
      <w:pPr>
        <w:spacing w:line="560" w:lineRule="exact"/>
        <w:ind w:firstLine="640" w:firstLineChars="200"/>
        <w:rPr>
          <w:rFonts w:hint="eastAsia" w:ascii="方正仿宋_GBK" w:hAnsi="方正仿宋_GBK" w:eastAsia="方正仿宋_GBK" w:cs="方正仿宋_GBK"/>
          <w:color w:val="auto"/>
          <w:sz w:val="32"/>
          <w:highlight w:val="none"/>
          <w:lang w:val="en-US" w:eastAsia="zh-CN"/>
        </w:rPr>
      </w:pPr>
      <w:r>
        <w:rPr>
          <w:rFonts w:hint="eastAsia" w:ascii="方正仿宋_GBK" w:hAnsi="方正仿宋_GBK" w:eastAsia="方正仿宋_GBK" w:cs="方正仿宋_GBK"/>
          <w:color w:val="auto"/>
          <w:sz w:val="32"/>
          <w:highlight w:val="none"/>
        </w:rPr>
        <w:t>邮政编码：</w:t>
      </w:r>
      <w:r>
        <w:rPr>
          <w:rFonts w:hint="eastAsia" w:ascii="方正仿宋_GBK" w:hAnsi="方正仿宋_GBK" w:eastAsia="方正仿宋_GBK" w:cs="方正仿宋_GBK"/>
          <w:color w:val="auto"/>
          <w:sz w:val="32"/>
          <w:highlight w:val="none"/>
          <w:lang w:val="en-US" w:eastAsia="zh-CN"/>
        </w:rPr>
        <w:t>402460</w:t>
      </w:r>
    </w:p>
    <w:p>
      <w:pPr>
        <w:spacing w:line="560" w:lineRule="exact"/>
        <w:ind w:left="5758" w:leftChars="304" w:hanging="5120" w:hangingChars="1600"/>
        <w:rPr>
          <w:rFonts w:hint="eastAsia" w:ascii="方正仿宋_GBK" w:hAnsi="方正仿宋_GBK" w:eastAsia="方正仿宋_GBK" w:cs="方正仿宋_GBK"/>
          <w:color w:val="auto"/>
          <w:sz w:val="32"/>
          <w:highlight w:val="none"/>
          <w:lang w:val="en-US" w:eastAsia="zh-CN"/>
        </w:rPr>
      </w:pPr>
      <w:r>
        <w:rPr>
          <w:rFonts w:hint="eastAsia" w:ascii="方正仿宋_GBK" w:hAnsi="方正仿宋_GBK" w:eastAsia="方正仿宋_GBK" w:cs="方正仿宋_GBK"/>
          <w:color w:val="auto"/>
          <w:sz w:val="32"/>
          <w:highlight w:val="none"/>
        </w:rPr>
        <w:t>联 系 人：</w:t>
      </w:r>
      <w:r>
        <w:rPr>
          <w:rFonts w:hint="eastAsia" w:ascii="方正仿宋_GBK" w:hAnsi="方正仿宋_GBK" w:eastAsia="方正仿宋_GBK" w:cs="方正仿宋_GBK"/>
          <w:color w:val="auto"/>
          <w:sz w:val="32"/>
          <w:highlight w:val="none"/>
          <w:lang w:val="en-US" w:eastAsia="zh-CN"/>
        </w:rPr>
        <w:t xml:space="preserve">余劼      </w:t>
      </w:r>
      <w:r>
        <w:rPr>
          <w:rFonts w:hint="eastAsia" w:ascii="方正仿宋_GBK" w:hAnsi="方正仿宋_GBK" w:eastAsia="方正仿宋_GBK" w:cs="方正仿宋_GBK"/>
          <w:color w:val="auto"/>
          <w:sz w:val="32"/>
          <w:highlight w:val="none"/>
        </w:rPr>
        <w:t>职务/职称：</w:t>
      </w:r>
      <w:r>
        <w:rPr>
          <w:rFonts w:hint="eastAsia" w:ascii="方正仿宋_GBK" w:hAnsi="方正仿宋_GBK" w:eastAsia="方正仿宋_GBK" w:cs="方正仿宋_GBK"/>
          <w:color w:val="auto"/>
          <w:sz w:val="32"/>
          <w:highlight w:val="none"/>
          <w:lang w:val="en-US" w:eastAsia="zh-CN"/>
        </w:rPr>
        <w:t>职员</w:t>
      </w:r>
    </w:p>
    <w:p>
      <w:pPr>
        <w:spacing w:line="560" w:lineRule="exact"/>
        <w:ind w:firstLine="640" w:firstLineChars="200"/>
        <w:rPr>
          <w:rFonts w:hint="eastAsia" w:eastAsia="方正仿宋_GBK"/>
          <w:color w:val="auto"/>
          <w:sz w:val="32"/>
          <w:highlight w:val="none"/>
          <w:lang w:val="en-US" w:eastAsia="zh-CN"/>
        </w:rPr>
      </w:pPr>
      <w:r>
        <w:rPr>
          <w:rFonts w:hint="eastAsia" w:ascii="方正仿宋_GBK" w:hAnsi="方正仿宋_GBK" w:eastAsia="方正仿宋_GBK" w:cs="方正仿宋_GBK"/>
          <w:color w:val="auto"/>
          <w:sz w:val="32"/>
          <w:highlight w:val="none"/>
        </w:rPr>
        <w:t>办公电话：</w:t>
      </w:r>
      <w:r>
        <w:rPr>
          <w:rFonts w:hint="eastAsia" w:ascii="方正仿宋_GBK" w:hAnsi="方正仿宋_GBK" w:eastAsia="方正仿宋_GBK" w:cs="方正仿宋_GBK"/>
          <w:color w:val="auto"/>
          <w:sz w:val="32"/>
          <w:highlight w:val="none"/>
          <w:lang w:val="en-US" w:eastAsia="zh-CN"/>
        </w:rPr>
        <w:t xml:space="preserve">         </w:t>
      </w:r>
      <w:r>
        <w:rPr>
          <w:rFonts w:hint="eastAsia" w:ascii="方正仿宋_GBK" w:hAnsi="方正仿宋_GBK" w:eastAsia="方正仿宋_GBK" w:cs="方正仿宋_GBK"/>
          <w:color w:val="auto"/>
          <w:sz w:val="32"/>
          <w:highlight w:val="none"/>
        </w:rPr>
        <w:t xml:space="preserve"> 手机：</w:t>
      </w:r>
      <w:r>
        <w:rPr>
          <w:rFonts w:hint="eastAsia" w:eastAsia="方正仿宋_GBK"/>
          <w:color w:val="auto"/>
          <w:sz w:val="32"/>
          <w:highlight w:val="none"/>
          <w:lang w:val="en-US" w:eastAsia="zh-CN"/>
        </w:rPr>
        <w:t>18908351097</w:t>
      </w:r>
    </w:p>
    <w:p>
      <w:pPr>
        <w:spacing w:line="560" w:lineRule="exact"/>
        <w:ind w:firstLine="640" w:firstLineChars="200"/>
        <w:rPr>
          <w:rFonts w:hint="default" w:ascii="方正仿宋_GBK" w:hAnsi="方正仿宋_GBK" w:eastAsia="方正仿宋_GBK" w:cs="方正仿宋_GBK"/>
          <w:color w:val="auto"/>
          <w:sz w:val="32"/>
          <w:highlight w:val="none"/>
          <w:lang w:val="en-US" w:eastAsia="zh-CN"/>
        </w:rPr>
      </w:pPr>
      <w:r>
        <w:rPr>
          <w:rFonts w:hint="eastAsia" w:ascii="方正仿宋_GBK" w:hAnsi="方正仿宋_GBK" w:eastAsia="方正仿宋_GBK" w:cs="方正仿宋_GBK"/>
          <w:color w:val="auto"/>
          <w:sz w:val="32"/>
          <w:highlight w:val="none"/>
        </w:rPr>
        <w:t>项目主管部门：</w:t>
      </w:r>
      <w:r>
        <w:rPr>
          <w:rFonts w:hint="eastAsia" w:ascii="方正仿宋_GBK" w:hAnsi="方正仿宋_GBK" w:eastAsia="方正仿宋_GBK" w:cs="方正仿宋_GBK"/>
          <w:color w:val="auto"/>
          <w:sz w:val="32"/>
          <w:highlight w:val="none"/>
          <w:lang w:eastAsia="zh-CN"/>
        </w:rPr>
        <w:t>荣昌区</w:t>
      </w:r>
      <w:r>
        <w:rPr>
          <w:rFonts w:hint="eastAsia" w:ascii="方正仿宋_GBK" w:hAnsi="方正仿宋_GBK" w:eastAsia="方正仿宋_GBK" w:cs="方正仿宋_GBK"/>
          <w:color w:val="auto"/>
          <w:sz w:val="32"/>
          <w:highlight w:val="none"/>
          <w:lang w:val="en-US" w:eastAsia="zh-CN"/>
        </w:rPr>
        <w:t>农业农村委</w:t>
      </w:r>
    </w:p>
    <w:p>
      <w:pPr>
        <w:spacing w:line="560" w:lineRule="exact"/>
        <w:ind w:firstLine="640" w:firstLineChars="200"/>
        <w:rPr>
          <w:rFonts w:hint="eastAsia" w:ascii="方正仿宋_GBK" w:hAnsi="方正仿宋_GBK" w:eastAsia="方正仿宋_GBK" w:cs="方正仿宋_GBK"/>
          <w:color w:val="auto"/>
          <w:sz w:val="32"/>
          <w:highlight w:val="none"/>
        </w:rPr>
      </w:pPr>
      <w:r>
        <w:rPr>
          <w:rFonts w:hint="eastAsia" w:ascii="方正仿宋_GBK" w:hAnsi="方正仿宋_GBK" w:eastAsia="方正仿宋_GBK" w:cs="方正仿宋_GBK"/>
          <w:color w:val="auto"/>
          <w:sz w:val="32"/>
          <w:highlight w:val="none"/>
        </w:rPr>
        <w:t xml:space="preserve">联 系 人：       </w:t>
      </w:r>
      <w:r>
        <w:rPr>
          <w:rFonts w:hint="eastAsia" w:ascii="方正仿宋_GBK" w:hAnsi="方正仿宋_GBK" w:eastAsia="方正仿宋_GBK" w:cs="方正仿宋_GBK"/>
          <w:color w:val="auto"/>
          <w:sz w:val="32"/>
          <w:highlight w:val="none"/>
          <w:lang w:val="en-US" w:eastAsia="zh-CN"/>
        </w:rPr>
        <w:t xml:space="preserve">      </w:t>
      </w:r>
      <w:r>
        <w:rPr>
          <w:rFonts w:hint="eastAsia" w:ascii="方正仿宋_GBK" w:hAnsi="方正仿宋_GBK" w:eastAsia="方正仿宋_GBK" w:cs="方正仿宋_GBK"/>
          <w:color w:val="auto"/>
          <w:sz w:val="32"/>
          <w:highlight w:val="none"/>
        </w:rPr>
        <w:t>职务/职称：</w:t>
      </w:r>
    </w:p>
    <w:p>
      <w:pPr>
        <w:spacing w:line="560" w:lineRule="exact"/>
        <w:ind w:firstLine="640" w:firstLineChars="200"/>
        <w:rPr>
          <w:rFonts w:hint="eastAsia" w:ascii="方正仿宋_GBK" w:hAnsi="方正仿宋_GBK" w:eastAsia="方正仿宋_GBK" w:cs="方正仿宋_GBK"/>
          <w:color w:val="auto"/>
          <w:sz w:val="32"/>
          <w:highlight w:val="none"/>
        </w:rPr>
      </w:pPr>
      <w:r>
        <w:rPr>
          <w:rFonts w:hint="eastAsia" w:ascii="方正仿宋_GBK" w:hAnsi="方正仿宋_GBK" w:eastAsia="方正仿宋_GBK" w:cs="方正仿宋_GBK"/>
          <w:color w:val="auto"/>
          <w:sz w:val="32"/>
          <w:highlight w:val="none"/>
        </w:rPr>
        <w:t>办公电话：             手机：</w:t>
      </w:r>
    </w:p>
    <w:p>
      <w:pPr>
        <w:spacing w:line="560" w:lineRule="exact"/>
        <w:ind w:firstLine="640" w:firstLineChars="200"/>
        <w:rPr>
          <w:rFonts w:hint="eastAsia" w:ascii="方正仿宋_GBK" w:hAnsi="方正仿宋_GBK" w:eastAsia="方正仿宋_GBK" w:cs="方正仿宋_GBK"/>
          <w:color w:val="auto"/>
          <w:sz w:val="32"/>
          <w:highlight w:val="none"/>
        </w:rPr>
      </w:pPr>
    </w:p>
    <w:p>
      <w:pPr>
        <w:spacing w:line="560" w:lineRule="exact"/>
        <w:ind w:firstLine="1280" w:firstLineChars="400"/>
        <w:rPr>
          <w:rFonts w:hint="eastAsia" w:ascii="方正仿宋_GBK" w:hAnsi="方正仿宋_GBK" w:eastAsia="方正仿宋_GBK" w:cs="方正仿宋_GBK"/>
          <w:color w:val="auto"/>
          <w:sz w:val="32"/>
          <w:highlight w:val="none"/>
        </w:rPr>
      </w:pPr>
      <w:r>
        <w:rPr>
          <w:rFonts w:hint="eastAsia" w:ascii="方正仿宋_GBK" w:hAnsi="方正仿宋_GBK" w:eastAsia="方正仿宋_GBK" w:cs="方正仿宋_GBK"/>
          <w:color w:val="auto"/>
          <w:sz w:val="32"/>
          <w:highlight w:val="none"/>
        </w:rPr>
        <w:t>填制日期：</w:t>
      </w:r>
      <w:r>
        <w:rPr>
          <w:rFonts w:eastAsia="方正仿宋_GBK"/>
          <w:color w:val="auto"/>
          <w:sz w:val="32"/>
          <w:highlight w:val="none"/>
        </w:rPr>
        <w:t>202</w:t>
      </w:r>
      <w:r>
        <w:rPr>
          <w:rFonts w:hint="eastAsia" w:eastAsia="方正仿宋_GBK"/>
          <w:color w:val="auto"/>
          <w:sz w:val="32"/>
          <w:highlight w:val="none"/>
          <w:lang w:val="en-US" w:eastAsia="zh-CN"/>
        </w:rPr>
        <w:t>4</w:t>
      </w:r>
      <w:r>
        <w:rPr>
          <w:rFonts w:hint="eastAsia" w:ascii="方正仿宋_GBK" w:hAnsi="方正仿宋_GBK" w:eastAsia="方正仿宋_GBK" w:cs="方正仿宋_GBK"/>
          <w:color w:val="auto"/>
          <w:sz w:val="32"/>
          <w:highlight w:val="none"/>
        </w:rPr>
        <w:t>年</w:t>
      </w:r>
      <w:r>
        <w:rPr>
          <w:rFonts w:hint="eastAsia" w:eastAsia="方正仿宋_GBK"/>
          <w:color w:val="auto"/>
          <w:sz w:val="32"/>
          <w:highlight w:val="none"/>
          <w:lang w:val="en-US" w:eastAsia="zh-CN"/>
        </w:rPr>
        <w:t>1</w:t>
      </w:r>
      <w:r>
        <w:rPr>
          <w:rFonts w:hint="eastAsia" w:ascii="方正仿宋_GBK" w:hAnsi="方正仿宋_GBK" w:eastAsia="方正仿宋_GBK" w:cs="方正仿宋_GBK"/>
          <w:color w:val="auto"/>
          <w:sz w:val="32"/>
          <w:highlight w:val="none"/>
        </w:rPr>
        <w:t>月</w:t>
      </w:r>
      <w:r>
        <w:rPr>
          <w:rFonts w:hint="eastAsia" w:ascii="方正仿宋_GBK" w:hAnsi="方正仿宋_GBK" w:eastAsia="方正仿宋_GBK" w:cs="方正仿宋_GBK"/>
          <w:color w:val="auto"/>
          <w:sz w:val="32"/>
          <w:highlight w:val="none"/>
          <w:lang w:val="en-US" w:eastAsia="zh-CN"/>
        </w:rPr>
        <w:t>11</w:t>
      </w:r>
      <w:r>
        <w:rPr>
          <w:rFonts w:hint="eastAsia" w:ascii="方正仿宋_GBK" w:hAnsi="方正仿宋_GBK" w:eastAsia="方正仿宋_GBK" w:cs="方正仿宋_GBK"/>
          <w:color w:val="auto"/>
          <w:sz w:val="32"/>
          <w:highlight w:val="none"/>
        </w:rPr>
        <w:t>日</w:t>
      </w:r>
    </w:p>
    <w:p>
      <w:pPr>
        <w:spacing w:line="560" w:lineRule="exact"/>
        <w:jc w:val="center"/>
        <w:rPr>
          <w:rFonts w:eastAsia="仿宋_GB2312"/>
          <w:color w:val="auto"/>
          <w:sz w:val="32"/>
          <w:highlight w:val="none"/>
        </w:rPr>
      </w:pPr>
    </w:p>
    <w:p>
      <w:pPr>
        <w:spacing w:line="560" w:lineRule="exact"/>
        <w:ind w:firstLine="640" w:firstLineChars="200"/>
        <w:rPr>
          <w:rFonts w:hint="eastAsia" w:ascii="方正黑体_GBK" w:hAnsi="方正黑体_GBK" w:eastAsia="方正黑体_GBK" w:cs="方正黑体_GBK"/>
          <w:color w:val="auto"/>
          <w:sz w:val="32"/>
          <w:highlight w:val="none"/>
        </w:rPr>
        <w:sectPr>
          <w:pgSz w:w="11906" w:h="16838"/>
          <w:pgMar w:top="2098" w:right="1531" w:bottom="1984" w:left="1531" w:header="851" w:footer="1247" w:gutter="0"/>
          <w:cols w:space="720" w:num="1"/>
        </w:sectPr>
      </w:pP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color w:val="auto"/>
          <w:sz w:val="32"/>
          <w:highlight w:val="none"/>
        </w:rPr>
      </w:pPr>
      <w:r>
        <w:rPr>
          <w:rFonts w:hint="eastAsia" w:ascii="方正黑体_GBK" w:hAnsi="方正黑体_GBK" w:eastAsia="方正黑体_GBK" w:cs="方正黑体_GBK"/>
          <w:color w:val="auto"/>
          <w:sz w:val="32"/>
          <w:highlight w:val="none"/>
        </w:rPr>
        <w:t>一、项目所涉产业发展现状</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本项目推行“领导小组+区政府及相关部门+平台公司+村集体+农户”的多级联动运作模式。</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区政府及相关部门作为监督管理层，为项目建设和产业发展创造良好的环境，进行宏观指导和组织协调，并对企业进行监督，保障农民利益。</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投资形成的资产归重庆昌农乡建建设开发有限责任公司所有，建成后由在村头公司、九龙文旅全资子公司汇农优品、唐家沟公司合资成立运营公司，重庆双昌文化发展有限责任公司运营，一是以营运为导向，梳理整合资源，降本增效富民。利用普陀村田园风光打造研学教育实践基地、利用燕子崖及李家沟水库自然景观；结合国务院“平急两用”政策，盘活农村宅基地存量资源打造兼具度假、隔离、远程办公的民宿及山区旅游酒店；结合水利发展资金3000万元投入通安河水系连通及水美乡村项目既沿线既有的宋窑遗址、柴烧陶瓷、三矿井等资源打造文化传承、研学实训基地；充分结合万灵山公司已建成的安陶接待中心-古驿道-陶廉文化古街-水巷子-博物馆，以及安陶4A级景区的打造。高度重视安陶4A级景区与双昌农文旅两个建设方案的统筹性，规划上做好衔接，运营上做好配合，分步实施，丰富旅游体验感。二是结合数字手段提升运营能力。结合农文旅产业，将已有的丰富地理资源、生态资源、产业资源串点成线，注重运营理念，将资源变资产、资产变资金，打造现代化、成片化的农耕体验及研学实践基地，推动“政+产+学+研+农+文+旅”深度结合，同步带动陶制品、茶制品及粮油制品加工的迭代升级和品牌化运营。三是提升品牌营销策略，激发消费者消费潜能</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对标一流企业实现价值创造，切实做好双城之间周边区县的目标客户定位，经营客户的空间、经营客户的时间，尊重目标群体的商业行为、生活行为，通过良好的品牌、服务、生活方式满足顾客的消费主张与精神需求，打造乡村度假、休闲、研学好去处，树立双昌好品牌，讲好双昌陶文化、茶文化及农耕文化等好故事，倡导悠闲宜居生活好方式。四是优选运营公司，数字赋能产业振兴。遴选市内外多加优质文化旅游公司，共同策划打造差异化消费目标场景，游乐设施营运商、陶茶加工体验营销商等，唱响农文旅融合乡村振兴双城记。引导当地百姓通过认养模式、数字订单模式，源源不断的通过线上线下向外输出特色产品与服务，带动当地百姓增收致富，同步实现较好的营运收入，彻底改变原来只重投入不重经营的粗放型模式，通过艺术性重构农耕、游湖、上山、下河、逛街等好场景，积极导入产业，在持续的品牌运营中实现价值创造。</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color w:val="auto"/>
          <w:sz w:val="32"/>
          <w:highlight w:val="none"/>
        </w:rPr>
      </w:pPr>
      <w:r>
        <w:rPr>
          <w:rFonts w:hint="eastAsia" w:ascii="方正黑体_GBK" w:hAnsi="方正黑体_GBK" w:eastAsia="方正黑体_GBK" w:cs="方正黑体_GBK"/>
          <w:color w:val="auto"/>
          <w:sz w:val="32"/>
          <w:highlight w:val="none"/>
        </w:rPr>
        <w:t>二、项目任务计划</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auto"/>
          <w:sz w:val="32"/>
          <w:highlight w:val="none"/>
        </w:rPr>
      </w:pPr>
      <w:r>
        <w:rPr>
          <w:rFonts w:hint="eastAsia" w:ascii="方正楷体_GBK" w:hAnsi="方正楷体_GBK" w:eastAsia="方正楷体_GBK" w:cs="方正楷体_GBK"/>
          <w:color w:val="auto"/>
          <w:sz w:val="32"/>
          <w:highlight w:val="none"/>
        </w:rPr>
        <w:t>（一）项目任务来由</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推动成渝地区双城经济圈建设，是习近平总书记亲自研究、亲自部署、亲自推动的重大战略部署，被市委市政府列为全市的“一号工程”。同时，为全面贯彻党的二十大精神，以及市委六届二次全会精神，对标对表党中央、市委决策部署，高标准高质量推进“双昌”产业园建设，努力在川渝合作中形成更多标志性成果。因此，全力推动“成渝地区双城经济圈“双昌”荣昌陶赋能乡村振兴农文旅融合发展示范园”项目就迫在眉睫。</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根据区委、区政府的总体部署，按照《中共重庆市荣昌区委农村工作暨实施乡村振兴战略领导小组关于印发〈荣昌区陶文化赋能乡村振兴建设方案〉的通知》和《荣昌区陶文化赋能乡村振兴农文旅融合发展第二次推进会专题会议纪要》的相关要求，我司需加快推进成渝地区双城经济圈“双昌”荣昌陶赋能乡村振兴农文旅融合发展示范园建设项目。</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auto"/>
          <w:sz w:val="32"/>
          <w:highlight w:val="none"/>
        </w:rPr>
      </w:pPr>
      <w:r>
        <w:rPr>
          <w:rFonts w:hint="eastAsia" w:ascii="方正楷体_GBK" w:hAnsi="方正楷体_GBK" w:eastAsia="方正楷体_GBK" w:cs="方正楷体_GBK"/>
          <w:color w:val="auto"/>
          <w:sz w:val="32"/>
          <w:highlight w:val="none"/>
        </w:rPr>
        <w:t>（二）建设地点及项目内容</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 建设地点：</w:t>
      </w:r>
      <w:r>
        <w:rPr>
          <w:rFonts w:hint="eastAsia" w:ascii="方正仿宋_GBK" w:hAnsi="方正仿宋_GBK" w:eastAsia="方正仿宋_GBK" w:cs="方正仿宋_GBK"/>
          <w:color w:val="auto"/>
          <w:sz w:val="32"/>
          <w:highlight w:val="none"/>
          <w:lang w:val="en-US" w:eastAsia="zh-CN"/>
        </w:rPr>
        <w:t>荣昌区安富街道普陀村</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color w:val="auto"/>
          <w:sz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 项目内容：</w:t>
      </w:r>
      <w:r>
        <w:rPr>
          <w:rFonts w:hint="eastAsia" w:ascii="方正仿宋_GBK" w:hAnsi="方正仿宋_GBK" w:eastAsia="方正仿宋_GBK" w:cs="方正仿宋_GBK"/>
          <w:color w:val="auto"/>
          <w:sz w:val="32"/>
          <w:highlight w:val="none"/>
          <w:lang w:val="en-US" w:eastAsia="zh-CN"/>
        </w:rPr>
        <w:t>服务中心土建工程、装饰装修工程、安装工程和附属构筑物及景观工程。其中衔接资金主要用于土建和配套设施安装工程。</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auto"/>
          <w:sz w:val="32"/>
          <w:highlight w:val="none"/>
          <w:lang w:val="en-US" w:eastAsia="zh-CN"/>
        </w:rPr>
      </w:pPr>
      <w:r>
        <w:rPr>
          <w:rFonts w:hint="eastAsia" w:ascii="方正楷体_GBK" w:hAnsi="方正楷体_GBK" w:eastAsia="方正楷体_GBK" w:cs="方正楷体_GBK"/>
          <w:color w:val="auto"/>
          <w:sz w:val="32"/>
          <w:highlight w:val="none"/>
        </w:rPr>
        <w:t>（三）建设</w:t>
      </w:r>
      <w:r>
        <w:rPr>
          <w:rFonts w:hint="eastAsia" w:ascii="方正楷体_GBK" w:hAnsi="方正楷体_GBK" w:eastAsia="方正楷体_GBK" w:cs="方正楷体_GBK"/>
          <w:color w:val="auto"/>
          <w:sz w:val="32"/>
          <w:highlight w:val="none"/>
          <w:lang w:val="en-US" w:eastAsia="zh-CN"/>
        </w:rPr>
        <w:t>时间</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项目实施时间2024年3月至2024年12月</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auto"/>
          <w:sz w:val="32"/>
          <w:highlight w:val="none"/>
          <w:lang w:eastAsia="zh-CN"/>
        </w:rPr>
      </w:pPr>
      <w:r>
        <w:rPr>
          <w:rFonts w:hint="eastAsia" w:ascii="方正楷体_GBK" w:hAnsi="方正楷体_GBK" w:eastAsia="方正楷体_GBK" w:cs="方正楷体_GBK"/>
          <w:color w:val="auto"/>
          <w:sz w:val="32"/>
          <w:highlight w:val="none"/>
        </w:rPr>
        <w:t>（四）项目推进及管理措施</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成立项目实施工作组，由农业农村委唐传中为项目实施组组长，全面统筹项目实施进度；唐勇为工作组副组长，是项目实施第一责任人；参与项目推行的相关成员为直接责任人，落实项目实施管理制度和工作规范。</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color w:val="auto"/>
          <w:sz w:val="32"/>
          <w:highlight w:val="none"/>
          <w:lang w:val="en-US" w:eastAsia="zh-CN"/>
        </w:rPr>
      </w:pPr>
      <w:r>
        <w:rPr>
          <w:rFonts w:hint="eastAsia" w:ascii="方正黑体_GBK" w:hAnsi="方正黑体_GBK" w:eastAsia="方正黑体_GBK" w:cs="方正黑体_GBK"/>
          <w:color w:val="auto"/>
          <w:sz w:val="32"/>
          <w:highlight w:val="none"/>
        </w:rPr>
        <w:t>三、项目绩效目标</w:t>
      </w:r>
    </w:p>
    <w:p>
      <w:pPr>
        <w:keepNext w:val="0"/>
        <w:keepLines w:val="0"/>
        <w:pageBreakBefore w:val="0"/>
        <w:widowControl w:val="0"/>
        <w:numPr>
          <w:ilvl w:val="0"/>
          <w:numId w:val="1"/>
        </w:numPr>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auto"/>
          <w:sz w:val="32"/>
          <w:highlight w:val="none"/>
          <w:lang w:val="en-US" w:eastAsia="zh-CN"/>
        </w:rPr>
      </w:pPr>
      <w:r>
        <w:rPr>
          <w:rFonts w:hint="eastAsia" w:ascii="方正楷体_GBK" w:hAnsi="方正楷体_GBK" w:eastAsia="方正楷体_GBK" w:cs="方正楷体_GBK"/>
          <w:color w:val="auto"/>
          <w:sz w:val="32"/>
          <w:highlight w:val="none"/>
          <w:lang w:val="en-US" w:eastAsia="zh-CN"/>
        </w:rPr>
        <w:t>经济效益</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项目采取“政府平台+村集体经济+龙头企业+农户”的运作模式，通过政府平台建设，建成后出租给龙头企业经营、运营。项目建成后可以极大的促进当地国民经济和相关旅游等产业的发展，不仅带动食、住、行、游、购、娱等直接经济部门，还拉动金融、通讯、安全、卫生等相关服务部门，同时为满足旅游者消费，还间接拉动一、二、三产业中的许多相关部门生产与服务。通过项目实施，让农户（含脱贫户和监测户）拓宽农副产品销售渠道，增加农副产品销售，提高家庭经济收入，户均增收约1000元/年。同时，公共基础设施建成后，获得的公共收益返还给村集体，大大增加村集体收入，村集体将获得收益的30%用于该村脱贫户（监测户）分红，因此，本项目实施的经济效益明显。</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color w:val="auto"/>
          <w:sz w:val="32"/>
          <w:highlight w:val="none"/>
          <w:lang w:val="en-US" w:eastAsia="zh-CN"/>
        </w:rPr>
        <w:t>（二）社会效益</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通过项目实施，提升荣昌区文化宣传和旅游服务功能，挖掘旅游文化底蕴，优化游客体验。拓宽农户家庭农副产品销售渠道，进一步带动相关文化产品、餐饮、体育等产业发展，将荣昌区丰富的文化旅游资源优势转化为经济优势。形成农业增效、企业增利、农户增收的共赢局面、推动乡村振兴，实现共同富裕。</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color w:val="auto"/>
          <w:sz w:val="32"/>
          <w:highlight w:val="none"/>
        </w:rPr>
      </w:pPr>
      <w:r>
        <w:rPr>
          <w:rFonts w:hint="eastAsia" w:ascii="方正黑体_GBK" w:hAnsi="方正黑体_GBK" w:eastAsia="方正黑体_GBK" w:cs="方正黑体_GBK"/>
          <w:color w:val="auto"/>
          <w:sz w:val="32"/>
          <w:highlight w:val="none"/>
        </w:rPr>
        <w:t>四、资金投入概算</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auto"/>
          <w:sz w:val="32"/>
          <w:highlight w:val="none"/>
        </w:rPr>
      </w:pPr>
      <w:r>
        <w:rPr>
          <w:rFonts w:hint="eastAsia" w:ascii="方正楷体_GBK" w:hAnsi="方正楷体_GBK" w:eastAsia="方正楷体_GBK" w:cs="方正楷体_GBK"/>
          <w:color w:val="auto"/>
          <w:sz w:val="32"/>
          <w:highlight w:val="none"/>
        </w:rPr>
        <w:t>（一）项目总投资及资金来源</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 项目总投资：1148万元。</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 资金来源：申请乡村振兴财政衔接资金576万元。其它资金572万元。</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auto"/>
          <w:sz w:val="32"/>
          <w:highlight w:val="none"/>
        </w:rPr>
      </w:pPr>
      <w:r>
        <w:rPr>
          <w:rFonts w:hint="eastAsia" w:ascii="方正楷体_GBK" w:hAnsi="方正楷体_GBK" w:eastAsia="方正楷体_GBK" w:cs="方正楷体_GBK"/>
          <w:color w:val="auto"/>
          <w:sz w:val="32"/>
          <w:highlight w:val="none"/>
        </w:rPr>
        <w:t>（二）</w:t>
      </w:r>
      <w:r>
        <w:rPr>
          <w:rFonts w:hint="eastAsia" w:ascii="方正楷体_GBK" w:hAnsi="方正楷体_GBK" w:eastAsia="方正楷体_GBK" w:cs="方正楷体_GBK"/>
          <w:color w:val="auto"/>
          <w:sz w:val="32"/>
          <w:highlight w:val="none"/>
          <w:lang w:eastAsia="zh-CN"/>
        </w:rPr>
        <w:t>衔接</w:t>
      </w:r>
      <w:r>
        <w:rPr>
          <w:rFonts w:hint="eastAsia" w:ascii="方正楷体_GBK" w:hAnsi="方正楷体_GBK" w:eastAsia="方正楷体_GBK" w:cs="方正楷体_GBK"/>
          <w:color w:val="auto"/>
          <w:sz w:val="32"/>
          <w:highlight w:val="none"/>
        </w:rPr>
        <w:t>资金具体用途和标准</w:t>
      </w:r>
    </w:p>
    <w:p>
      <w:pPr>
        <w:pStyle w:val="4"/>
        <w:ind w:firstLine="640"/>
        <w:rPr>
          <w:rFonts w:hint="eastAsia" w:eastAsia="方正仿宋_GBK"/>
          <w:color w:val="auto"/>
          <w:sz w:val="32"/>
          <w:highlight w:val="none"/>
          <w:lang w:val="en-US" w:eastAsia="zh-CN"/>
        </w:rPr>
      </w:pPr>
      <w:r>
        <w:rPr>
          <w:rFonts w:hint="eastAsia" w:eastAsia="方正仿宋_GBK"/>
          <w:color w:val="auto"/>
          <w:sz w:val="32"/>
          <w:highlight w:val="none"/>
          <w:lang w:val="en-US" w:eastAsia="zh-CN"/>
        </w:rPr>
        <w:t>1、实施项目土建工程包含主体框架、土石方工程、屋面及防水工程、保温隔热等拟使用资金413</w:t>
      </w:r>
      <w:r>
        <w:rPr>
          <w:rFonts w:hint="eastAsia" w:eastAsia="方正仿宋_GBK"/>
          <w:color w:val="auto"/>
          <w:sz w:val="32"/>
          <w:highlight w:val="none"/>
          <w:lang w:val="en-US" w:eastAsia="zh-CN"/>
        </w:rPr>
        <w:t>万元。</w:t>
      </w:r>
    </w:p>
    <w:p>
      <w:pPr>
        <w:pStyle w:val="4"/>
        <w:ind w:firstLine="640"/>
        <w:rPr>
          <w:rFonts w:hint="default" w:ascii="方正仿宋_GBK" w:hAnsi="方正仿宋_GBK" w:eastAsia="方正仿宋_GBK" w:cs="方正仿宋_GBK"/>
          <w:color w:val="auto"/>
          <w:sz w:val="32"/>
          <w:szCs w:val="32"/>
          <w:highlight w:val="none"/>
          <w:lang w:val="en-US" w:eastAsia="zh-CN"/>
        </w:rPr>
      </w:pPr>
      <w:r>
        <w:rPr>
          <w:rFonts w:hint="eastAsia" w:eastAsia="方正仿宋_GBK"/>
          <w:color w:val="auto"/>
          <w:sz w:val="32"/>
          <w:highlight w:val="none"/>
          <w:lang w:val="en-US" w:eastAsia="zh-CN"/>
        </w:rPr>
        <w:t>2、实施电气工程、给排水、消防等方面配套设施，拟使用资金163万元。</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color w:val="auto"/>
          <w:sz w:val="32"/>
          <w:highlight w:val="none"/>
        </w:rPr>
      </w:pPr>
      <w:r>
        <w:rPr>
          <w:rFonts w:hint="eastAsia" w:ascii="方正黑体_GBK" w:hAnsi="方正黑体_GBK" w:eastAsia="方正黑体_GBK" w:cs="方正黑体_GBK"/>
          <w:color w:val="auto"/>
          <w:sz w:val="32"/>
          <w:highlight w:val="none"/>
        </w:rPr>
        <w:t>五、带贫减贫机制</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重庆市四川省合力打造成渝双城经济圈，荣昌区作为成渝双城经济圈内建设的桥头堡项目的实</w:t>
      </w:r>
      <w:bookmarkStart w:id="0" w:name="_GoBack"/>
      <w:bookmarkEnd w:id="0"/>
      <w:r>
        <w:rPr>
          <w:rFonts w:hint="eastAsia" w:ascii="方正仿宋_GBK" w:hAnsi="方正仿宋_GBK" w:eastAsia="方正仿宋_GBK" w:cs="方正仿宋_GBK"/>
          <w:color w:val="auto"/>
          <w:sz w:val="32"/>
          <w:szCs w:val="32"/>
          <w:highlight w:val="none"/>
          <w:lang w:val="en-US" w:eastAsia="zh-CN"/>
        </w:rPr>
        <w:t>施有利于拓展、增添荣昌区安富街道农旅融合传统文化旅游产业发展，通过项目实施，一是可带动周边村社农户（约5户脱贫户</w:t>
      </w:r>
      <w:r>
        <w:rPr>
          <w:rFonts w:hint="eastAsia" w:ascii="方正仿宋_GBK" w:hAnsi="方正仿宋_GBK" w:eastAsia="方正仿宋_GBK" w:cs="方正仿宋_GBK"/>
          <w:color w:val="auto"/>
          <w:sz w:val="32"/>
          <w:szCs w:val="32"/>
          <w:highlight w:val="none"/>
          <w:lang w:val="en-US" w:eastAsia="zh-CN"/>
        </w:rPr>
        <w:t>）就地就近务工，通过务工增加收入；二是项目建成后，依托安富街道产业发展优势，带动农户（含脱贫户和监测户）拓宽农副产品销售渠道，从而增加家庭收入，提高发展产业的积极性；三是公共基础设施建成后，获得的公共收益返还给村集体，大大增加村集体收入，村集体将获得收益的30%用于该村脱贫户（监测户）分红，预计受益脱贫户（监测户）16户。</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color w:val="auto"/>
          <w:sz w:val="32"/>
          <w:highlight w:val="none"/>
        </w:rPr>
      </w:pPr>
      <w:r>
        <w:rPr>
          <w:rFonts w:hint="eastAsia" w:ascii="方正黑体_GBK" w:hAnsi="方正黑体_GBK" w:eastAsia="方正黑体_GBK" w:cs="方正黑体_GBK"/>
          <w:color w:val="auto"/>
          <w:sz w:val="32"/>
          <w:highlight w:val="none"/>
        </w:rPr>
        <w:t>六、组织保障措施</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为搞好项目建设，确保项目顺利实施，拟采取以下主要措施加强该项目的实施管理。</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一）成立项目领导小组。项目经批准立项后立即成立项目领导小组，以由农业农村委唐传中为项目实施组组长，全面统筹项目实施进度；唐勇为工作组副组长，是项目实施第一责任人；公司其他人员及村集体相关工作人员为成员，负责项目的组织、协调和检查、督促项目完成。</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（二）成立项目实施小组。由项目经理为组长，技术总监、财务人员、村集体工作人员为成员。在项目的实施中接受社会舆论和人民群众监督，切实做到项目实施过程公开、公正、公平。</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（三）成立项目资金监督管理小组。项目资金严格实行专款专账管理，专款专用，并接受财政、审计、监察部门监督检查。</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（四）项目建设严格按照相关政策的要求和标准实施，确保建设项目保质保量的按时完成。</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黑体_GBK" w:hAnsi="方正黑体_GBK" w:eastAsia="方正黑体_GBK" w:cs="方正黑体_GBK"/>
          <w:color w:val="auto"/>
          <w:sz w:val="32"/>
          <w:highlight w:val="none"/>
        </w:rPr>
      </w:pPr>
      <w:r>
        <w:rPr>
          <w:rFonts w:hint="eastAsia" w:ascii="方正黑体_GBK" w:hAnsi="方正黑体_GBK" w:eastAsia="方正黑体_GBK" w:cs="方正黑体_GBK"/>
          <w:color w:val="auto"/>
          <w:sz w:val="32"/>
          <w:highlight w:val="none"/>
        </w:rPr>
        <w:t>七、项目实施单位情况</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auto"/>
          <w:sz w:val="32"/>
          <w:highlight w:val="none"/>
        </w:rPr>
      </w:pPr>
      <w:r>
        <w:rPr>
          <w:rFonts w:hint="eastAsia" w:ascii="方正楷体_GBK" w:hAnsi="方正楷体_GBK" w:eastAsia="方正楷体_GBK" w:cs="方正楷体_GBK"/>
          <w:color w:val="auto"/>
          <w:sz w:val="32"/>
          <w:highlight w:val="none"/>
        </w:rPr>
        <w:t>（一）单位性质、隶属关系、职能（业务）范围</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公司属区属国有企业，注册资金</w:t>
      </w:r>
      <w:r>
        <w:rPr>
          <w:rFonts w:ascii="方正仿宋_GBK" w:hAnsi="方正仿宋_GBK" w:eastAsia="方正仿宋_GBK" w:cs="方正仿宋_GBK"/>
          <w:color w:val="auto"/>
          <w:sz w:val="32"/>
          <w:szCs w:val="32"/>
          <w:highlight w:val="none"/>
        </w:rPr>
        <w:t>50000</w:t>
      </w:r>
      <w:r>
        <w:rPr>
          <w:rFonts w:hint="eastAsia" w:ascii="方正仿宋_GBK" w:hAnsi="方正仿宋_GBK" w:eastAsia="方正仿宋_GBK" w:cs="方正仿宋_GBK"/>
          <w:color w:val="auto"/>
          <w:sz w:val="32"/>
          <w:szCs w:val="32"/>
          <w:highlight w:val="none"/>
        </w:rPr>
        <w:t>万元，注册地址位于重庆市荣昌区昌州街道灵方大道22号1号楼2-10号。主营范围</w:t>
      </w:r>
      <w:r>
        <w:rPr>
          <w:rFonts w:ascii="方正仿宋_GBK" w:hAnsi="方正仿宋_GBK" w:eastAsia="方正仿宋_GBK" w:cs="方正仿宋_GBK"/>
          <w:color w:val="auto"/>
          <w:sz w:val="32"/>
          <w:szCs w:val="32"/>
          <w:highlight w:val="none"/>
        </w:rPr>
        <w:t>：家禽屠宰，牲畜屠宰，食品生产，家禽饲养，动物饲养，牲畜饲养，种畜禽生产，生猪屠宰，食品销售，活禽销售。一般项目：计算机信息技术领域的技术开发、技术服务、技术咨询；电子商务；网络系统维护：网络设计，商标设计；互联网信息服务：生物与医药设备、电子产品销售：畜产品电子交易服务：仓储服务（不含危险化学品）；物流配送；为生猪及相关产品的交易提供场所、设施及相关服务，技术服务、技术开发、技术咨询、技术交流、技术转让、技术推广，农业专业及辅助性活动，园区管理服务，供应链管理服务，科技中介服务，与农业生产经营有关的技术、信息、设施建设运营等服务，会议及展览服务，农业机械服务，机械设备租赁，普通货物仓储服务（不含危险化学品等需许可审批的项目），互联网销售（除销售需要许可的商品），食用农产品批发，农产品的生产、销售、加工、运输、贮藏及其他相关服务，食用农产品初加工，智能农业管理，牲畜销售。</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auto"/>
          <w:sz w:val="32"/>
          <w:highlight w:val="none"/>
        </w:rPr>
      </w:pPr>
      <w:r>
        <w:rPr>
          <w:rFonts w:hint="eastAsia" w:ascii="方正楷体_GBK" w:hAnsi="方正楷体_GBK" w:eastAsia="方正楷体_GBK" w:cs="方正楷体_GBK"/>
          <w:color w:val="auto"/>
          <w:sz w:val="32"/>
          <w:highlight w:val="none"/>
        </w:rPr>
        <w:t>（二）财务收支和资产状况</w:t>
      </w:r>
    </w:p>
    <w:p>
      <w:pPr>
        <w:tabs>
          <w:tab w:val="left" w:pos="2175"/>
        </w:tabs>
        <w:adjustRightInd w:val="0"/>
        <w:snapToGrid w:val="0"/>
        <w:spacing w:line="576"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资产状况良好。</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auto"/>
          <w:sz w:val="32"/>
          <w:highlight w:val="none"/>
        </w:rPr>
      </w:pPr>
      <w:r>
        <w:rPr>
          <w:rFonts w:hint="eastAsia" w:ascii="方正楷体_GBK" w:hAnsi="方正楷体_GBK" w:eastAsia="方正楷体_GBK" w:cs="方正楷体_GBK"/>
          <w:color w:val="auto"/>
          <w:sz w:val="32"/>
          <w:highlight w:val="none"/>
        </w:rPr>
        <w:t>（三）有无不良记录</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无财政、审计、监察、业务主管机关的处理处罚决定、行业通报批评、媒体曝光等不良记录。</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楷体_GBK" w:hAnsi="方正楷体_GBK" w:eastAsia="方正楷体_GBK" w:cs="方正楷体_GBK"/>
          <w:color w:val="auto"/>
          <w:sz w:val="32"/>
          <w:highlight w:val="none"/>
        </w:rPr>
      </w:pPr>
      <w:r>
        <w:rPr>
          <w:rFonts w:hint="eastAsia" w:ascii="方正楷体_GBK" w:hAnsi="方正楷体_GBK" w:eastAsia="方正楷体_GBK" w:cs="方正楷体_GBK"/>
          <w:color w:val="auto"/>
          <w:sz w:val="32"/>
          <w:highlight w:val="none"/>
        </w:rPr>
        <w:t>（四）实施该项目现有条件</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项目业主重庆荣昌农牧科技集团有限公司成立于2021年3月，是区属国营独资法人企业单位，与西南大学荣昌校区及重庆市畜牧科学院等单位建立良好的技术合作关系，能够很好的完成该项目中的各项指标。项目启动需总投资约1148万元，资金筹措方式为业主自筹。目前，公司经营状况良好，投资资金充裕，可为该项目的实施提供资金保障，有效推动项目按任务实施。本项目实施期投入资金1148万元，申请财政补助资金576万元。目前，公司经营状况良好，项目启动资金充裕，产业基础，可按项目任务实施。</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color w:val="auto"/>
          <w:sz w:val="32"/>
          <w:highlight w:val="none"/>
        </w:rPr>
        <w:t>八、相关单位情况及参与事项</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rPr>
          <w:rFonts w:hint="default" w:ascii="方正仿宋_GBK" w:hAnsi="方正仿宋_GBK" w:eastAsia="方正仿宋_GBK" w:cs="方正仿宋_GBK"/>
          <w:color w:val="auto"/>
          <w:sz w:val="32"/>
          <w:szCs w:val="32"/>
          <w:highlight w:val="none"/>
          <w:lang w:val="en-US" w:eastAsia="zh-CN"/>
        </w:rPr>
        <w:sectPr>
          <w:footerReference r:id="rId3" w:type="default"/>
          <w:pgSz w:w="11906" w:h="16838"/>
          <w:pgMar w:top="2098" w:right="1531" w:bottom="1814" w:left="1531" w:header="851" w:footer="1247" w:gutter="0"/>
          <w:pgNumType w:start="1"/>
          <w:cols w:space="720" w:num="1"/>
        </w:sectPr>
      </w:pPr>
      <w:r>
        <w:rPr>
          <w:rFonts w:hint="eastAsia" w:ascii="方正仿宋_GBK" w:hAnsi="方正仿宋_GBK" w:eastAsia="方正仿宋_GBK" w:cs="方正仿宋_GBK"/>
          <w:color w:val="auto"/>
          <w:sz w:val="32"/>
          <w:szCs w:val="32"/>
          <w:highlight w:val="none"/>
          <w:lang w:val="en-US" w:eastAsia="zh-CN"/>
        </w:rPr>
        <w:t>安富街道办事处主要负责协调线缆搬迁及管网搬迁并协助办理相关用地事宜。</w:t>
      </w:r>
    </w:p>
    <w:p>
      <w:pPr>
        <w:rPr>
          <w:rFonts w:hint="eastAsia" w:ascii="仿宋_GB2312" w:eastAsia="仿宋_GB2312"/>
          <w:b/>
          <w:bCs/>
          <w:color w:val="auto"/>
          <w:sz w:val="28"/>
          <w:highlight w:val="none"/>
        </w:rPr>
      </w:pPr>
      <w:r>
        <w:rPr>
          <w:rFonts w:hint="eastAsia" w:ascii="仿宋_GB2312" w:eastAsia="仿宋_GB2312"/>
          <w:b/>
          <w:bCs/>
          <w:color w:val="auto"/>
          <w:sz w:val="28"/>
          <w:highlight w:val="none"/>
        </w:rPr>
        <w:t>表一：</w:t>
      </w:r>
    </w:p>
    <w:p>
      <w:pPr>
        <w:ind w:firstLine="723" w:firstLineChars="200"/>
        <w:jc w:val="center"/>
        <w:rPr>
          <w:rFonts w:hint="eastAsia" w:ascii="仿宋_GB2312" w:eastAsia="仿宋_GB2312"/>
          <w:b/>
          <w:bCs/>
          <w:color w:val="auto"/>
          <w:sz w:val="36"/>
          <w:highlight w:val="none"/>
        </w:rPr>
      </w:pPr>
      <w:r>
        <w:rPr>
          <w:rFonts w:hint="eastAsia" w:ascii="仿宋_GB2312" w:eastAsia="仿宋_GB2312"/>
          <w:b/>
          <w:bCs/>
          <w:color w:val="auto"/>
          <w:sz w:val="36"/>
          <w:highlight w:val="none"/>
        </w:rPr>
        <w:t>项目主要人员与任务分工</w:t>
      </w:r>
    </w:p>
    <w:p>
      <w:pPr>
        <w:ind w:firstLine="562" w:firstLineChars="200"/>
        <w:rPr>
          <w:rFonts w:hint="eastAsia" w:ascii="仿宋_GB2312" w:eastAsia="仿宋_GB2312"/>
          <w:b/>
          <w:bCs/>
          <w:color w:val="auto"/>
          <w:sz w:val="28"/>
          <w:highlight w:val="none"/>
        </w:rPr>
      </w:pPr>
    </w:p>
    <w:tbl>
      <w:tblPr>
        <w:tblStyle w:val="7"/>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765"/>
        <w:gridCol w:w="1639"/>
        <w:gridCol w:w="2004"/>
        <w:gridCol w:w="236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color w:val="auto"/>
                <w:sz w:val="24"/>
                <w:highlight w:val="none"/>
              </w:rPr>
            </w:pPr>
            <w:r>
              <w:rPr>
                <w:rFonts w:hint="eastAsia" w:ascii="仿宋_GB2312" w:eastAsia="仿宋_GB2312"/>
                <w:b/>
                <w:bCs/>
                <w:color w:val="auto"/>
                <w:sz w:val="24"/>
                <w:highlight w:val="none"/>
              </w:rPr>
              <w:t>姓名</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color w:val="auto"/>
                <w:sz w:val="24"/>
                <w:highlight w:val="none"/>
              </w:rPr>
            </w:pPr>
            <w:r>
              <w:rPr>
                <w:rFonts w:hint="eastAsia" w:ascii="仿宋_GB2312" w:eastAsia="仿宋_GB2312"/>
                <w:b/>
                <w:bCs/>
                <w:color w:val="auto"/>
                <w:sz w:val="24"/>
                <w:highlight w:val="none"/>
              </w:rPr>
              <w:t>性别</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color w:val="auto"/>
                <w:sz w:val="24"/>
                <w:highlight w:val="none"/>
              </w:rPr>
            </w:pPr>
            <w:r>
              <w:rPr>
                <w:rFonts w:hint="eastAsia" w:ascii="仿宋_GB2312" w:eastAsia="仿宋_GB2312"/>
                <w:b/>
                <w:bCs/>
                <w:color w:val="auto"/>
                <w:sz w:val="24"/>
                <w:highlight w:val="none"/>
              </w:rPr>
              <w:t>工作单位</w:t>
            </w:r>
          </w:p>
        </w:tc>
        <w:tc>
          <w:tcPr>
            <w:tcW w:w="20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color w:val="auto"/>
                <w:sz w:val="24"/>
                <w:highlight w:val="none"/>
              </w:rPr>
            </w:pPr>
            <w:r>
              <w:rPr>
                <w:rFonts w:hint="eastAsia" w:ascii="仿宋_GB2312" w:eastAsia="仿宋_GB2312"/>
                <w:b/>
                <w:bCs/>
                <w:color w:val="auto"/>
                <w:sz w:val="24"/>
                <w:highlight w:val="none"/>
              </w:rPr>
              <w:t>职务/职称</w:t>
            </w:r>
          </w:p>
        </w:tc>
        <w:tc>
          <w:tcPr>
            <w:tcW w:w="23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color w:val="auto"/>
                <w:sz w:val="24"/>
                <w:highlight w:val="none"/>
              </w:rPr>
            </w:pPr>
            <w:r>
              <w:rPr>
                <w:rFonts w:hint="eastAsia" w:ascii="仿宋_GB2312" w:eastAsia="仿宋_GB2312"/>
                <w:b/>
                <w:bCs/>
                <w:color w:val="auto"/>
                <w:sz w:val="24"/>
                <w:highlight w:val="none"/>
              </w:rPr>
              <w:t>项目任务分工</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bCs/>
                <w:color w:val="auto"/>
                <w:sz w:val="24"/>
                <w:highlight w:val="none"/>
              </w:rPr>
            </w:pPr>
            <w:r>
              <w:rPr>
                <w:rFonts w:hint="eastAsia" w:ascii="仿宋_GB2312" w:eastAsia="仿宋_GB2312"/>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唐勇</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男</w:t>
            </w:r>
          </w:p>
        </w:tc>
        <w:tc>
          <w:tcPr>
            <w:tcW w:w="16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重庆农牧科技集团有限公司</w:t>
            </w:r>
          </w:p>
        </w:tc>
        <w:tc>
          <w:tcPr>
            <w:tcW w:w="20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副总经理</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项目</w:t>
            </w:r>
            <w:r>
              <w:rPr>
                <w:rFonts w:hint="eastAsia" w:ascii="仿宋_GB2312" w:eastAsia="仿宋_GB2312"/>
                <w:color w:val="auto"/>
                <w:sz w:val="24"/>
                <w:highlight w:val="none"/>
              </w:rPr>
              <w:t>总负责人</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张涵</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男</w:t>
            </w:r>
          </w:p>
        </w:tc>
        <w:tc>
          <w:tcPr>
            <w:tcW w:w="16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重庆农牧科技集团有限公司</w:t>
            </w:r>
          </w:p>
        </w:tc>
        <w:tc>
          <w:tcPr>
            <w:tcW w:w="20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规建部部长</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olor w:val="auto"/>
                <w:sz w:val="24"/>
                <w:highlight w:val="none"/>
                <w:lang w:val="en-US"/>
              </w:rPr>
            </w:pPr>
            <w:r>
              <w:rPr>
                <w:rFonts w:hint="eastAsia" w:ascii="仿宋_GB2312" w:eastAsia="仿宋_GB2312"/>
                <w:color w:val="auto"/>
                <w:sz w:val="24"/>
                <w:highlight w:val="none"/>
                <w:lang w:val="en-US" w:eastAsia="zh-CN"/>
              </w:rPr>
              <w:t>工程项目负责人</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杨标</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男</w:t>
            </w:r>
          </w:p>
        </w:tc>
        <w:tc>
          <w:tcPr>
            <w:tcW w:w="16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重庆农牧科技集团有限公司</w:t>
            </w:r>
          </w:p>
        </w:tc>
        <w:tc>
          <w:tcPr>
            <w:tcW w:w="20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工程师</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负责工程建设</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余劼</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男</w:t>
            </w:r>
          </w:p>
        </w:tc>
        <w:tc>
          <w:tcPr>
            <w:tcW w:w="16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重庆农牧科技集团有限公司</w:t>
            </w:r>
          </w:p>
        </w:tc>
        <w:tc>
          <w:tcPr>
            <w:tcW w:w="20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项目负责人</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负责项目申报、结题资料收集及编制</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仿宋_GB2312" w:eastAsia="仿宋_GB2312"/>
                <w:color w:val="auto"/>
                <w:sz w:val="24"/>
                <w:highlight w:val="none"/>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color w:val="auto"/>
                <w:kern w:val="2"/>
                <w:sz w:val="24"/>
                <w:szCs w:val="24"/>
                <w:highlight w:val="none"/>
                <w:lang w:val="en-US" w:eastAsia="zh-CN" w:bidi="ar-SA"/>
              </w:rPr>
            </w:pPr>
          </w:p>
        </w:tc>
        <w:tc>
          <w:tcPr>
            <w:tcW w:w="16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olor w:val="auto"/>
                <w:sz w:val="24"/>
                <w:highlight w:val="none"/>
                <w:lang w:val="en-US" w:eastAsia="zh-CN"/>
              </w:rPr>
            </w:pPr>
          </w:p>
        </w:tc>
        <w:tc>
          <w:tcPr>
            <w:tcW w:w="20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olor w:val="auto"/>
                <w:sz w:val="24"/>
                <w:highlight w:val="none"/>
                <w:lang w:val="en-US" w:eastAsia="zh-CN"/>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olor w:val="auto"/>
                <w:sz w:val="24"/>
                <w:highlight w:val="none"/>
                <w:lang w:val="en-US" w:eastAsia="zh-CN"/>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color w:val="auto"/>
                <w:sz w:val="24"/>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Times New Roman"/>
                <w:color w:val="auto"/>
                <w:kern w:val="2"/>
                <w:sz w:val="24"/>
                <w:szCs w:val="24"/>
                <w:highlight w:val="none"/>
                <w:lang w:val="en-US" w:eastAsia="zh-CN" w:bidi="ar-SA"/>
              </w:rPr>
            </w:pP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color w:val="auto"/>
                <w:sz w:val="24"/>
                <w:highlight w:val="none"/>
                <w:lang w:val="en-US" w:eastAsia="zh-CN"/>
              </w:rPr>
            </w:pPr>
          </w:p>
        </w:tc>
        <w:tc>
          <w:tcPr>
            <w:tcW w:w="23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highlight w:val="none"/>
                <w:u w:val="none"/>
                <w:lang w:val="en-US" w:eastAsia="zh-CN" w:bidi="ar-SA"/>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color w:val="auto"/>
                <w:sz w:val="24"/>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color w:val="auto"/>
                <w:kern w:val="2"/>
                <w:sz w:val="24"/>
                <w:szCs w:val="24"/>
                <w:highlight w:val="none"/>
                <w:lang w:val="en-US" w:eastAsia="zh-CN" w:bidi="ar-SA"/>
              </w:rPr>
            </w:pP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color w:val="auto"/>
                <w:sz w:val="24"/>
                <w:highlight w:val="none"/>
                <w:lang w:val="en-US" w:eastAsia="zh-CN"/>
              </w:rPr>
            </w:pPr>
          </w:p>
        </w:tc>
        <w:tc>
          <w:tcPr>
            <w:tcW w:w="23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eastAsia="仿宋_GB2312"/>
                <w:color w:val="auto"/>
                <w:sz w:val="24"/>
                <w:szCs w:val="21"/>
                <w:highlight w:val="none"/>
                <w:lang w:val="en-US" w:eastAsia="zh-CN"/>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color w:val="auto"/>
                <w:sz w:val="24"/>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Times New Roman" w:eastAsia="仿宋_GB2312" w:cs="Times New Roman"/>
                <w:color w:val="auto"/>
                <w:kern w:val="2"/>
                <w:sz w:val="24"/>
                <w:szCs w:val="24"/>
                <w:highlight w:val="none"/>
                <w:lang w:val="en-US" w:eastAsia="zh-CN" w:bidi="ar-SA"/>
              </w:rPr>
            </w:pP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olor w:val="auto"/>
                <w:sz w:val="24"/>
                <w:highlight w:val="none"/>
                <w:lang w:val="en-US" w:eastAsia="zh-CN"/>
              </w:rPr>
            </w:pP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eastAsia="仿宋_GB2312"/>
                <w:color w:val="auto"/>
                <w:sz w:val="24"/>
                <w:highlight w:val="none"/>
              </w:rPr>
            </w:pPr>
          </w:p>
        </w:tc>
        <w:tc>
          <w:tcPr>
            <w:tcW w:w="23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eastAsia="仿宋_GB2312"/>
                <w:color w:val="auto"/>
                <w:sz w:val="24"/>
                <w:szCs w:val="21"/>
                <w:highlight w:val="none"/>
                <w:lang w:val="en-US" w:eastAsia="zh-CN"/>
              </w:rPr>
            </w:pPr>
          </w:p>
        </w:tc>
        <w:tc>
          <w:tcPr>
            <w:tcW w:w="7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olor w:val="auto"/>
                <w:sz w:val="24"/>
                <w:highlight w:val="none"/>
              </w:rPr>
            </w:pPr>
          </w:p>
        </w:tc>
      </w:tr>
    </w:tbl>
    <w:p>
      <w:pPr>
        <w:rPr>
          <w:color w:val="auto"/>
          <w:highlight w:val="none"/>
        </w:rPr>
      </w:pPr>
    </w:p>
    <w:sectPr>
      <w:footerReference r:id="rId4" w:type="default"/>
      <w:footerReference r:id="rId5" w:type="even"/>
      <w:type w:val="nextColumn"/>
      <w:pgSz w:w="11906" w:h="16838"/>
      <w:pgMar w:top="1418" w:right="1418" w:bottom="1418" w:left="1418" w:header="851" w:footer="1247" w:gutter="0"/>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DBB288E3-6410-40B3-A4FF-1933FA4F4F09}"/>
  </w:font>
  <w:font w:name="方正小标宋_GBK">
    <w:panose1 w:val="03000509000000000000"/>
    <w:charset w:val="86"/>
    <w:family w:val="script"/>
    <w:pitch w:val="default"/>
    <w:sig w:usb0="00000001" w:usb1="080E0000" w:usb2="00000000" w:usb3="00000000" w:csb0="00040000" w:csb1="00000000"/>
    <w:embedRegular r:id="rId2" w:fontKey="{BCE55DF6-0935-4AC6-9A60-62EC4F587DDE}"/>
  </w:font>
  <w:font w:name="方正仿宋_GBK">
    <w:panose1 w:val="03000509000000000000"/>
    <w:charset w:val="86"/>
    <w:family w:val="script"/>
    <w:pitch w:val="default"/>
    <w:sig w:usb0="00000001" w:usb1="080E0000" w:usb2="00000000" w:usb3="00000000" w:csb0="00040000" w:csb1="00000000"/>
    <w:embedRegular r:id="rId3" w:fontKey="{DA1CA7AD-05AE-4AD9-A4ED-439CD7B64E07}"/>
  </w:font>
  <w:font w:name="方正黑体_GBK">
    <w:panose1 w:val="03000509000000000000"/>
    <w:charset w:val="86"/>
    <w:family w:val="script"/>
    <w:pitch w:val="default"/>
    <w:sig w:usb0="00000001" w:usb1="080E0000" w:usb2="00000000" w:usb3="00000000" w:csb0="00040000" w:csb1="00000000"/>
    <w:embedRegular r:id="rId4" w:fontKey="{B8C6C3EF-2586-459C-BBCB-4795FB977D31}"/>
  </w:font>
  <w:font w:name="方正楷体_GBK">
    <w:panose1 w:val="03000509000000000000"/>
    <w:charset w:val="86"/>
    <w:family w:val="script"/>
    <w:pitch w:val="default"/>
    <w:sig w:usb0="00000001" w:usb1="080E0000" w:usb2="00000000" w:usb3="00000000" w:csb0="00040000" w:csb1="00000000"/>
    <w:embedRegular r:id="rId5" w:fontKey="{2E397C85-31EE-4CFF-ADA9-99E053BEC0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9"/>
                              <w:rFonts w:hint="eastAsia" w:ascii="宋体" w:hAnsi="宋体" w:cs="宋体"/>
                              <w:sz w:val="28"/>
                              <w:szCs w:val="28"/>
                            </w:rPr>
                          </w:pPr>
                          <w:r>
                            <w:rPr>
                              <w:rStyle w:val="9"/>
                              <w:rFonts w:hint="eastAsia" w:ascii="宋体" w:hAnsi="宋体" w:cs="宋体"/>
                              <w:sz w:val="28"/>
                              <w:szCs w:val="28"/>
                            </w:rPr>
                            <w:t xml:space="preserve">— </w:t>
                          </w:r>
                          <w:r>
                            <w:rPr>
                              <w:rFonts w:hint="eastAsia" w:ascii="宋体" w:hAnsi="宋体" w:cs="宋体"/>
                              <w:sz w:val="28"/>
                              <w:szCs w:val="28"/>
                            </w:rPr>
                            <w:fldChar w:fldCharType="begin"/>
                          </w:r>
                          <w:r>
                            <w:rPr>
                              <w:rStyle w:val="9"/>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Style w:val="9"/>
                              <w:rFonts w:ascii="宋体" w:hAnsi="宋体" w:cs="宋体"/>
                              <w:sz w:val="28"/>
                              <w:szCs w:val="28"/>
                            </w:rPr>
                            <w:t>7</w:t>
                          </w:r>
                          <w:r>
                            <w:rPr>
                              <w:rFonts w:hint="eastAsia" w:ascii="宋体" w:hAnsi="宋体" w:cs="宋体"/>
                              <w:sz w:val="28"/>
                              <w:szCs w:val="28"/>
                            </w:rPr>
                            <w:fldChar w:fldCharType="end"/>
                          </w:r>
                          <w:r>
                            <w:rPr>
                              <w:rStyle w:val="9"/>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rPr>
                        <w:rStyle w:val="9"/>
                        <w:rFonts w:hint="eastAsia" w:ascii="宋体" w:hAnsi="宋体" w:cs="宋体"/>
                        <w:sz w:val="28"/>
                        <w:szCs w:val="28"/>
                      </w:rPr>
                    </w:pPr>
                    <w:r>
                      <w:rPr>
                        <w:rStyle w:val="9"/>
                        <w:rFonts w:hint="eastAsia" w:ascii="宋体" w:hAnsi="宋体" w:cs="宋体"/>
                        <w:sz w:val="28"/>
                        <w:szCs w:val="28"/>
                      </w:rPr>
                      <w:t xml:space="preserve">— </w:t>
                    </w:r>
                    <w:r>
                      <w:rPr>
                        <w:rFonts w:hint="eastAsia" w:ascii="宋体" w:hAnsi="宋体" w:cs="宋体"/>
                        <w:sz w:val="28"/>
                        <w:szCs w:val="28"/>
                      </w:rPr>
                      <w:fldChar w:fldCharType="begin"/>
                    </w:r>
                    <w:r>
                      <w:rPr>
                        <w:rStyle w:val="9"/>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Style w:val="9"/>
                        <w:rFonts w:ascii="宋体" w:hAnsi="宋体" w:cs="宋体"/>
                        <w:sz w:val="28"/>
                        <w:szCs w:val="28"/>
                      </w:rPr>
                      <w:t>7</w:t>
                    </w:r>
                    <w:r>
                      <w:rPr>
                        <w:rFonts w:hint="eastAsia" w:ascii="宋体" w:hAnsi="宋体" w:cs="宋体"/>
                        <w:sz w:val="28"/>
                        <w:szCs w:val="28"/>
                      </w:rPr>
                      <w:fldChar w:fldCharType="end"/>
                    </w:r>
                    <w:r>
                      <w:rPr>
                        <w:rStyle w:val="9"/>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separate"/>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8CEF27"/>
    <w:multiLevelType w:val="singleLevel"/>
    <w:tmpl w:val="498CEF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OWYxNzlhMDA1MmQ1NzA2NTM2OGIwMDkzYjA4ZWQifQ=="/>
  </w:docVars>
  <w:rsids>
    <w:rsidRoot w:val="52A80C87"/>
    <w:rsid w:val="01AC0F1F"/>
    <w:rsid w:val="0236094D"/>
    <w:rsid w:val="049251D3"/>
    <w:rsid w:val="051A6484"/>
    <w:rsid w:val="05DB0FCF"/>
    <w:rsid w:val="06896151"/>
    <w:rsid w:val="07FD06DE"/>
    <w:rsid w:val="0A447D68"/>
    <w:rsid w:val="0A4D0CE6"/>
    <w:rsid w:val="0AC92B6D"/>
    <w:rsid w:val="0BA428E3"/>
    <w:rsid w:val="0C8B64E4"/>
    <w:rsid w:val="0CE6778C"/>
    <w:rsid w:val="0D970525"/>
    <w:rsid w:val="0E8B25DA"/>
    <w:rsid w:val="10BD404A"/>
    <w:rsid w:val="123F625E"/>
    <w:rsid w:val="14432A8D"/>
    <w:rsid w:val="153519CC"/>
    <w:rsid w:val="173E0892"/>
    <w:rsid w:val="17EB1469"/>
    <w:rsid w:val="18DD7D95"/>
    <w:rsid w:val="19361563"/>
    <w:rsid w:val="1BAC6075"/>
    <w:rsid w:val="1C1B576F"/>
    <w:rsid w:val="1DCA2E80"/>
    <w:rsid w:val="1F293891"/>
    <w:rsid w:val="1F8E660A"/>
    <w:rsid w:val="1F9E698F"/>
    <w:rsid w:val="20F6443B"/>
    <w:rsid w:val="21313026"/>
    <w:rsid w:val="21BE0669"/>
    <w:rsid w:val="223765BC"/>
    <w:rsid w:val="23A4301A"/>
    <w:rsid w:val="2573204F"/>
    <w:rsid w:val="2715197A"/>
    <w:rsid w:val="2A5F54AB"/>
    <w:rsid w:val="2A8175CA"/>
    <w:rsid w:val="2B4D51C2"/>
    <w:rsid w:val="2DD55138"/>
    <w:rsid w:val="32F61413"/>
    <w:rsid w:val="343524B2"/>
    <w:rsid w:val="35C138E3"/>
    <w:rsid w:val="36182057"/>
    <w:rsid w:val="375031D5"/>
    <w:rsid w:val="397604F5"/>
    <w:rsid w:val="3A706E2E"/>
    <w:rsid w:val="3F3C12AC"/>
    <w:rsid w:val="40DE066C"/>
    <w:rsid w:val="426F32BC"/>
    <w:rsid w:val="45055462"/>
    <w:rsid w:val="49432BE3"/>
    <w:rsid w:val="4A3C368E"/>
    <w:rsid w:val="4D5B4530"/>
    <w:rsid w:val="4E6F1C7C"/>
    <w:rsid w:val="50730ACB"/>
    <w:rsid w:val="52497B10"/>
    <w:rsid w:val="52A80C87"/>
    <w:rsid w:val="546A6B14"/>
    <w:rsid w:val="55940A74"/>
    <w:rsid w:val="55C73CB5"/>
    <w:rsid w:val="565E2DA1"/>
    <w:rsid w:val="587325BE"/>
    <w:rsid w:val="5973762B"/>
    <w:rsid w:val="5991769D"/>
    <w:rsid w:val="59961079"/>
    <w:rsid w:val="5AAF1A9C"/>
    <w:rsid w:val="5BD40D92"/>
    <w:rsid w:val="5CCF4BF9"/>
    <w:rsid w:val="613025C6"/>
    <w:rsid w:val="61C176C2"/>
    <w:rsid w:val="61E81D7C"/>
    <w:rsid w:val="624F2849"/>
    <w:rsid w:val="63280E8A"/>
    <w:rsid w:val="65F570C4"/>
    <w:rsid w:val="665C5C0C"/>
    <w:rsid w:val="69501F0B"/>
    <w:rsid w:val="6D655391"/>
    <w:rsid w:val="6E7B74BF"/>
    <w:rsid w:val="71EE7FEB"/>
    <w:rsid w:val="71F230BB"/>
    <w:rsid w:val="73A2492A"/>
    <w:rsid w:val="74B44E65"/>
    <w:rsid w:val="75116D96"/>
    <w:rsid w:val="76573382"/>
    <w:rsid w:val="77852805"/>
    <w:rsid w:val="78BF7D2B"/>
    <w:rsid w:val="79AF1233"/>
    <w:rsid w:val="79B81D86"/>
    <w:rsid w:val="7A42435D"/>
    <w:rsid w:val="7B454A69"/>
    <w:rsid w:val="7BD03ED9"/>
    <w:rsid w:val="7D242972"/>
    <w:rsid w:val="7FC85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annotation text"/>
    <w:basedOn w:val="1"/>
    <w:autoRedefine/>
    <w:unhideWhenUsed/>
    <w:qFormat/>
    <w:uiPriority w:val="99"/>
    <w:pPr>
      <w:jc w:val="left"/>
    </w:pPr>
  </w:style>
  <w:style w:type="paragraph" w:styleId="4">
    <w:name w:val="Body Text"/>
    <w:basedOn w:val="1"/>
    <w:autoRedefine/>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autoRedefine/>
    <w:qFormat/>
    <w:uiPriority w:val="0"/>
  </w:style>
  <w:style w:type="paragraph" w:customStyle="1" w:styleId="10">
    <w:name w:val="Default"/>
    <w:next w:val="1"/>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1">
    <w:name w:val="NormalCharacter"/>
    <w:autoRedefine/>
    <w:semiHidden/>
    <w:qFormat/>
    <w:uiPriority w:val="0"/>
    <w:rPr>
      <w:kern w:val="2"/>
      <w:sz w:val="21"/>
      <w:szCs w:val="24"/>
      <w:lang w:val="en-US" w:eastAsia="zh-CN" w:bidi="ar-SA"/>
    </w:rPr>
  </w:style>
  <w:style w:type="character" w:customStyle="1" w:styleId="12">
    <w:name w:val="font11"/>
    <w:basedOn w:val="8"/>
    <w:autoRedefine/>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4092</Words>
  <Characters>4306</Characters>
  <Lines>0</Lines>
  <Paragraphs>0</Paragraphs>
  <TotalTime>33</TotalTime>
  <ScaleCrop>false</ScaleCrop>
  <LinksUpToDate>false</LinksUpToDate>
  <CharactersWithSpaces>4355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2023-06-21T01:36:00Z</dcterms:created>
  <dc:creator>时间的秘密</dc:creator>
  <cp:lastModifiedBy>过眼云烟2006</cp:lastModifiedBy>
  <dcterms:modified xsi:type="dcterms:W3CDTF">2024-01-23T07:17:14Z</dcterms:modified>
  <dc:title>荣昌区2023年双河街道高丰村荣昌猪养殖产业发展项目实施方案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8B2C60A335184E99A35AD48A79930320_13</vt:lpwstr>
  </property>
</Properties>
</file>