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方正小标宋_GBK" w:eastAsia="方正小标宋_GBK" w:cs="Times New Roman"/>
          <w:sz w:val="44"/>
          <w:szCs w:val="44"/>
        </w:rPr>
      </w:pPr>
      <w:r>
        <w:rPr>
          <w:rFonts w:hint="eastAsia" w:ascii="方正小标宋_GBK" w:eastAsia="方正小标宋_GBK" w:cs="Times New Roman"/>
          <w:sz w:val="44"/>
          <w:szCs w:val="44"/>
        </w:rPr>
        <w:t>重庆市荣昌区交通工程建设中心</w:t>
      </w:r>
    </w:p>
    <w:p>
      <w:pPr>
        <w:spacing w:line="720" w:lineRule="exact"/>
        <w:jc w:val="center"/>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rPr>
        <w:t>2023年度</w:t>
      </w:r>
      <w:r>
        <w:rPr>
          <w:rFonts w:hint="eastAsia" w:ascii="方正小标宋_GBK" w:eastAsia="方正小标宋_GBK" w:cs="Times New Roman"/>
          <w:sz w:val="44"/>
          <w:szCs w:val="44"/>
          <w:lang w:val="en-US" w:eastAsia="zh-CN"/>
        </w:rPr>
        <w:t>部门</w:t>
      </w:r>
      <w:r>
        <w:rPr>
          <w:rFonts w:hint="eastAsia" w:ascii="方正小标宋_GBK" w:eastAsia="方正小标宋_GBK" w:cs="Times New Roman"/>
          <w:sz w:val="44"/>
          <w:szCs w:val="44"/>
        </w:rPr>
        <w:t>决算公开</w:t>
      </w:r>
      <w:r>
        <w:rPr>
          <w:rFonts w:hint="eastAsia" w:ascii="方正小标宋_GBK" w:eastAsia="方正小标宋_GBK" w:cs="Times New Roman"/>
          <w:sz w:val="44"/>
          <w:szCs w:val="44"/>
          <w:lang w:val="en-US" w:eastAsia="zh-CN"/>
        </w:rPr>
        <w:t>报告</w:t>
      </w:r>
    </w:p>
    <w:p>
      <w:pPr>
        <w:spacing w:line="560" w:lineRule="exact"/>
        <w:jc w:val="both"/>
        <w:rPr>
          <w:rFonts w:hint="eastAsia" w:ascii="方正黑体_GBK" w:eastAsia="方正黑体_GBK" w:cs="Times New Roman"/>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eastAsia="方正黑体_GBK" w:cs="Times New Roman"/>
          <w:sz w:val="32"/>
          <w:szCs w:val="32"/>
        </w:rPr>
      </w:pPr>
      <w:r>
        <w:rPr>
          <w:rFonts w:hint="eastAsia" w:ascii="方正黑体_GBK" w:eastAsia="方正黑体_GBK" w:cs="Times New Roman"/>
          <w:sz w:val="32"/>
          <w:szCs w:val="32"/>
        </w:rPr>
        <w:t>一、单位基本情况</w:t>
      </w:r>
    </w:p>
    <w:p>
      <w:pPr>
        <w:spacing w:line="560" w:lineRule="exact"/>
        <w:ind w:firstLine="640" w:firstLineChars="200"/>
        <w:jc w:val="both"/>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单位主要职能职责是：负责全区公路、枢纽站场等交通基础设施建设以及水路工程建设的相关事务性工作； 指导农村公路的建设、养护、安全业务工作；负责路产路权保护等方面的事务性服务工作，维护公路民事权益；建立健全区普通国、省、县道公路、公路用地和公路服务设施、桥梁信息档案，完善路产档案资料；负责全区国、省、县道公路的养护工程和绿化工作，负责地方航道的养护服务；负责组织全区国、省、县道公路隐患排查整治、灾害的抢险及公路安防工程实施；负责开展全区国、省、县道公路桥梁经常性检查、定期检查和特殊检查；指导各镇街对其辖区范围内乡道、村道及危桥进行整治。 </w:t>
      </w:r>
    </w:p>
    <w:p>
      <w:pPr>
        <w:spacing w:line="560" w:lineRule="exact"/>
        <w:ind w:firstLine="640" w:firstLineChars="200"/>
        <w:jc w:val="both"/>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重庆市荣昌区交通工程建设中心设置 5个内设机构：综合科、建管科、养护科、技术服务科、安全科</w:t>
      </w:r>
      <w:r>
        <w:rPr>
          <w:rFonts w:hint="eastAsia" w:ascii="方正仿宋_GBK" w:hAnsi="方正仿宋_GBK" w:eastAsia="方正仿宋_GBK" w:cs="方正仿宋_GBK"/>
          <w:sz w:val="32"/>
          <w:szCs w:val="32"/>
          <w:lang w:eastAsia="zh-CN"/>
        </w:rPr>
        <w:t>。</w:t>
      </w:r>
    </w:p>
    <w:p>
      <w:pPr>
        <w:spacing w:line="560" w:lineRule="exact"/>
        <w:ind w:firstLine="640" w:firstLineChars="200"/>
        <w:jc w:val="both"/>
        <w:rPr>
          <w:rFonts w:hint="default" w:ascii="方正黑体_GBK" w:eastAsia="方正黑体_GBK" w:cs="Times New Roman"/>
          <w:sz w:val="32"/>
          <w:szCs w:val="32"/>
        </w:rPr>
      </w:pPr>
      <w:r>
        <w:rPr>
          <w:rFonts w:hint="eastAsia" w:ascii="方正黑体_GBK" w:eastAsia="方正黑体_GBK" w:cs="Times New Roman"/>
          <w:sz w:val="32"/>
          <w:szCs w:val="32"/>
        </w:rPr>
        <w:t>二、单位决算情况说明</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（一）收入支出决算总体情况说明</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1.总体情况。</w:t>
      </w:r>
      <w:r>
        <w:rPr>
          <w:rFonts w:hint="eastAsia" w:ascii="方正仿宋_GBK" w:hAnsi="方正仿宋_GBK" w:eastAsia="方正仿宋_GBK" w:cs="方正仿宋_GBK"/>
          <w:sz w:val="32"/>
          <w:szCs w:val="32"/>
        </w:rPr>
        <w:t>2023年度收入总计13900.62万元，支出总计</w:t>
      </w:r>
      <w:r>
        <w:rPr>
          <w:rFonts w:hint="default" w:ascii="方正仿宋_GBK" w:hAnsi="方正仿宋_GBK" w:eastAsia="方正仿宋_GBK" w:cs="方正仿宋_GBK"/>
          <w:sz w:val="32"/>
          <w:szCs w:val="32"/>
        </w:rPr>
        <w:t>13900.62万元。收支较上年决算数增加4125.43万元，增长42.2%，主要原因是</w:t>
      </w:r>
      <w:r>
        <w:rPr>
          <w:rFonts w:hint="eastAsia" w:ascii="方正仿宋_GBK" w:eastAsia="方正仿宋_GBK"/>
          <w:sz w:val="32"/>
          <w:szCs w:val="32"/>
        </w:rPr>
        <w:t>年中财政通过</w:t>
      </w:r>
      <w:r>
        <w:rPr>
          <w:rFonts w:hint="eastAsia" w:ascii="方正仿宋_GBK" w:eastAsia="方正仿宋_GBK"/>
          <w:sz w:val="32"/>
          <w:szCs w:val="32"/>
          <w:lang w:val="en-US" w:eastAsia="zh-CN"/>
        </w:rPr>
        <w:t>预算调剂</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2961项目万元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S548龙荣路（河包加油站至保安）预防性养护工程</w:t>
      </w:r>
      <w:r>
        <w:rPr>
          <w:rFonts w:hint="eastAsia" w:ascii="方正仿宋_GBK" w:hAnsi="方正仿宋_GBK" w:eastAsia="方正仿宋_GBK" w:cs="方正仿宋_GBK"/>
          <w:sz w:val="32"/>
          <w:szCs w:val="32"/>
          <w:lang w:val="en-US" w:eastAsia="zh-CN"/>
        </w:rPr>
        <w:t>等项目1280万元</w:t>
      </w:r>
      <w:r>
        <w:rPr>
          <w:rFonts w:hint="default" w:ascii="方正仿宋_GBK" w:hAnsi="方正仿宋_GBK" w:eastAsia="方正仿宋_GBK" w:cs="方正仿宋_GBK"/>
          <w:sz w:val="32"/>
          <w:szCs w:val="32"/>
        </w:rPr>
        <w:t>。</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2.收入情况。</w:t>
      </w:r>
      <w:r>
        <w:rPr>
          <w:rFonts w:hint="eastAsia" w:ascii="方正仿宋_GBK" w:hAnsi="方正仿宋_GBK" w:eastAsia="方正仿宋_GBK" w:cs="方正仿宋_GBK"/>
          <w:sz w:val="32"/>
          <w:szCs w:val="32"/>
        </w:rPr>
        <w:t>2023年度收入合计12577.59万元，较上年决算数增加6654.21万元，增长112.34%，主要原因是</w:t>
      </w:r>
      <w:r>
        <w:rPr>
          <w:rFonts w:hint="eastAsia" w:ascii="方正仿宋_GBK" w:eastAsia="方正仿宋_GBK"/>
          <w:sz w:val="32"/>
          <w:szCs w:val="32"/>
        </w:rPr>
        <w:t>年中财政通过</w:t>
      </w:r>
      <w:r>
        <w:rPr>
          <w:rFonts w:hint="eastAsia" w:ascii="方正仿宋_GBK" w:eastAsia="方正仿宋_GBK"/>
          <w:sz w:val="32"/>
          <w:szCs w:val="32"/>
          <w:lang w:val="en-US" w:eastAsia="zh-CN"/>
        </w:rPr>
        <w:t>预算调剂</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项目2961万元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畜牧科技产业大道一期</w:t>
      </w:r>
      <w:r>
        <w:rPr>
          <w:rFonts w:hint="eastAsia" w:ascii="方正仿宋_GBK" w:hAnsi="方正仿宋_GBK" w:eastAsia="方正仿宋_GBK" w:cs="方正仿宋_GBK"/>
          <w:sz w:val="32"/>
          <w:szCs w:val="32"/>
          <w:lang w:val="en-US" w:eastAsia="zh-CN"/>
        </w:rPr>
        <w:t>3460万元</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其中：财政拨款收入12577.59万元，占100.0%；事业收入0万元，占0.0%；经营收入0万元，占0.0%；其他收入0万元，占0.0%。此外，使用非财政拨款结余和专用结余0万元，年初结转和结余1323.04万元。</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3.支出情况。</w:t>
      </w:r>
      <w:r>
        <w:rPr>
          <w:rFonts w:hint="eastAsia" w:ascii="方正仿宋_GBK" w:hAnsi="方正仿宋_GBK" w:eastAsia="方正仿宋_GBK" w:cs="方正仿宋_GBK"/>
          <w:sz w:val="32"/>
          <w:szCs w:val="32"/>
        </w:rPr>
        <w:t>2023年度支出合计12581.33万元，较上年决算数增加4085.06万元，增长48.08%，主要原因</w:t>
      </w:r>
      <w:r>
        <w:rPr>
          <w:rFonts w:hint="eastAsia" w:ascii="方正仿宋_GBK" w:eastAsia="方正仿宋_GBK"/>
          <w:sz w:val="32"/>
          <w:szCs w:val="32"/>
          <w:lang w:val="en-US" w:eastAsia="zh-CN"/>
        </w:rPr>
        <w:t>本年新增</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项目支出2961万元</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S548龙荣路预防性养护工程等</w:t>
      </w:r>
      <w:r>
        <w:rPr>
          <w:rFonts w:hint="eastAsia" w:ascii="方正仿宋_GBK" w:hAnsi="方正仿宋_GBK" w:eastAsia="方正仿宋_GBK" w:cs="方正仿宋_GBK"/>
          <w:sz w:val="32"/>
          <w:szCs w:val="32"/>
          <w:lang w:val="en-US" w:eastAsia="zh-CN"/>
        </w:rPr>
        <w:t>项目支出1280万元</w:t>
      </w:r>
      <w:r>
        <w:rPr>
          <w:rFonts w:hint="default"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其中：基本支出2345.48万元，占18.64%；项目支出10235.85万元，占81.36%；经营支出0万元，占0.0%。此外，结余分配0万元。</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4.结转结余情况。</w:t>
      </w:r>
      <w:r>
        <w:rPr>
          <w:rFonts w:hint="eastAsia" w:ascii="方正仿宋_GBK" w:hAnsi="方正仿宋_GBK" w:eastAsia="方正仿宋_GBK" w:cs="方正仿宋_GBK"/>
          <w:sz w:val="32"/>
          <w:szCs w:val="32"/>
        </w:rPr>
        <w:t>2023年度年末结转和结余1319.3万元，较上年决算数增加40.38万元，增长3.16%，主要原因是2023年调整以前年度会计差错，非财政拨款结转结余增加了44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12</w:t>
      </w:r>
      <w:r>
        <w:rPr>
          <w:rFonts w:hint="eastAsia" w:ascii="方正仿宋_GBK" w:hAnsi="方正仿宋_GBK" w:eastAsia="方正仿宋_GBK" w:cs="方正仿宋_GBK"/>
          <w:sz w:val="32"/>
          <w:szCs w:val="32"/>
          <w:lang w:val="en-US" w:eastAsia="zh-CN"/>
        </w:rPr>
        <w:t>万</w:t>
      </w:r>
      <w:r>
        <w:rPr>
          <w:rFonts w:hint="eastAsia" w:ascii="方正仿宋_GBK" w:hAnsi="方正仿宋_GBK" w:eastAsia="方正仿宋_GBK" w:cs="方正仿宋_GBK"/>
          <w:sz w:val="32"/>
          <w:szCs w:val="32"/>
        </w:rPr>
        <w:t>元。</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（二）财政拨款收入支出决算总体情况说明</w:t>
      </w:r>
    </w:p>
    <w:p>
      <w:pPr>
        <w:spacing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2023年度财政拨款收、支总计12577.59万元。与2022年相比，财政拨款收、支总计各增加4128.18万元，增长48.86%。主要原因是</w:t>
      </w:r>
      <w:r>
        <w:rPr>
          <w:rFonts w:hint="eastAsia" w:ascii="方正仿宋_GBK" w:hAnsi="方正仿宋_GBK" w:eastAsia="方正仿宋_GBK" w:cs="方正仿宋_GBK"/>
          <w:sz w:val="32"/>
          <w:szCs w:val="32"/>
          <w:lang w:val="en-US" w:eastAsia="zh-CN"/>
        </w:rPr>
        <w:t>本年</w:t>
      </w:r>
      <w:r>
        <w:rPr>
          <w:rFonts w:hint="default" w:ascii="方正仿宋_GBK" w:hAnsi="方正仿宋_GBK" w:eastAsia="方正仿宋_GBK" w:cs="方正仿宋_GBK"/>
          <w:sz w:val="32"/>
          <w:szCs w:val="32"/>
        </w:rPr>
        <w:t>增加了畜牧科技产业大道一期、</w:t>
      </w:r>
      <w:r>
        <w:rPr>
          <w:rFonts w:hint="eastAsia"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eastAsia="zh-CN"/>
        </w:rPr>
        <w:t>、</w:t>
      </w:r>
      <w:r>
        <w:rPr>
          <w:rFonts w:hint="default" w:ascii="方正仿宋_GBK" w:hAnsi="方正仿宋_GBK" w:eastAsia="方正仿宋_GBK" w:cs="方正仿宋_GBK"/>
          <w:sz w:val="32"/>
          <w:szCs w:val="32"/>
        </w:rPr>
        <w:t>S548龙荣路预防性养护工程等项目</w:t>
      </w:r>
      <w:r>
        <w:rPr>
          <w:rFonts w:hint="eastAsia" w:ascii="方正仿宋_GBK" w:hAnsi="方正仿宋_GBK" w:eastAsia="方正仿宋_GBK" w:cs="方正仿宋_GBK"/>
          <w:sz w:val="32"/>
          <w:szCs w:val="32"/>
          <w:lang w:val="en-US" w:eastAsia="zh-CN"/>
        </w:rPr>
        <w:t>收支</w:t>
      </w:r>
      <w:r>
        <w:rPr>
          <w:rFonts w:hint="default" w:ascii="方正仿宋_GBK" w:hAnsi="方正仿宋_GBK" w:eastAsia="方正仿宋_GBK" w:cs="方正仿宋_GBK"/>
          <w:sz w:val="32"/>
          <w:szCs w:val="32"/>
        </w:rPr>
        <w:t>。</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（三）一般公共预算财政拨款收入支出决算情况说明</w:t>
      </w:r>
    </w:p>
    <w:p>
      <w:pPr>
        <w:spacing w:line="560" w:lineRule="exact"/>
        <w:ind w:firstLine="643" w:firstLineChars="200"/>
        <w:jc w:val="both"/>
        <w:rPr>
          <w:rFonts w:hint="default" w:ascii="方正仿宋_GBK" w:eastAsia="方正仿宋_GBK" w:cs="Times New Roman"/>
          <w:sz w:val="32"/>
          <w:szCs w:val="32"/>
        </w:rPr>
      </w:pPr>
      <w:r>
        <w:rPr>
          <w:rFonts w:hint="eastAsia" w:ascii="方正仿宋_GBK" w:eastAsia="方正仿宋_GBK" w:cs="Times New Roman"/>
          <w:b/>
          <w:sz w:val="32"/>
          <w:szCs w:val="32"/>
        </w:rPr>
        <w:t>1.收入情况。</w:t>
      </w:r>
      <w:r>
        <w:rPr>
          <w:rFonts w:hint="eastAsia" w:ascii="方正仿宋_GBK" w:eastAsia="方正仿宋_GBK" w:cs="Times New Roman"/>
          <w:sz w:val="32"/>
          <w:szCs w:val="32"/>
        </w:rPr>
        <w:t>2023年度一般公共预算财政拨款收入8223.16万元，较上年决算数增加2372.78万元，增长40.56%。主要原因是年中财政通过一般公共预算追加安排G348荣昌区安富至四川界段改建工程</w:t>
      </w:r>
      <w:r>
        <w:rPr>
          <w:rFonts w:hint="eastAsia" w:ascii="方正仿宋_GBK" w:eastAsia="方正仿宋_GBK" w:cs="Times New Roman"/>
          <w:sz w:val="32"/>
          <w:szCs w:val="32"/>
          <w:lang w:val="en-US" w:eastAsia="zh-CN"/>
        </w:rPr>
        <w:t>1100万元，</w:t>
      </w:r>
      <w:r>
        <w:rPr>
          <w:rFonts w:hint="default" w:ascii="方正仿宋_GBK" w:hAnsi="方正仿宋_GBK" w:eastAsia="方正仿宋_GBK" w:cs="方正仿宋_GBK"/>
          <w:sz w:val="32"/>
          <w:szCs w:val="32"/>
        </w:rPr>
        <w:t>畜牧科技产业大道一</w:t>
      </w:r>
      <w:r>
        <w:rPr>
          <w:rFonts w:hint="eastAsia" w:ascii="方正仿宋_GBK" w:hAnsi="方正仿宋_GBK" w:eastAsia="方正仿宋_GBK" w:cs="方正仿宋_GBK"/>
          <w:sz w:val="32"/>
          <w:szCs w:val="32"/>
          <w:lang w:val="en-US" w:eastAsia="zh-CN"/>
        </w:rPr>
        <w:t>期1000万元，</w:t>
      </w:r>
      <w:r>
        <w:rPr>
          <w:rFonts w:hint="eastAsia" w:ascii="方正仿宋_GBK" w:eastAsia="方正仿宋_GBK" w:cs="Times New Roman"/>
          <w:sz w:val="32"/>
          <w:szCs w:val="32"/>
        </w:rPr>
        <w:t>较年初预算数增加3616.51万元，增长78.51%。主要原因是</w:t>
      </w:r>
      <w:r>
        <w:rPr>
          <w:rFonts w:hint="eastAsia" w:ascii="方正仿宋_GBK" w:eastAsia="方正仿宋_GBK"/>
          <w:sz w:val="32"/>
          <w:szCs w:val="32"/>
        </w:rPr>
        <w:t>年中财政通过一般公共预算追加安排</w:t>
      </w:r>
      <w:r>
        <w:rPr>
          <w:rFonts w:hint="eastAsia" w:ascii="方正仿宋_GBK" w:hAnsi="方正仿宋_GBK" w:eastAsia="方正仿宋_GBK" w:cs="方正仿宋_GBK"/>
          <w:sz w:val="32"/>
          <w:szCs w:val="32"/>
        </w:rPr>
        <w:t>畜牧科技产业大道一期等项目资金</w:t>
      </w:r>
      <w:r>
        <w:rPr>
          <w:rFonts w:hint="eastAsia" w:ascii="方正仿宋_GBK" w:hAnsi="方正仿宋_GBK" w:eastAsia="方正仿宋_GBK" w:cs="方正仿宋_GBK"/>
          <w:sz w:val="32"/>
          <w:szCs w:val="32"/>
          <w:lang w:val="en-US" w:eastAsia="zh-CN"/>
        </w:rPr>
        <w:t>1000万元、</w:t>
      </w:r>
      <w:r>
        <w:rPr>
          <w:rFonts w:hint="default"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1100万元</w:t>
      </w:r>
      <w:r>
        <w:rPr>
          <w:rFonts w:hint="default" w:ascii="方正仿宋_GBK" w:hAnsi="方正仿宋_GBK" w:eastAsia="方正仿宋_GBK" w:cs="方正仿宋_GBK"/>
          <w:sz w:val="32"/>
          <w:szCs w:val="32"/>
        </w:rPr>
        <w:t>、S548龙荣路预防性养护工程等</w:t>
      </w:r>
      <w:r>
        <w:rPr>
          <w:rFonts w:hint="eastAsia" w:ascii="方正仿宋_GBK" w:hAnsi="方正仿宋_GBK" w:eastAsia="方正仿宋_GBK" w:cs="方正仿宋_GBK"/>
          <w:sz w:val="32"/>
          <w:szCs w:val="32"/>
          <w:lang w:val="en-US" w:eastAsia="zh-CN"/>
        </w:rPr>
        <w:t>项目1500万元</w:t>
      </w:r>
      <w:r>
        <w:rPr>
          <w:rFonts w:hint="default" w:ascii="方正仿宋_GBK" w:hAnsi="方正仿宋_GBK" w:eastAsia="方正仿宋_GBK" w:cs="方正仿宋_GBK"/>
          <w:sz w:val="32"/>
          <w:szCs w:val="32"/>
        </w:rPr>
        <w:t>。</w:t>
      </w:r>
      <w:r>
        <w:rPr>
          <w:rFonts w:hint="eastAsia" w:ascii="方正仿宋_GBK" w:eastAsia="方正仿宋_GBK" w:cs="Times New Roman"/>
          <w:sz w:val="32"/>
          <w:szCs w:val="32"/>
        </w:rPr>
        <w:t>此外，年初财政拨款结转和结余0万元。</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2.支出情况。</w:t>
      </w:r>
      <w:r>
        <w:rPr>
          <w:rFonts w:hint="eastAsia" w:ascii="方正仿宋_GBK" w:hAnsi="方正仿宋_GBK" w:eastAsia="方正仿宋_GBK" w:cs="方正仿宋_GBK"/>
          <w:sz w:val="32"/>
          <w:szCs w:val="32"/>
        </w:rPr>
        <w:t>2023年度一般公共预算财政拨款支出8223.16万元，较上年决算数减少153.25万元，下降1.83%。主要原因是</w:t>
      </w:r>
      <w:r>
        <w:rPr>
          <w:rFonts w:hint="eastAsia" w:ascii="方正仿宋_GBK" w:hAnsi="方正仿宋_GBK" w:eastAsia="方正仿宋_GBK" w:cs="方正仿宋_GBK"/>
          <w:sz w:val="32"/>
          <w:szCs w:val="32"/>
          <w:lang w:val="en-US" w:eastAsia="zh-CN"/>
        </w:rPr>
        <w:t>基本支出死亡及人员退休减少人员及公用经费102.76万元，项目支出减少50.49万元，</w:t>
      </w:r>
      <w:r>
        <w:rPr>
          <w:rFonts w:hint="eastAsia" w:ascii="方正仿宋_GBK" w:hAnsi="方正仿宋_GBK" w:eastAsia="方正仿宋_GBK" w:cs="方正仿宋_GBK"/>
          <w:sz w:val="32"/>
          <w:szCs w:val="32"/>
        </w:rPr>
        <w:t>较年初预算数增加3616.51万元，增长78.51%。主要原因是</w:t>
      </w:r>
      <w:r>
        <w:rPr>
          <w:rFonts w:hint="eastAsia" w:ascii="方正仿宋_GBK" w:hAnsi="方正仿宋_GBK" w:eastAsia="方正仿宋_GBK" w:cs="方正仿宋_GBK"/>
          <w:sz w:val="32"/>
          <w:szCs w:val="32"/>
          <w:lang w:val="en-US" w:eastAsia="zh-CN"/>
        </w:rPr>
        <w:t>年中预算调剂了</w:t>
      </w:r>
      <w:r>
        <w:rPr>
          <w:rFonts w:hint="eastAsia" w:ascii="方正仿宋_GBK" w:hAnsi="方正仿宋_GBK" w:eastAsia="方正仿宋_GBK" w:cs="方正仿宋_GBK"/>
          <w:sz w:val="32"/>
          <w:szCs w:val="32"/>
        </w:rPr>
        <w:t>畜牧科技产业大道一期等项目资金</w:t>
      </w:r>
      <w:r>
        <w:rPr>
          <w:rFonts w:hint="eastAsia" w:ascii="方正仿宋_GBK" w:hAnsi="方正仿宋_GBK" w:eastAsia="方正仿宋_GBK" w:cs="方正仿宋_GBK"/>
          <w:sz w:val="32"/>
          <w:szCs w:val="32"/>
          <w:lang w:val="en-US" w:eastAsia="zh-CN"/>
        </w:rPr>
        <w:t>1000万元、</w:t>
      </w:r>
      <w:r>
        <w:rPr>
          <w:rFonts w:hint="default"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1100万元</w:t>
      </w:r>
      <w:r>
        <w:rPr>
          <w:rFonts w:hint="default" w:ascii="方正仿宋_GBK" w:hAnsi="方正仿宋_GBK" w:eastAsia="方正仿宋_GBK" w:cs="方正仿宋_GBK"/>
          <w:sz w:val="32"/>
          <w:szCs w:val="32"/>
        </w:rPr>
        <w:t>、S548龙荣路（河包加油站至保安）预防性养护工程</w:t>
      </w:r>
      <w:r>
        <w:rPr>
          <w:rFonts w:hint="eastAsia" w:ascii="方正仿宋_GBK" w:hAnsi="方正仿宋_GBK" w:eastAsia="方正仿宋_GBK" w:cs="方正仿宋_GBK"/>
          <w:sz w:val="32"/>
          <w:szCs w:val="32"/>
          <w:lang w:val="en-US" w:eastAsia="zh-CN"/>
        </w:rPr>
        <w:t>1500万元</w:t>
      </w:r>
      <w:r>
        <w:rPr>
          <w:rFonts w:hint="default" w:ascii="方正仿宋_GBK" w:hAnsi="方正仿宋_GBK" w:eastAsia="方正仿宋_GBK" w:cs="方正仿宋_GBK"/>
          <w:sz w:val="32"/>
          <w:szCs w:val="32"/>
        </w:rPr>
        <w:t>。</w:t>
      </w:r>
    </w:p>
    <w:p>
      <w:pPr>
        <w:spacing w:line="560" w:lineRule="exact"/>
        <w:ind w:firstLine="643" w:firstLineChars="200"/>
        <w:jc w:val="both"/>
        <w:rPr>
          <w:rFonts w:hint="eastAsia" w:ascii="方正仿宋_GBK" w:hAnsi="方正仿宋_GBK" w:eastAsia="方正仿宋_GBK" w:cs="方正仿宋_GBK"/>
          <w:sz w:val="32"/>
          <w:szCs w:val="32"/>
        </w:rPr>
      </w:pPr>
      <w:r>
        <w:rPr>
          <w:rFonts w:hint="eastAsia" w:ascii="方正仿宋_GBK" w:eastAsia="方正仿宋_GBK" w:cs="Times New Roman"/>
          <w:b/>
          <w:sz w:val="32"/>
          <w:szCs w:val="32"/>
        </w:rPr>
        <w:t>3.结转结余情况。</w:t>
      </w:r>
      <w:r>
        <w:rPr>
          <w:rFonts w:hint="eastAsia" w:ascii="方正仿宋_GBK" w:hAnsi="方正仿宋_GBK" w:eastAsia="方正仿宋_GBK" w:cs="方正仿宋_GBK"/>
          <w:sz w:val="32"/>
          <w:szCs w:val="32"/>
        </w:rPr>
        <w:t>2023年度年末一般公共预算财政拨款结转和结余0万元，较上年决算数无增减，主要原因是未使用完的资金已于年底全部上缴财政。</w:t>
      </w:r>
    </w:p>
    <w:p>
      <w:pPr>
        <w:spacing w:line="560" w:lineRule="exact"/>
        <w:ind w:firstLine="643" w:firstLineChars="200"/>
        <w:jc w:val="both"/>
        <w:rPr>
          <w:rFonts w:hint="default" w:ascii="方正仿宋_GBK" w:hAnsi="方正仿宋_GBK" w:eastAsia="方正仿宋_GBK" w:cs="方正仿宋_GBK"/>
          <w:sz w:val="32"/>
          <w:szCs w:val="32"/>
        </w:rPr>
      </w:pPr>
      <w:r>
        <w:rPr>
          <w:rFonts w:hint="eastAsia" w:ascii="方正仿宋_GBK" w:eastAsia="方正仿宋_GBK" w:cs="Times New Roman"/>
          <w:b/>
          <w:sz w:val="32"/>
          <w:szCs w:val="32"/>
        </w:rPr>
        <w:t>4.比较情况。</w:t>
      </w:r>
      <w:r>
        <w:rPr>
          <w:rFonts w:hint="eastAsia" w:ascii="方正仿宋_GBK" w:hAnsi="方正仿宋_GBK" w:eastAsia="方正仿宋_GBK" w:cs="方正仿宋_GBK"/>
          <w:sz w:val="32"/>
          <w:szCs w:val="32"/>
        </w:rPr>
        <w:t>本单位2023年度一般公共预算财政拨款支出主要用于以下几个方面：</w:t>
      </w:r>
    </w:p>
    <w:p>
      <w:pPr>
        <w:spacing w:line="56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）教育支出10.15万元，占0.12%，较年初预算数减少0.68万元，下降6.28%，主要原因是本年死亡及退休9人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减少了培训支出。</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）社会保障与就业支出600.83万元，占7.31%，较年初预算数减少12.59万元，下降2.05%，主要原因是本年死亡及退休9人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减少了</w:t>
      </w:r>
      <w:r>
        <w:rPr>
          <w:rFonts w:hint="eastAsia" w:ascii="方正仿宋_GBK" w:hAnsi="方正仿宋_GBK" w:eastAsia="方正仿宋_GBK" w:cs="方正仿宋_GBK"/>
          <w:sz w:val="32"/>
          <w:szCs w:val="32"/>
          <w:lang w:val="en-US" w:eastAsia="zh-CN"/>
        </w:rPr>
        <w:t>养老保险</w:t>
      </w:r>
      <w:r>
        <w:rPr>
          <w:rFonts w:hint="eastAsia" w:ascii="方正仿宋_GBK" w:hAnsi="方正仿宋_GBK" w:eastAsia="方正仿宋_GBK" w:cs="方正仿宋_GBK"/>
          <w:sz w:val="32"/>
          <w:szCs w:val="32"/>
        </w:rPr>
        <w:t>及其他社会保障缴费。</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）卫生健康支出82.90万元，占1.01%，较年初预算数减少3.54万元，下降4.1%，主要原因是本年死亡及退休9人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减少了医保及其他社会保障缴费。</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）交通运输支出7447.23万元，占90.56%，较年初预算数增加3637.92万元，增长95.5%，主要原因是</w:t>
      </w:r>
      <w:r>
        <w:rPr>
          <w:rFonts w:hint="eastAsia" w:ascii="方正仿宋_GBK" w:hAnsi="方正仿宋_GBK" w:eastAsia="方正仿宋_GBK" w:cs="方正仿宋_GBK"/>
          <w:sz w:val="32"/>
          <w:szCs w:val="32"/>
          <w:lang w:val="en-US" w:eastAsia="zh-CN"/>
        </w:rPr>
        <w:t>年中预算调剂了</w:t>
      </w:r>
      <w:r>
        <w:rPr>
          <w:rFonts w:hint="eastAsia" w:ascii="方正仿宋_GBK" w:hAnsi="方正仿宋_GBK" w:eastAsia="方正仿宋_GBK" w:cs="方正仿宋_GBK"/>
          <w:sz w:val="32"/>
          <w:szCs w:val="32"/>
        </w:rPr>
        <w:t>畜牧科技产业大道一期等项目资金</w:t>
      </w:r>
      <w:r>
        <w:rPr>
          <w:rFonts w:hint="eastAsia" w:ascii="方正仿宋_GBK" w:hAnsi="方正仿宋_GBK" w:eastAsia="方正仿宋_GBK" w:cs="方正仿宋_GBK"/>
          <w:sz w:val="32"/>
          <w:szCs w:val="32"/>
          <w:lang w:val="en-US" w:eastAsia="zh-CN"/>
        </w:rPr>
        <w:t>1000万元、</w:t>
      </w:r>
      <w:r>
        <w:rPr>
          <w:rFonts w:hint="default" w:ascii="方正仿宋_GBK" w:hAnsi="方正仿宋_GBK" w:eastAsia="方正仿宋_GBK" w:cs="方正仿宋_GBK"/>
          <w:sz w:val="32"/>
          <w:szCs w:val="32"/>
        </w:rPr>
        <w:t>G348荣昌区安富至四川界段改建工程</w:t>
      </w:r>
      <w:r>
        <w:rPr>
          <w:rFonts w:hint="eastAsia" w:ascii="方正仿宋_GBK" w:hAnsi="方正仿宋_GBK" w:eastAsia="方正仿宋_GBK" w:cs="方正仿宋_GBK"/>
          <w:sz w:val="32"/>
          <w:szCs w:val="32"/>
          <w:lang w:val="en-US" w:eastAsia="zh-CN"/>
        </w:rPr>
        <w:t>等项目2863万元。</w:t>
      </w:r>
    </w:p>
    <w:p>
      <w:pPr>
        <w:spacing w:line="56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）住房保障支出82.05万元，占1.0%，较年初预算数减少4.59万元，下降5.3%，主要原因是本年死亡及退休9人</w:t>
      </w:r>
      <w:r>
        <w:rPr>
          <w:rFonts w:hint="eastAsia" w:ascii="方正仿宋_GBK" w:hAnsi="方正仿宋_GBK" w:eastAsia="方正仿宋_GBK" w:cs="方正仿宋_GBK"/>
          <w:sz w:val="32"/>
          <w:szCs w:val="32"/>
          <w:lang w:eastAsia="zh-CN"/>
        </w:rPr>
        <w:t>。</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（四）一般公共预算财政拨款基本支出决算情况说明</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2023年度一般公共财政拨款基本支出2345.48万元。其中：人员经费1986.92万元，较上年决算数减少57.25万元，下降2.8%，主要原因是本年死亡及退休9人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人员经费用途主要包括基本工资、津贴补贴、奖金、绩效工资、社会保障缴费、住房公积金、医疗费、其他工资福利支出、抚恤金、生活补助、奖励金、其他个人和家庭的补助支出。公用经费358.56万元，较上年决算数减少45.52万元，下降11.27%，主要原因是</w:t>
      </w:r>
      <w:r>
        <w:rPr>
          <w:rFonts w:hint="eastAsia" w:ascii="方正仿宋_GBK" w:hAnsi="方正仿宋_GBK" w:eastAsia="方正仿宋_GBK" w:cs="方正仿宋_GBK"/>
          <w:sz w:val="32"/>
          <w:szCs w:val="32"/>
          <w:lang w:val="en-US" w:eastAsia="zh-CN"/>
        </w:rPr>
        <w:t>规范差旅费报销，减少办公设备购置费等，</w:t>
      </w:r>
      <w:r>
        <w:rPr>
          <w:rFonts w:hint="eastAsia" w:ascii="方正仿宋_GBK" w:hAnsi="方正仿宋_GBK" w:eastAsia="方正仿宋_GBK" w:cs="方正仿宋_GBK"/>
          <w:sz w:val="32"/>
          <w:szCs w:val="32"/>
        </w:rPr>
        <w:t>公用经费用途主要包括办公费、印刷费、水电费、邮电费、物业管理费、差旅费、维修（护）费、培训费、公务接待费、劳务费、工会经费、福利费、公务用车运行维护</w:t>
      </w:r>
      <w:r>
        <w:rPr>
          <w:rFonts w:hint="eastAsia" w:ascii="方正仿宋_GBK" w:hAnsi="方正仿宋_GBK" w:eastAsia="方正仿宋_GBK" w:cs="方正仿宋_GBK"/>
          <w:sz w:val="32"/>
          <w:szCs w:val="32"/>
          <w:lang w:val="en-US" w:eastAsia="zh-CN"/>
        </w:rPr>
        <w:t>费、其他商品和服务支出、办公设备购置费。</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2023年度政府性基金预算财政拨款年初结转结余0万元，年末</w:t>
      </w:r>
      <w:r>
        <w:rPr>
          <w:rFonts w:hint="eastAsia" w:ascii="方正仿宋_GBK" w:hAnsi="方正仿宋_GBK" w:eastAsia="方正仿宋_GBK" w:cs="方正仿宋_GBK"/>
          <w:sz w:val="32"/>
          <w:szCs w:val="32"/>
          <w:shd w:val="clear" w:color="auto" w:fill="FFFFFF"/>
        </w:rPr>
        <w:t>结转结余0万元。本年收入4354.42万元，较上年决算数增加4281.42万元，增长5864.96%，主要原因是</w:t>
      </w:r>
      <w:r>
        <w:rPr>
          <w:rFonts w:hint="eastAsia" w:ascii="方正仿宋_GBK" w:hAnsi="方正仿宋_GBK" w:eastAsia="方正仿宋_GBK" w:cs="方正仿宋_GBK"/>
          <w:sz w:val="32"/>
          <w:szCs w:val="32"/>
          <w:shd w:val="clear" w:color="auto" w:fill="FFFFFF"/>
          <w:lang w:val="en-US" w:eastAsia="zh-CN"/>
        </w:rPr>
        <w:t>本年增加</w:t>
      </w:r>
      <w:r>
        <w:rPr>
          <w:rFonts w:hint="eastAsia" w:ascii="方正仿宋_GBK" w:hAnsi="方正仿宋_GBK" w:eastAsia="方正仿宋_GBK" w:cs="方正仿宋_GBK"/>
          <w:sz w:val="32"/>
          <w:szCs w:val="32"/>
          <w:shd w:val="clear" w:color="auto" w:fill="FFFFFF"/>
        </w:rPr>
        <w:t>畜牧科技产业大道一期（S303城区至双河段新建工程一期）</w:t>
      </w:r>
      <w:r>
        <w:rPr>
          <w:rFonts w:hint="eastAsia" w:ascii="方正仿宋_GBK" w:hAnsi="方正仿宋_GBK" w:eastAsia="方正仿宋_GBK" w:cs="方正仿宋_GBK"/>
          <w:sz w:val="32"/>
          <w:szCs w:val="32"/>
          <w:shd w:val="clear" w:color="auto" w:fill="FFFFFF"/>
          <w:lang w:val="en-US" w:eastAsia="zh-CN"/>
        </w:rPr>
        <w:t>项目2460万元，G348荣昌区安富至四川界段改建工程项目1861万元。</w:t>
      </w:r>
      <w:r>
        <w:rPr>
          <w:rFonts w:hint="eastAsia" w:ascii="方正仿宋_GBK" w:hAnsi="方正仿宋_GBK" w:eastAsia="方正仿宋_GBK" w:cs="方正仿宋_GBK"/>
          <w:sz w:val="32"/>
          <w:szCs w:val="32"/>
          <w:shd w:val="clear" w:color="auto" w:fill="FFFFFF"/>
        </w:rPr>
        <w:t>本年支出4354.42万元，较上年决算数增加4281.42万元，增长5864.96%，主要原因是</w:t>
      </w:r>
      <w:r>
        <w:rPr>
          <w:rFonts w:hint="eastAsia" w:ascii="方正仿宋_GBK" w:hAnsi="方正仿宋_GBK" w:eastAsia="方正仿宋_GBK" w:cs="方正仿宋_GBK"/>
          <w:sz w:val="32"/>
          <w:szCs w:val="32"/>
          <w:shd w:val="clear" w:color="auto" w:fill="FFFFFF"/>
          <w:lang w:val="en-US" w:eastAsia="zh-CN"/>
        </w:rPr>
        <w:t>本年增加</w:t>
      </w:r>
      <w:r>
        <w:rPr>
          <w:rFonts w:hint="eastAsia" w:ascii="方正仿宋_GBK" w:hAnsi="方正仿宋_GBK" w:eastAsia="方正仿宋_GBK" w:cs="方正仿宋_GBK"/>
          <w:sz w:val="32"/>
          <w:szCs w:val="32"/>
          <w:shd w:val="clear" w:color="auto" w:fill="FFFFFF"/>
        </w:rPr>
        <w:t>畜牧科技产业大道一期（S303城区至双河段新建工程一期）</w:t>
      </w:r>
      <w:r>
        <w:rPr>
          <w:rFonts w:hint="eastAsia" w:ascii="方正仿宋_GBK" w:hAnsi="方正仿宋_GBK" w:eastAsia="方正仿宋_GBK" w:cs="方正仿宋_GBK"/>
          <w:sz w:val="32"/>
          <w:szCs w:val="32"/>
          <w:shd w:val="clear" w:color="auto" w:fill="FFFFFF"/>
          <w:lang w:val="en-US" w:eastAsia="zh-CN"/>
        </w:rPr>
        <w:t>项目2460万元，G348荣昌区安富至四川界段改建工程项目1861万元。</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（六）国有资本经营预算财政拨款支出决算情况说明</w:t>
      </w:r>
    </w:p>
    <w:p>
      <w:pPr>
        <w:spacing w:line="56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本单位2023年度无国有资本经营预算财政拨款支出。</w:t>
      </w:r>
    </w:p>
    <w:p>
      <w:pPr>
        <w:spacing w:line="560" w:lineRule="exact"/>
        <w:ind w:firstLine="640" w:firstLineChars="200"/>
        <w:jc w:val="both"/>
        <w:rPr>
          <w:rFonts w:hint="default" w:ascii="方正黑体_GBK" w:eastAsia="方正黑体_GBK" w:cs="Times New Roman"/>
          <w:sz w:val="32"/>
          <w:szCs w:val="32"/>
        </w:rPr>
      </w:pPr>
      <w:r>
        <w:rPr>
          <w:rFonts w:hint="eastAsia" w:ascii="方正黑体_GBK" w:eastAsia="方正黑体_GBK" w:cs="Times New Roman"/>
          <w:sz w:val="32"/>
          <w:szCs w:val="32"/>
          <w:lang w:val="en-US" w:eastAsia="zh-CN"/>
        </w:rPr>
        <w:t>三、</w:t>
      </w:r>
      <w:r>
        <w:rPr>
          <w:rFonts w:hint="eastAsia" w:ascii="方正黑体_GBK" w:eastAsia="方正黑体_GBK" w:cs="Times New Roman"/>
          <w:sz w:val="32"/>
          <w:szCs w:val="32"/>
        </w:rPr>
        <w:t>“三公”经费情况说明</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（一）“三公”经费支出总体情况说明</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度“三公”经费支出共计30.75万元，较年初预算数减少14.55万元，下降32.12%，主要原因一是按照只减不增的要求从严控制“三公”经费，全年实际支出数较预算数有所下降；二是严格落实公车使用规定，公车运行维护成本有所下降；三是强化公务接待支出管理，严格遵守公务接待开支范围和开支标准，严格控制陪餐人数，对应由接待对象承担的费用一律由接待对象自行支付，公务接待费有所下降。较上年支出数减少9万元，下降22.64%，主要原因是</w:t>
      </w:r>
      <w:r>
        <w:rPr>
          <w:rFonts w:hint="eastAsia" w:ascii="方正仿宋_GBK" w:hAnsi="方正仿宋_GBK" w:eastAsia="方正仿宋_GBK" w:cs="方正仿宋_GBK"/>
          <w:sz w:val="32"/>
          <w:szCs w:val="32"/>
          <w:lang w:val="en-US" w:eastAsia="zh-CN"/>
        </w:rPr>
        <w:t>严格控制公车运行维护成本。</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（二）“三公”经费分项支出情况</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2023年度本单位因公出国（境）费用0万元，主要原因是本单位202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年度未发生因公出国（境）费用。</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公务车购置费0万元，主要原因是本</w:t>
      </w:r>
      <w:r>
        <w:rPr>
          <w:rFonts w:hint="eastAsia" w:ascii="方正仿宋_GBK" w:hAnsi="方正仿宋_GBK" w:eastAsia="方正仿宋_GBK" w:cs="方正仿宋_GBK"/>
          <w:sz w:val="32"/>
          <w:szCs w:val="32"/>
          <w:lang w:val="en-US" w:eastAsia="zh-CN"/>
        </w:rPr>
        <w:t>单位</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年度未发生公务车购置费。</w:t>
      </w:r>
    </w:p>
    <w:p>
      <w:pPr>
        <w:spacing w:line="560" w:lineRule="exact"/>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公务车运行维护费30.47万元，主要用于机要文件交换、市内因公出行、国省县道公路养护巡查、农村公路设计检查、交通重点项目建设协调管理、交通行业安全管理、向上争取资金等工作所需车辆的燃料费、维修费、过桥过路费、保险费等费用支出。费用支出较年初预算数减少14.53万元，下降32.29%，主要原因一是按照只减不增的要求从严控制“三公”经费，全年实际支出数较预算数有所下降；二是严格落实公车使用规定，公车运行维护成本有所下降。较上年支出数减少9.19万元，下降23.17%，主要原因是</w:t>
      </w:r>
      <w:r>
        <w:rPr>
          <w:rFonts w:hint="eastAsia" w:ascii="方正仿宋_GBK" w:hAnsi="方正仿宋_GBK" w:eastAsia="方正仿宋_GBK" w:cs="方正仿宋_GBK"/>
          <w:sz w:val="32"/>
          <w:szCs w:val="32"/>
          <w:lang w:val="en-US" w:eastAsia="zh-CN"/>
        </w:rPr>
        <w:t>严格控制公车运行维护成本。</w:t>
      </w:r>
    </w:p>
    <w:p>
      <w:pPr>
        <w:spacing w:line="56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公务接待费0.28万元，主要用于接待内江市东兴区座谈桥梁工作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市公路市务中心座谈工作会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调研川渝毗邻地区普通公路一体化发展工作</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费用支出较年初预算数减少0.02万元，下降6.67%，主要原因是</w:t>
      </w:r>
      <w:r>
        <w:rPr>
          <w:rFonts w:hint="eastAsia" w:ascii="方正仿宋_GBK" w:hAnsi="方正仿宋_GBK" w:eastAsia="方正仿宋_GBK" w:cs="方正仿宋_GBK"/>
          <w:sz w:val="32"/>
          <w:szCs w:val="32"/>
          <w:lang w:val="en-US" w:eastAsia="zh-CN"/>
        </w:rPr>
        <w:t>严格控制公务接待费，</w:t>
      </w:r>
      <w:r>
        <w:rPr>
          <w:rFonts w:hint="eastAsia" w:ascii="方正仿宋_GBK" w:hAnsi="方正仿宋_GBK" w:eastAsia="方正仿宋_GBK" w:cs="方正仿宋_GBK"/>
          <w:sz w:val="32"/>
          <w:szCs w:val="32"/>
        </w:rPr>
        <w:t>较上年支出数增加0.19万元，增长211.11%，主要原因是</w:t>
      </w:r>
      <w:r>
        <w:rPr>
          <w:rFonts w:hint="eastAsia" w:ascii="方正仿宋_GBK" w:hAnsi="方正仿宋_GBK" w:eastAsia="方正仿宋_GBK" w:cs="方正仿宋_GBK"/>
          <w:sz w:val="32"/>
          <w:szCs w:val="32"/>
          <w:lang w:val="en-US" w:eastAsia="zh-CN"/>
        </w:rPr>
        <w:t>本年预算数减少，实际接待人数有所增加。</w:t>
      </w:r>
    </w:p>
    <w:p>
      <w:pPr>
        <w:spacing w:line="560" w:lineRule="exact"/>
        <w:ind w:firstLine="640" w:firstLineChars="200"/>
        <w:jc w:val="both"/>
        <w:rPr>
          <w:rFonts w:hint="eastAsia" w:ascii="方正楷体_GBK" w:eastAsia="方正楷体_GBK" w:cs="Times New Roman"/>
          <w:sz w:val="32"/>
          <w:szCs w:val="32"/>
          <w:lang w:val="en-US" w:eastAsia="zh-CN"/>
        </w:rPr>
      </w:pPr>
      <w:r>
        <w:rPr>
          <w:rFonts w:hint="eastAsia" w:ascii="方正楷体_GBK" w:eastAsia="方正楷体_GBK" w:cs="Times New Roman"/>
          <w:sz w:val="32"/>
          <w:szCs w:val="32"/>
          <w:lang w:val="en-US" w:eastAsia="zh-CN"/>
        </w:rPr>
        <w:t>（三）“三公”经费实物量情况</w:t>
      </w:r>
    </w:p>
    <w:p>
      <w:pPr>
        <w:spacing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2023年度本单位因公出国（境）共计0个团组，0人；公务用车购置0辆，公务车保有量为10辆；国内公务接待3批次20人，其中：国内外事接待0批次，0人；国（境）外公务接待0批次，0人。2023年本单位人均接待费142.4元，车均购置费0万元，车均维护费3.05万元。</w:t>
      </w:r>
    </w:p>
    <w:p>
      <w:pPr>
        <w:spacing w:line="560" w:lineRule="exact"/>
        <w:ind w:firstLine="640" w:firstLineChars="200"/>
        <w:jc w:val="both"/>
        <w:rPr>
          <w:rFonts w:hint="default"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四、其他需要说明的事项</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（一）财政拨款会议费和培训费情况说明</w:t>
      </w:r>
    </w:p>
    <w:p>
      <w:pPr>
        <w:spacing w:line="56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本年度会议费支出0万元，较上年决算数无增减，主要原因是本单位202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年度未发生会议费。本年度培训费支出10.15万元，较上年决算数减少0.5万元，下降4.69%，主要原因是本年死亡及退休9人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培训费减少</w:t>
      </w:r>
      <w:r>
        <w:rPr>
          <w:rFonts w:hint="eastAsia" w:ascii="方正仿宋_GBK" w:hAnsi="方正仿宋_GBK" w:eastAsia="方正仿宋_GBK" w:cs="方正仿宋_GBK"/>
          <w:sz w:val="32"/>
          <w:szCs w:val="32"/>
        </w:rPr>
        <w:t>。</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（二）机关运行经费情况说明</w:t>
      </w:r>
    </w:p>
    <w:p>
      <w:pPr>
        <w:spacing w:line="56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按照部门决算列报口径，我单位不在机关运行经费统计范围之内。</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截至2023年12月31日，本单位共有车辆11辆，其中，副部（省）级及以上领导用车0辆、主要负责人用车0辆、机要通信用车0辆、应急保障用车6辆、执法执勤用车0辆，特种专业技术用车5辆，离退休干部用车0辆。单价100万元（含）以上专用设备0台（套）。</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bidi="ar-SA"/>
        </w:rPr>
      </w:pPr>
      <w:r>
        <w:rPr>
          <w:rFonts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sz w:val="32"/>
          <w:szCs w:val="32"/>
          <w:lang w:val="en-US" w:eastAsia="zh-CN" w:bidi="ar-SA"/>
        </w:rPr>
        <w:t xml:space="preserve"> 2023年度本单位政府采购支出总额15604.4万元，其中：政府采购货物支出0万元、政府采购工程支出15585.6万元、政府采购服务支出18.8万元。授予中小企业合同金额922.04万元，占政府采购支出总额的5.91%，其中：授予小微企业合同金额891.24万元，占政府采购支出总额的5.71 %。主要用于采购G348荣昌区安富至四川界段改建工程、畜牧科技产业大道一期（S303城区至双河段新建工程一期）工程、荣昌区公路桥梁维护服务费，荣昌区公路养护服务、S548龙荣路（新峰加油站至荣吴路口）预防性养护工程监理服务费等支出。</w:t>
      </w:r>
    </w:p>
    <w:p>
      <w:pPr>
        <w:spacing w:line="560" w:lineRule="exact"/>
        <w:ind w:firstLine="640" w:firstLineChars="200"/>
        <w:jc w:val="both"/>
        <w:rPr>
          <w:rFonts w:hint="default" w:ascii="方正黑体_GBK" w:eastAsia="方正黑体_GBK" w:cs="Times New Roman"/>
          <w:sz w:val="32"/>
          <w:szCs w:val="32"/>
          <w:lang w:val="en-US" w:eastAsia="zh-CN"/>
        </w:rPr>
      </w:pPr>
      <w:r>
        <w:rPr>
          <w:rFonts w:hint="eastAsia" w:ascii="方正黑体_GBK" w:eastAsia="方正黑体_GBK" w:cs="Times New Roman"/>
          <w:sz w:val="32"/>
          <w:szCs w:val="32"/>
          <w:lang w:val="en-US" w:eastAsia="zh-CN"/>
        </w:rPr>
        <w:t>五、预算绩效管理情况说明</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（一）单位自评情况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val="en-US" w:eastAsia="zh-CN" w:bidi="ar-SA"/>
        </w:rPr>
      </w:pPr>
      <w:r>
        <w:rPr>
          <w:rFonts w:hint="eastAsia" w:ascii="方正仿宋_GBK" w:hAnsi="方正仿宋_GBK" w:eastAsia="方正仿宋_GBK" w:cs="方正仿宋_GBK"/>
          <w:sz w:val="32"/>
          <w:szCs w:val="32"/>
          <w:lang w:val="en-US" w:eastAsia="zh-CN" w:bidi="ar-SA"/>
        </w:rPr>
        <w:t>根据预算绩效管理要求，我单位对24个二级项目开展了绩效自评，涉及财政拨款项目支出资金10232.11万元。（详见部门决算公开表）</w:t>
      </w:r>
    </w:p>
    <w:p>
      <w:pPr>
        <w:spacing w:line="560" w:lineRule="exact"/>
        <w:ind w:firstLine="640" w:firstLineChars="200"/>
        <w:jc w:val="both"/>
        <w:rPr>
          <w:rFonts w:hint="eastAsia" w:ascii="方正楷体_GBK" w:eastAsia="方正楷体_GBK" w:cs="Times New Roman"/>
          <w:sz w:val="32"/>
          <w:szCs w:val="32"/>
        </w:rPr>
      </w:pPr>
      <w:r>
        <w:rPr>
          <w:rFonts w:hint="eastAsia" w:ascii="方正楷体_GBK" w:eastAsia="方正楷体_GBK" w:cs="Times New Roman"/>
          <w:sz w:val="32"/>
          <w:szCs w:val="32"/>
        </w:rPr>
        <w:t>（二）单位绩效评价情况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6"/>
        <w:snapToGrid w:val="0"/>
        <w:spacing w:before="0" w:beforeAutospacing="0" w:after="0" w:afterAutospacing="0" w:line="600" w:lineRule="exact"/>
        <w:ind w:firstLine="640" w:firstLineChars="200"/>
        <w:jc w:val="both"/>
        <w:rPr>
          <w:rFonts w:hint="default" w:ascii="方正黑体_GBK" w:hAnsi="宋体" w:eastAsia="方正黑体_GBK" w:cs="Times New Roman"/>
          <w:sz w:val="32"/>
          <w:szCs w:val="32"/>
          <w:lang w:val="en-US" w:eastAsia="zh-CN" w:bidi="ar-SA"/>
        </w:rPr>
      </w:pPr>
      <w:r>
        <w:rPr>
          <w:rFonts w:hint="eastAsia" w:ascii="方正黑体_GBK" w:hAnsi="宋体" w:eastAsia="方正黑体_GBK" w:cs="Times New Roman"/>
          <w:sz w:val="32"/>
          <w:szCs w:val="32"/>
          <w:lang w:val="en-US" w:eastAsia="zh-CN" w:bidi="ar-SA"/>
        </w:rPr>
        <w:t>六、专业名词解释</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eastAsia" w:ascii="方正楷体_GBK" w:hAnsi="宋体" w:eastAsia="方正楷体_GBK" w:cs="Times New Roman"/>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napToGrid w:val="0"/>
        <w:spacing w:before="0" w:beforeAutospacing="0" w:after="0" w:afterAutospacing="0" w:line="600"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spacing w:line="56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rPr>
        <w:t xml:space="preserve">刘作琴 </w:t>
      </w:r>
      <w:r>
        <w:rPr>
          <w:rFonts w:hint="eastAsia" w:eastAsia="方正仿宋_GBK"/>
          <w:sz w:val="32"/>
          <w:szCs w:val="32"/>
        </w:rPr>
        <w:t>  </w:t>
      </w:r>
      <w:r>
        <w:rPr>
          <w:rFonts w:hint="eastAsia" w:ascii="方正仿宋_GBK" w:eastAsia="方正仿宋_GBK"/>
          <w:sz w:val="32"/>
          <w:szCs w:val="32"/>
        </w:rPr>
        <w:t xml:space="preserve"> 023-46746250</w:t>
      </w: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p>
      <w:pPr>
        <w:pStyle w:val="6"/>
        <w:snapToGrid w:val="0"/>
        <w:spacing w:before="0" w:beforeAutospacing="0" w:after="0" w:afterAutospacing="0" w:line="600" w:lineRule="exact"/>
        <w:ind w:firstLine="643" w:firstLineChars="200"/>
        <w:jc w:val="both"/>
        <w:rPr>
          <w:rStyle w:val="10"/>
          <w:rFonts w:ascii="方正仿宋_GBK" w:hAnsi="方正仿宋_GBK" w:eastAsia="方正仿宋_GBK" w:cs="方正仿宋_GBK"/>
          <w:sz w:val="32"/>
          <w:szCs w:val="32"/>
          <w:shd w:val="clear" w:color="auto" w:fill="FFFF00"/>
        </w:rPr>
      </w:pPr>
    </w:p>
    <w:tbl>
      <w:tblPr>
        <w:tblStyle w:val="7"/>
        <w:tblpPr w:leftFromText="180" w:rightFromText="180" w:vertAnchor="text" w:horzAnchor="page" w:tblpXSpec="center" w:tblpY="227"/>
        <w:tblOverlap w:val="never"/>
        <w:tblW w:w="10803" w:type="dxa"/>
        <w:jc w:val="center"/>
        <w:shd w:val="clear" w:color="auto" w:fill="FFFFFF" w:themeFill="background1"/>
        <w:tblLayout w:type="fixed"/>
        <w:tblCellMar>
          <w:top w:w="0" w:type="dxa"/>
          <w:left w:w="0" w:type="dxa"/>
          <w:bottom w:w="0" w:type="dxa"/>
          <w:right w:w="0" w:type="dxa"/>
        </w:tblCellMar>
      </w:tblPr>
      <w:tblGrid>
        <w:gridCol w:w="3594"/>
        <w:gridCol w:w="1418"/>
        <w:gridCol w:w="3375"/>
        <w:gridCol w:w="1"/>
        <w:gridCol w:w="2415"/>
      </w:tblGrid>
      <w:tr>
        <w:tblPrEx>
          <w:tblCellMar>
            <w:top w:w="0" w:type="dxa"/>
            <w:left w:w="0" w:type="dxa"/>
            <w:bottom w:w="0" w:type="dxa"/>
            <w:right w:w="0" w:type="dxa"/>
          </w:tblCellMar>
        </w:tblPrEx>
        <w:trPr>
          <w:trHeight w:val="440" w:hRule="atLeast"/>
          <w:jc w:val="center"/>
        </w:trPr>
        <w:tc>
          <w:tcPr>
            <w:tcW w:w="10803"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322" w:hRule="atLeast"/>
          <w:jc w:val="center"/>
        </w:trPr>
        <w:tc>
          <w:tcPr>
            <w:tcW w:w="359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337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4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322" w:hRule="atLeast"/>
          <w:jc w:val="center"/>
        </w:trPr>
        <w:tc>
          <w:tcPr>
            <w:tcW w:w="359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u w:color="auto"/>
              </w:rPr>
              <w:t>重庆市荣昌区交通工程建设中心</w:t>
            </w:r>
          </w:p>
        </w:tc>
        <w:tc>
          <w:tcPr>
            <w:tcW w:w="1418"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3376"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241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15" w:hRule="atLeast"/>
          <w:jc w:val="center"/>
        </w:trPr>
        <w:tc>
          <w:tcPr>
            <w:tcW w:w="501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5791" w:type="dxa"/>
            <w:gridSpan w:val="3"/>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8,223.16</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4,354.42</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1418" w:type="dxa"/>
            <w:tcBorders>
              <w:top w:val="nil"/>
              <w:left w:val="nil"/>
              <w:bottom w:val="nil"/>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600.83</w:t>
            </w:r>
            <w:r>
              <w:rPr>
                <w:color w:val="000000"/>
                <w:sz w:val="20"/>
                <w:u w:color="auto"/>
              </w:rPr>
              <w:t xml:space="preserve"> </w:t>
            </w:r>
          </w:p>
        </w:tc>
      </w:tr>
      <w:tr>
        <w:tblPrEx>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82.90</w:t>
            </w:r>
            <w:r>
              <w:rPr>
                <w:color w:val="000000"/>
                <w:sz w:val="20"/>
                <w:u w:color="auto"/>
              </w:rPr>
              <w:t xml:space="preserve"> </w:t>
            </w:r>
          </w:p>
        </w:tc>
      </w:tr>
      <w:tr>
        <w:tblPrEx>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4,354.42</w:t>
            </w:r>
            <w:r>
              <w:rPr>
                <w:color w:val="000000"/>
                <w:sz w:val="20"/>
                <w:u w:color="auto"/>
              </w:rPr>
              <w:t xml:space="preserve"> </w:t>
            </w:r>
          </w:p>
        </w:tc>
      </w:tr>
      <w:tr>
        <w:tblPrEx>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1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7,450.97</w:t>
            </w: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rPr>
                <w:rFonts w:hint="default" w:cs="宋体"/>
                <w:b/>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rPr>
                <w:rFonts w:hint="default" w:cs="宋体"/>
                <w:color w:val="000000"/>
                <w:sz w:val="20"/>
                <w:szCs w:val="20"/>
              </w:rPr>
            </w:pP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12,577.59</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12,581.33</w:t>
            </w: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2416"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85"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141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1,323.04</w:t>
            </w:r>
            <w:r>
              <w:rPr>
                <w:color w:val="000000"/>
                <w:sz w:val="20"/>
                <w:u w:color="auto"/>
              </w:rPr>
              <w:t xml:space="preserve"> </w:t>
            </w:r>
          </w:p>
        </w:tc>
        <w:tc>
          <w:tcPr>
            <w:tcW w:w="337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2416" w:type="dxa"/>
            <w:gridSpan w:val="2"/>
            <w:tcBorders>
              <w:top w:val="nil"/>
              <w:left w:val="nil"/>
              <w:bottom w:val="single" w:color="auto"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1,319.30</w:t>
            </w:r>
            <w:r>
              <w:rPr>
                <w:color w:val="000000"/>
                <w:sz w:val="20"/>
                <w:u w:color="auto"/>
              </w:rPr>
              <w:t xml:space="preserve"> </w:t>
            </w:r>
          </w:p>
        </w:tc>
      </w:tr>
      <w:tr>
        <w:tblPrEx>
          <w:tblCellMar>
            <w:top w:w="0" w:type="dxa"/>
            <w:left w:w="0" w:type="dxa"/>
            <w:bottom w:w="0" w:type="dxa"/>
            <w:right w:w="0" w:type="dxa"/>
          </w:tblCellMar>
        </w:tblPrEx>
        <w:trPr>
          <w:trHeight w:val="354" w:hRule="atLeast"/>
          <w:jc w:val="center"/>
        </w:trPr>
        <w:tc>
          <w:tcPr>
            <w:tcW w:w="359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13,900.62</w:t>
            </w:r>
            <w:r>
              <w:rPr>
                <w:color w:val="000000"/>
                <w:sz w:val="20"/>
                <w:u w:color="auto"/>
              </w:rPr>
              <w:t xml:space="preserve"> </w:t>
            </w:r>
          </w:p>
        </w:tc>
        <w:tc>
          <w:tcPr>
            <w:tcW w:w="3375" w:type="dxa"/>
            <w:tcBorders>
              <w:top w:val="nil"/>
              <w:left w:val="nil"/>
              <w:bottom w:val="single" w:color="000000"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416" w:type="dxa"/>
            <w:gridSpan w:val="2"/>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13,900.62</w:t>
            </w:r>
            <w:r>
              <w:rPr>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0700" w:type="dxa"/>
        <w:jc w:val="center"/>
        <w:shd w:val="clear" w:color="auto" w:fill="FFFFFF" w:themeFill="background1"/>
        <w:tblLayout w:type="fixed"/>
        <w:tblCellMar>
          <w:top w:w="0" w:type="dxa"/>
          <w:left w:w="0" w:type="dxa"/>
          <w:bottom w:w="0" w:type="dxa"/>
          <w:right w:w="0" w:type="dxa"/>
        </w:tblCellMar>
      </w:tblPr>
      <w:tblGrid>
        <w:gridCol w:w="1184"/>
        <w:gridCol w:w="2207"/>
        <w:gridCol w:w="858"/>
        <w:gridCol w:w="858"/>
        <w:gridCol w:w="857"/>
        <w:gridCol w:w="858"/>
        <w:gridCol w:w="1"/>
        <w:gridCol w:w="950"/>
        <w:gridCol w:w="909"/>
        <w:gridCol w:w="1002"/>
        <w:gridCol w:w="1016"/>
      </w:tblGrid>
      <w:tr>
        <w:tblPrEx>
          <w:tblCellMar>
            <w:top w:w="0" w:type="dxa"/>
            <w:left w:w="0" w:type="dxa"/>
            <w:bottom w:w="0" w:type="dxa"/>
            <w:right w:w="0" w:type="dxa"/>
          </w:tblCellMar>
        </w:tblPrEx>
        <w:trPr>
          <w:trHeight w:val="672" w:hRule="atLeast"/>
          <w:jc w:val="center"/>
        </w:trPr>
        <w:tc>
          <w:tcPr>
            <w:tcW w:w="10700" w:type="dxa"/>
            <w:gridSpan w:val="11"/>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45" w:hRule="atLeast"/>
          <w:jc w:val="center"/>
        </w:trPr>
        <w:tc>
          <w:tcPr>
            <w:tcW w:w="3391"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重庆市荣昌区交通工程建设中心</w:t>
            </w: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51"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0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16"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45" w:hRule="atLeast"/>
          <w:jc w:val="center"/>
        </w:trPr>
        <w:tc>
          <w:tcPr>
            <w:tcW w:w="3391"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8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51"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909"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0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016"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59" w:hRule="atLeast"/>
          <w:jc w:val="center"/>
        </w:trPr>
        <w:tc>
          <w:tcPr>
            <w:tcW w:w="3391" w:type="dxa"/>
            <w:gridSpan w:val="2"/>
            <w:tcBorders>
              <w:top w:val="single" w:color="000000" w:sz="4" w:space="0"/>
              <w:left w:val="single" w:color="000000" w:sz="4" w:space="0"/>
              <w:bottom w:val="single" w:color="000000" w:sz="4" w:space="0"/>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858"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180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00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61" w:hRule="atLeast"/>
          <w:jc w:val="center"/>
        </w:trPr>
        <w:tc>
          <w:tcPr>
            <w:tcW w:w="1184"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207"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1" w:hRule="atLeast"/>
          <w:jc w:val="center"/>
        </w:trPr>
        <w:tc>
          <w:tcPr>
            <w:tcW w:w="1184"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207"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1" w:hRule="atLeast"/>
          <w:jc w:val="center"/>
        </w:trPr>
        <w:tc>
          <w:tcPr>
            <w:tcW w:w="1184"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207"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1" w:hRule="atLeast"/>
          <w:jc w:val="center"/>
        </w:trPr>
        <w:tc>
          <w:tcPr>
            <w:tcW w:w="1184"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207"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8"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85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0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5" w:hRule="atLeast"/>
          <w:jc w:val="center"/>
        </w:trPr>
        <w:tc>
          <w:tcPr>
            <w:tcW w:w="339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8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12,577.59</w:t>
            </w:r>
            <w:r>
              <w:rPr>
                <w:b/>
                <w:color w:val="000000"/>
                <w:sz w:val="20"/>
                <w:u w:color="auto"/>
              </w:rPr>
              <w:t xml:space="preserve"> </w:t>
            </w:r>
          </w:p>
        </w:tc>
        <w:tc>
          <w:tcPr>
            <w:tcW w:w="8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12,577.59</w:t>
            </w:r>
            <w:r>
              <w:rPr>
                <w:b/>
                <w:color w:val="000000"/>
                <w:sz w:val="20"/>
                <w:u w:color="auto"/>
              </w:rPr>
              <w:t xml:space="preserve"> </w:t>
            </w:r>
          </w:p>
        </w:tc>
        <w:tc>
          <w:tcPr>
            <w:tcW w:w="8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859"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5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90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0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016"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7,447.23</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7,447.23</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6,269.82</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6,269.82</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1,797.81</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1,797.81</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682"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7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5" w:hRule="atLeast"/>
          <w:jc w:val="center"/>
        </w:trPr>
        <w:tc>
          <w:tcPr>
            <w:tcW w:w="1184"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20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858"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8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85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5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909"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0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0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0680" w:type="dxa"/>
        <w:jc w:val="center"/>
        <w:shd w:val="clear" w:color="auto" w:fill="FFFFFF" w:themeFill="background1"/>
        <w:tblLayout w:type="fixed"/>
        <w:tblCellMar>
          <w:top w:w="0" w:type="dxa"/>
          <w:left w:w="0" w:type="dxa"/>
          <w:bottom w:w="0" w:type="dxa"/>
          <w:right w:w="0" w:type="dxa"/>
        </w:tblCellMar>
      </w:tblPr>
      <w:tblGrid>
        <w:gridCol w:w="1252"/>
        <w:gridCol w:w="2330"/>
        <w:gridCol w:w="1182"/>
        <w:gridCol w:w="1181"/>
        <w:gridCol w:w="1181"/>
        <w:gridCol w:w="1170"/>
        <w:gridCol w:w="1171"/>
        <w:gridCol w:w="1213"/>
      </w:tblGrid>
      <w:tr>
        <w:tblPrEx>
          <w:tblCellMar>
            <w:top w:w="0" w:type="dxa"/>
            <w:left w:w="0" w:type="dxa"/>
            <w:bottom w:w="0" w:type="dxa"/>
            <w:right w:w="0" w:type="dxa"/>
          </w:tblCellMar>
        </w:tblPrEx>
        <w:trPr>
          <w:trHeight w:val="673" w:hRule="atLeast"/>
          <w:jc w:val="center"/>
        </w:trPr>
        <w:tc>
          <w:tcPr>
            <w:tcW w:w="1068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59" w:hRule="atLeast"/>
          <w:jc w:val="center"/>
        </w:trPr>
        <w:tc>
          <w:tcPr>
            <w:tcW w:w="358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重庆市荣昌区交通工程建设中心 </w:t>
            </w:r>
          </w:p>
        </w:tc>
        <w:tc>
          <w:tcPr>
            <w:tcW w:w="11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13"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59" w:hRule="atLeast"/>
          <w:jc w:val="center"/>
        </w:trPr>
        <w:tc>
          <w:tcPr>
            <w:tcW w:w="3582"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2"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8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0"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7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13"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89" w:hRule="atLeast"/>
          <w:jc w:val="center"/>
        </w:trPr>
        <w:tc>
          <w:tcPr>
            <w:tcW w:w="35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18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170"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21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65" w:hRule="atLeast"/>
          <w:jc w:val="center"/>
        </w:trPr>
        <w:tc>
          <w:tcPr>
            <w:tcW w:w="1252" w:type="dxa"/>
            <w:vMerge w:val="restart"/>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330" w:type="dxa"/>
            <w:vMerge w:val="restart"/>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5" w:hRule="atLeast"/>
          <w:jc w:val="center"/>
        </w:trPr>
        <w:tc>
          <w:tcPr>
            <w:tcW w:w="125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3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5" w:hRule="atLeast"/>
          <w:jc w:val="center"/>
        </w:trPr>
        <w:tc>
          <w:tcPr>
            <w:tcW w:w="125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3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5" w:hRule="atLeast"/>
          <w:jc w:val="center"/>
        </w:trPr>
        <w:tc>
          <w:tcPr>
            <w:tcW w:w="1252" w:type="dxa"/>
            <w:vMerge w:val="continue"/>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2330" w:type="dxa"/>
            <w:vMerge w:val="continue"/>
            <w:tcBorders>
              <w:top w:val="nil"/>
              <w:left w:val="nil"/>
              <w:bottom w:val="single" w:color="000000" w:sz="4" w:space="0"/>
              <w:right w:val="nil"/>
            </w:tcBorders>
            <w:shd w:val="clear" w:color="auto" w:fill="FFFFFF" w:themeFill="background1"/>
            <w:noWrap/>
            <w:tcMar>
              <w:top w:w="15" w:type="dxa"/>
              <w:left w:w="15" w:type="dxa"/>
              <w:right w:w="15" w:type="dxa"/>
            </w:tcMar>
            <w:vAlign w:val="center"/>
          </w:tcPr>
          <w:p>
            <w:pPr>
              <w:jc w:val="center"/>
              <w:rPr>
                <w:rFonts w:hint="default" w:cs="宋体"/>
                <w:b/>
                <w:color w:val="000000"/>
                <w:sz w:val="20"/>
                <w:szCs w:val="20"/>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0"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1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89" w:hRule="atLeast"/>
          <w:jc w:val="center"/>
        </w:trPr>
        <w:tc>
          <w:tcPr>
            <w:tcW w:w="358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82"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12,581.33</w:t>
            </w:r>
            <w:r>
              <w:rPr>
                <w:b/>
                <w:color w:val="000000"/>
                <w:sz w:val="20"/>
                <w:u w:color="auto"/>
              </w:rPr>
              <w:t xml:space="preserve"> </w:t>
            </w:r>
          </w:p>
        </w:tc>
        <w:tc>
          <w:tcPr>
            <w:tcW w:w="11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2,345.48</w:t>
            </w:r>
            <w:r>
              <w:rPr>
                <w:b/>
                <w:color w:val="000000"/>
                <w:sz w:val="20"/>
                <w:u w:color="auto"/>
              </w:rPr>
              <w:t xml:space="preserve"> </w:t>
            </w:r>
          </w:p>
        </w:tc>
        <w:tc>
          <w:tcPr>
            <w:tcW w:w="118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10,235.85</w:t>
            </w:r>
            <w:r>
              <w:rPr>
                <w:b/>
                <w:color w:val="000000"/>
                <w:sz w:val="20"/>
                <w:u w:color="auto"/>
              </w:rPr>
              <w:t xml:space="preserve"> </w:t>
            </w:r>
          </w:p>
        </w:tc>
        <w:tc>
          <w:tcPr>
            <w:tcW w:w="117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7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10.15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600.83</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109.31</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90.24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401.28</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82.90</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57.96</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24.94</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4,354.42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4,321.00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681"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其他国有土地使用权出让收入安排的支出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33.42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7,450.97</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1,569.55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5,881.42</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6,273.56</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1,569.55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4,704.01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2,980.19</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1,491.82</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1,801.55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1,569.55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232.00</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1,177.41</w:t>
            </w:r>
            <w:r>
              <w:rPr>
                <w:b/>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681"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1,177.41</w:t>
            </w: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0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82.05</w:t>
            </w:r>
            <w:r>
              <w:rPr>
                <w:b/>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419" w:hRule="atLeast"/>
          <w:jc w:val="center"/>
        </w:trPr>
        <w:tc>
          <w:tcPr>
            <w:tcW w:w="1252"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330"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18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82.05</w:t>
            </w:r>
            <w:r>
              <w:rPr>
                <w:color w:val="000000"/>
                <w:sz w:val="20"/>
                <w:u w:color="auto"/>
              </w:rPr>
              <w:t xml:space="preserve"> </w:t>
            </w:r>
          </w:p>
        </w:tc>
        <w:tc>
          <w:tcPr>
            <w:tcW w:w="11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17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12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hint="default" w:cs="宋体"/>
          <w:sz w:val="21"/>
          <w:szCs w:val="21"/>
        </w:rPr>
      </w:pPr>
    </w:p>
    <w:tbl>
      <w:tblPr>
        <w:tblStyle w:val="7"/>
        <w:tblW w:w="10540" w:type="dxa"/>
        <w:jc w:val="center"/>
        <w:shd w:val="clear" w:color="auto" w:fill="FFFFFF" w:themeFill="background1"/>
        <w:tblLayout w:type="fixed"/>
        <w:tblCellMar>
          <w:top w:w="0" w:type="dxa"/>
          <w:left w:w="0" w:type="dxa"/>
          <w:bottom w:w="0" w:type="dxa"/>
          <w:right w:w="0" w:type="dxa"/>
        </w:tblCellMar>
      </w:tblPr>
      <w:tblGrid>
        <w:gridCol w:w="2131"/>
        <w:gridCol w:w="1092"/>
        <w:gridCol w:w="2283"/>
        <w:gridCol w:w="1216"/>
        <w:gridCol w:w="1216"/>
        <w:gridCol w:w="1"/>
        <w:gridCol w:w="1216"/>
        <w:gridCol w:w="1385"/>
      </w:tblGrid>
      <w:tr>
        <w:tblPrEx>
          <w:tblCellMar>
            <w:top w:w="0" w:type="dxa"/>
            <w:left w:w="0" w:type="dxa"/>
            <w:bottom w:w="0" w:type="dxa"/>
            <w:right w:w="0" w:type="dxa"/>
          </w:tblCellMar>
        </w:tblPrEx>
        <w:trPr>
          <w:trHeight w:val="439" w:hRule="atLeast"/>
          <w:jc w:val="center"/>
        </w:trPr>
        <w:tc>
          <w:tcPr>
            <w:tcW w:w="1054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shd w:val="clear" w:color="auto" w:fill="FFFFFF" w:themeFill="background1"/>
          <w:tblCellMar>
            <w:top w:w="0" w:type="dxa"/>
            <w:left w:w="0" w:type="dxa"/>
            <w:bottom w:w="0" w:type="dxa"/>
            <w:right w:w="0" w:type="dxa"/>
          </w:tblCellMar>
        </w:tblPrEx>
        <w:trPr>
          <w:trHeight w:val="275" w:hRule="atLeast"/>
          <w:jc w:val="center"/>
        </w:trPr>
        <w:tc>
          <w:tcPr>
            <w:tcW w:w="3223"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228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7"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8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shd w:val="clear" w:color="auto" w:fill="FFFFFF" w:themeFill="background1"/>
          <w:tblCellMar>
            <w:top w:w="0" w:type="dxa"/>
            <w:left w:w="0" w:type="dxa"/>
            <w:bottom w:w="0" w:type="dxa"/>
            <w:right w:w="0" w:type="dxa"/>
          </w:tblCellMar>
        </w:tblPrEx>
        <w:trPr>
          <w:trHeight w:val="316" w:hRule="atLeast"/>
          <w:jc w:val="center"/>
        </w:trPr>
        <w:tc>
          <w:tcPr>
            <w:tcW w:w="3223"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7"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8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CellMar>
            <w:top w:w="0" w:type="dxa"/>
            <w:left w:w="0" w:type="dxa"/>
            <w:bottom w:w="0" w:type="dxa"/>
            <w:right w:w="0" w:type="dxa"/>
          </w:tblCellMar>
        </w:tblPrEx>
        <w:trPr>
          <w:trHeight w:val="255" w:hRule="atLeast"/>
          <w:jc w:val="center"/>
        </w:trPr>
        <w:tc>
          <w:tcPr>
            <w:tcW w:w="322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7317" w:type="dxa"/>
            <w:gridSpan w:val="6"/>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228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5034" w:type="dxa"/>
            <w:gridSpan w:val="5"/>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shd w:val="clear" w:color="auto" w:fill="FFFFFF" w:themeFill="background1"/>
          <w:tblCellMar>
            <w:top w:w="0" w:type="dxa"/>
            <w:left w:w="0" w:type="dxa"/>
            <w:bottom w:w="0" w:type="dxa"/>
            <w:right w:w="0" w:type="dxa"/>
          </w:tblCellMar>
        </w:tblPrEx>
        <w:trPr>
          <w:trHeight w:val="460" w:hRule="atLeast"/>
          <w:jc w:val="center"/>
        </w:trPr>
        <w:tc>
          <w:tcPr>
            <w:tcW w:w="21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28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8,223.16</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600.83</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600.83</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82.90</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82.90</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7,447.23</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7,447.23</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8,223.16</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shd w:val="clear" w:color="auto" w:fill="FFFFFF" w:themeFill="background1"/>
          <w:tblCellMar>
            <w:top w:w="0" w:type="dxa"/>
            <w:left w:w="0" w:type="dxa"/>
            <w:bottom w:w="0" w:type="dxa"/>
            <w:right w:w="0" w:type="dxa"/>
          </w:tblCellMar>
        </w:tblPrEx>
        <w:trPr>
          <w:trHeight w:val="25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CellMar>
            <w:top w:w="0" w:type="dxa"/>
            <w:left w:w="0" w:type="dxa"/>
            <w:bottom w:w="0" w:type="dxa"/>
            <w:right w:w="0" w:type="dxa"/>
          </w:tblCellMar>
        </w:tblPrEx>
        <w:trPr>
          <w:trHeight w:val="428"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shd w:val="clear" w:color="auto" w:fill="FFFFFF" w:themeFill="background1"/>
          <w:tblCellMar>
            <w:top w:w="0" w:type="dxa"/>
            <w:left w:w="0" w:type="dxa"/>
            <w:bottom w:w="0" w:type="dxa"/>
            <w:right w:w="0" w:type="dxa"/>
          </w:tblCellMar>
        </w:tblPrEx>
        <w:trPr>
          <w:trHeight w:val="275" w:hRule="atLeast"/>
          <w:jc w:val="center"/>
        </w:trPr>
        <w:tc>
          <w:tcPr>
            <w:tcW w:w="213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092"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228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12,577.59</w:t>
            </w:r>
            <w:r>
              <w:rPr>
                <w:color w:val="000000"/>
                <w:sz w:val="18"/>
                <w:u w:color="auto"/>
              </w:rPr>
              <w:t xml:space="preserve"> </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8,223.16</w:t>
            </w:r>
            <w:r>
              <w:rPr>
                <w:color w:val="000000"/>
                <w:sz w:val="18"/>
                <w:u w:color="auto"/>
              </w:rPr>
              <w:t xml:space="preserve"> </w:t>
            </w:r>
          </w:p>
        </w:tc>
        <w:tc>
          <w:tcPr>
            <w:tcW w:w="1216"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4,354.42</w:t>
            </w:r>
            <w:r>
              <w:rPr>
                <w:color w:val="000000"/>
                <w:sz w:val="18"/>
                <w:u w:color="auto"/>
              </w:rPr>
              <w:t xml:space="preserve"> </w:t>
            </w:r>
          </w:p>
        </w:tc>
        <w:tc>
          <w:tcPr>
            <w:tcW w:w="138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cs="宋体"/>
          <w:sz w:val="20"/>
          <w:szCs w:val="20"/>
        </w:rPr>
      </w:pPr>
      <w:r>
        <w:rPr>
          <w:rFonts w:cs="宋体"/>
          <w:sz w:val="20"/>
          <w:szCs w:val="20"/>
        </w:rPr>
        <w:t>备注：1.本表反映单位本年度一般公共预算财政拨款、政府性基金预算财政拨款及国有资本经营预算财政拨款的总收支</w:t>
      </w:r>
    </w:p>
    <w:p>
      <w:pPr>
        <w:spacing w:line="240" w:lineRule="exact"/>
        <w:rPr>
          <w:rFonts w:hint="default" w:cs="宋体"/>
          <w:sz w:val="20"/>
          <w:szCs w:val="20"/>
        </w:rPr>
      </w:pPr>
      <w:r>
        <w:rPr>
          <w:rFonts w:cs="宋体"/>
          <w:sz w:val="20"/>
          <w:szCs w:val="20"/>
        </w:rPr>
        <w:t>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460" w:type="dxa"/>
        <w:jc w:val="center"/>
        <w:shd w:val="clear" w:color="auto" w:fill="FFFFFF" w:themeFill="background1"/>
        <w:tblLayout w:type="fixed"/>
        <w:tblCellMar>
          <w:top w:w="0" w:type="dxa"/>
          <w:left w:w="0" w:type="dxa"/>
          <w:bottom w:w="0" w:type="dxa"/>
          <w:right w:w="0" w:type="dxa"/>
        </w:tblCellMar>
      </w:tblPr>
      <w:tblGrid>
        <w:gridCol w:w="1263"/>
        <w:gridCol w:w="2414"/>
        <w:gridCol w:w="2258"/>
        <w:gridCol w:w="2257"/>
        <w:gridCol w:w="2268"/>
      </w:tblGrid>
      <w:tr>
        <w:tblPrEx>
          <w:shd w:val="clear" w:color="auto" w:fill="FFFFFF" w:themeFill="background1"/>
          <w:tblCellMar>
            <w:top w:w="0" w:type="dxa"/>
            <w:left w:w="0" w:type="dxa"/>
            <w:bottom w:w="0" w:type="dxa"/>
            <w:right w:w="0" w:type="dxa"/>
          </w:tblCellMar>
        </w:tblPrEx>
        <w:trPr>
          <w:trHeight w:val="690" w:hRule="atLeast"/>
          <w:jc w:val="center"/>
        </w:trPr>
        <w:tc>
          <w:tcPr>
            <w:tcW w:w="10460"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shd w:val="clear" w:color="auto" w:fill="FFFFFF" w:themeFill="background1"/>
          <w:tblCellMar>
            <w:top w:w="0" w:type="dxa"/>
            <w:left w:w="0" w:type="dxa"/>
            <w:bottom w:w="0" w:type="dxa"/>
            <w:right w:w="0" w:type="dxa"/>
          </w:tblCellMar>
        </w:tblPrEx>
        <w:trPr>
          <w:trHeight w:val="352" w:hRule="atLeast"/>
          <w:jc w:val="center"/>
        </w:trPr>
        <w:tc>
          <w:tcPr>
            <w:tcW w:w="3677"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22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6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shd w:val="clear" w:color="auto" w:fill="FFFFFF" w:themeFill="background1"/>
          <w:tblCellMar>
            <w:top w:w="0" w:type="dxa"/>
            <w:left w:w="0" w:type="dxa"/>
            <w:bottom w:w="0" w:type="dxa"/>
            <w:right w:w="0" w:type="dxa"/>
          </w:tblCellMar>
        </w:tblPrEx>
        <w:trPr>
          <w:trHeight w:val="352" w:hRule="atLeast"/>
          <w:jc w:val="center"/>
        </w:trPr>
        <w:tc>
          <w:tcPr>
            <w:tcW w:w="3677"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58"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57"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68"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CellMar>
            <w:top w:w="0" w:type="dxa"/>
            <w:left w:w="0" w:type="dxa"/>
            <w:bottom w:w="0" w:type="dxa"/>
            <w:right w:w="0" w:type="dxa"/>
          </w:tblCellMar>
        </w:tblPrEx>
        <w:trPr>
          <w:trHeight w:val="363" w:hRule="atLeast"/>
          <w:jc w:val="center"/>
        </w:trPr>
        <w:tc>
          <w:tcPr>
            <w:tcW w:w="36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6783"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41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225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2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268"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6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CellMar>
            <w:top w:w="0" w:type="dxa"/>
            <w:left w:w="0" w:type="dxa"/>
            <w:bottom w:w="0" w:type="dxa"/>
            <w:right w:w="0" w:type="dxa"/>
          </w:tblCellMar>
        </w:tblPrEx>
        <w:trPr>
          <w:trHeight w:val="651" w:hRule="atLeast"/>
          <w:jc w:val="center"/>
        </w:trPr>
        <w:tc>
          <w:tcPr>
            <w:tcW w:w="1263"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268"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CellMar>
            <w:top w:w="0" w:type="dxa"/>
            <w:left w:w="0" w:type="dxa"/>
            <w:bottom w:w="0" w:type="dxa"/>
            <w:right w:w="0" w:type="dxa"/>
          </w:tblCellMar>
        </w:tblPrEx>
        <w:trPr>
          <w:trHeight w:val="352" w:hRule="atLeast"/>
          <w:jc w:val="center"/>
        </w:trPr>
        <w:tc>
          <w:tcPr>
            <w:tcW w:w="3677"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8,223.16</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2,345.48</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5,877.68</w:t>
            </w:r>
            <w:r>
              <w:rPr>
                <w:b/>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10.15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10.15</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10.15</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600.83</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109.31</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109.31</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90.24</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90.24</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401.28</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401.28</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82.90</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57.96</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57.96</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24.94</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24.94</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交通运输支出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7,447.23</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1,569.55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5,877.68</w:t>
            </w:r>
            <w:r>
              <w:rPr>
                <w:b/>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公路水路运输</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6,269.82</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1,569.55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4,700.27</w:t>
            </w:r>
            <w:r>
              <w:rPr>
                <w:b/>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2140104</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公路建设</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2,980.19</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2,980.19</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2140106</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公路养护</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1,491.82</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1,491.82</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2140199</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其他公路水路运输支出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1,797.81</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1,569.55</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228.26</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21406</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车辆购置税支出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1,177.41</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1,177.41</w:t>
            </w:r>
            <w:r>
              <w:rPr>
                <w:b/>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690"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2140601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车辆购置税用于公路等基础设施建设支出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1,177.41</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1,177.41</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52"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82.05</w:t>
            </w:r>
            <w:r>
              <w:rPr>
                <w:b/>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63" w:hRule="atLeast"/>
          <w:jc w:val="center"/>
        </w:trPr>
        <w:tc>
          <w:tcPr>
            <w:tcW w:w="1263"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225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2257"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82.05</w:t>
            </w:r>
            <w:r>
              <w:rPr>
                <w:color w:val="000000"/>
                <w:sz w:val="20"/>
                <w:u w:color="auto"/>
              </w:rPr>
              <w:t xml:space="preserve"> </w:t>
            </w:r>
          </w:p>
        </w:tc>
        <w:tc>
          <w:tcPr>
            <w:tcW w:w="2268"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0680" w:type="dxa"/>
        <w:jc w:val="center"/>
        <w:shd w:val="clear" w:color="auto" w:fill="FFFFFF" w:themeFill="background1"/>
        <w:tblLayout w:type="fixed"/>
        <w:tblCellMar>
          <w:top w:w="0" w:type="dxa"/>
          <w:left w:w="0" w:type="dxa"/>
          <w:bottom w:w="0" w:type="dxa"/>
          <w:right w:w="0" w:type="dxa"/>
        </w:tblCellMar>
      </w:tblPr>
      <w:tblGrid>
        <w:gridCol w:w="421"/>
        <w:gridCol w:w="1905"/>
        <w:gridCol w:w="957"/>
        <w:gridCol w:w="581"/>
        <w:gridCol w:w="1337"/>
        <w:gridCol w:w="1151"/>
        <w:gridCol w:w="1"/>
        <w:gridCol w:w="561"/>
        <w:gridCol w:w="2453"/>
        <w:gridCol w:w="1313"/>
      </w:tblGrid>
      <w:tr>
        <w:tblPrEx>
          <w:shd w:val="clear" w:color="auto" w:fill="FFFFFF" w:themeFill="background1"/>
          <w:tblCellMar>
            <w:top w:w="0" w:type="dxa"/>
            <w:left w:w="0" w:type="dxa"/>
            <w:bottom w:w="0" w:type="dxa"/>
            <w:right w:w="0" w:type="dxa"/>
          </w:tblCellMar>
        </w:tblPrEx>
        <w:trPr>
          <w:trHeight w:val="457" w:hRule="atLeast"/>
          <w:jc w:val="center"/>
        </w:trPr>
        <w:tc>
          <w:tcPr>
            <w:tcW w:w="10680" w:type="dxa"/>
            <w:gridSpan w:val="10"/>
            <w:tcBorders>
              <w:top w:val="nil"/>
              <w:left w:val="nil"/>
              <w:bottom w:val="nil"/>
              <w:right w:val="nil"/>
            </w:tcBorders>
            <w:shd w:val="clear" w:color="auto" w:fill="FFFFFF" w:themeFill="background1"/>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296" w:hRule="atLeast"/>
          <w:jc w:val="center"/>
        </w:trPr>
        <w:tc>
          <w:tcPr>
            <w:tcW w:w="2326"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95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3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15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6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45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1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296" w:hRule="atLeast"/>
          <w:jc w:val="center"/>
        </w:trPr>
        <w:tc>
          <w:tcPr>
            <w:tcW w:w="2326"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95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3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15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62" w:type="dxa"/>
            <w:gridSpan w:val="2"/>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245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131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26" w:hRule="atLeast"/>
          <w:jc w:val="center"/>
        </w:trPr>
        <w:tc>
          <w:tcPr>
            <w:tcW w:w="328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7397" w:type="dxa"/>
            <w:gridSpan w:val="7"/>
            <w:tcBorders>
              <w:top w:val="single" w:color="000000" w:sz="4" w:space="0"/>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28" w:hRule="atLeast"/>
          <w:jc w:val="center"/>
        </w:trPr>
        <w:tc>
          <w:tcPr>
            <w:tcW w:w="421"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95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81"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337"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152"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561"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45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13"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28" w:hRule="atLeast"/>
          <w:jc w:val="center"/>
        </w:trPr>
        <w:tc>
          <w:tcPr>
            <w:tcW w:w="421"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9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95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581"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337"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152"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561"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245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c>
          <w:tcPr>
            <w:tcW w:w="1313"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1,565.22</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358.56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385.78</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8.18</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15.25</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0.10</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779.38</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109.31</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90.24</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57.96</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13.13</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16.11</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75.09</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82.05</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14.24</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14.91</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421.70</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10.15</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0.28</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29.58</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355.87</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18.09</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25.00</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0.40</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45.26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11.25</w:t>
            </w: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54.66</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20.47</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106.78</w:t>
            </w: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26" w:hRule="atLeast"/>
          <w:jc w:val="center"/>
        </w:trPr>
        <w:tc>
          <w:tcPr>
            <w:tcW w:w="42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905"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spacing w:line="200" w:lineRule="exact"/>
              <w:rPr>
                <w:rFonts w:hint="default" w:cs="宋体"/>
                <w:color w:val="000000"/>
                <w:sz w:val="18"/>
                <w:szCs w:val="18"/>
              </w:rPr>
            </w:pPr>
          </w:p>
        </w:tc>
        <w:tc>
          <w:tcPr>
            <w:tcW w:w="58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337"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61"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245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rPr>
                <w:rFonts w:hint="default" w:cs="宋体"/>
                <w:color w:val="000000"/>
                <w:sz w:val="18"/>
                <w:szCs w:val="18"/>
              </w:rPr>
            </w:pPr>
          </w:p>
        </w:tc>
        <w:tc>
          <w:tcPr>
            <w:tcW w:w="1313"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226" w:hRule="atLeast"/>
          <w:jc w:val="center"/>
        </w:trPr>
        <w:tc>
          <w:tcPr>
            <w:tcW w:w="2326" w:type="dxa"/>
            <w:gridSpan w:val="2"/>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957"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1,986.92</w:t>
            </w:r>
            <w:r>
              <w:rPr>
                <w:color w:val="000000"/>
                <w:sz w:val="18"/>
                <w:u w:color="auto"/>
              </w:rPr>
              <w:t xml:space="preserve"> </w:t>
            </w:r>
          </w:p>
        </w:tc>
        <w:tc>
          <w:tcPr>
            <w:tcW w:w="6084" w:type="dxa"/>
            <w:gridSpan w:val="6"/>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313"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358.56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0460" w:type="dxa"/>
        <w:jc w:val="center"/>
        <w:shd w:val="clear" w:color="auto" w:fill="FFFFFF" w:themeFill="background1"/>
        <w:tblLayout w:type="fixed"/>
        <w:tblCellMar>
          <w:top w:w="0" w:type="dxa"/>
          <w:left w:w="0" w:type="dxa"/>
          <w:bottom w:w="0" w:type="dxa"/>
          <w:right w:w="0" w:type="dxa"/>
        </w:tblCellMar>
      </w:tblPr>
      <w:tblGrid>
        <w:gridCol w:w="1261"/>
        <w:gridCol w:w="2101"/>
        <w:gridCol w:w="1161"/>
        <w:gridCol w:w="1161"/>
        <w:gridCol w:w="1161"/>
        <w:gridCol w:w="1161"/>
        <w:gridCol w:w="1205"/>
        <w:gridCol w:w="1249"/>
      </w:tblGrid>
      <w:tr>
        <w:tblPrEx>
          <w:shd w:val="clear" w:color="auto" w:fill="FFFFFF" w:themeFill="background1"/>
          <w:tblCellMar>
            <w:top w:w="0" w:type="dxa"/>
            <w:left w:w="0" w:type="dxa"/>
            <w:bottom w:w="0" w:type="dxa"/>
            <w:right w:w="0" w:type="dxa"/>
          </w:tblCellMar>
        </w:tblPrEx>
        <w:trPr>
          <w:trHeight w:val="670" w:hRule="atLeast"/>
          <w:jc w:val="center"/>
        </w:trPr>
        <w:tc>
          <w:tcPr>
            <w:tcW w:w="10460" w:type="dxa"/>
            <w:gridSpan w:val="8"/>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shd w:val="clear" w:color="auto" w:fill="FFFFFF" w:themeFill="background1"/>
          <w:tblCellMar>
            <w:top w:w="0" w:type="dxa"/>
            <w:left w:w="0" w:type="dxa"/>
            <w:bottom w:w="0" w:type="dxa"/>
            <w:right w:w="0" w:type="dxa"/>
          </w:tblCellMar>
        </w:tblPrEx>
        <w:trPr>
          <w:trHeight w:val="345" w:hRule="atLeast"/>
          <w:jc w:val="center"/>
        </w:trPr>
        <w:tc>
          <w:tcPr>
            <w:tcW w:w="336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0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4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shd w:val="clear" w:color="auto" w:fill="FFFFFF" w:themeFill="background1"/>
          <w:tblCellMar>
            <w:top w:w="0" w:type="dxa"/>
            <w:left w:w="0" w:type="dxa"/>
            <w:bottom w:w="0" w:type="dxa"/>
            <w:right w:w="0" w:type="dxa"/>
          </w:tblCellMar>
        </w:tblPrEx>
        <w:trPr>
          <w:trHeight w:val="345" w:hRule="atLeast"/>
          <w:jc w:val="center"/>
        </w:trPr>
        <w:tc>
          <w:tcPr>
            <w:tcW w:w="3362"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161"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0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1249"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CellMar>
            <w:top w:w="0" w:type="dxa"/>
            <w:left w:w="0" w:type="dxa"/>
            <w:bottom w:w="0" w:type="dxa"/>
            <w:right w:w="0" w:type="dxa"/>
          </w:tblCellMar>
        </w:tblPrEx>
        <w:trPr>
          <w:trHeight w:val="365" w:hRule="atLeast"/>
          <w:jc w:val="center"/>
        </w:trPr>
        <w:tc>
          <w:tcPr>
            <w:tcW w:w="336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161" w:type="dxa"/>
            <w:vMerge w:val="restart"/>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1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3527" w:type="dxa"/>
            <w:gridSpan w:val="3"/>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shd w:val="clear" w:color="auto" w:fill="FFFFFF" w:themeFill="background1"/>
          <w:tblCellMar>
            <w:top w:w="0" w:type="dxa"/>
            <w:left w:w="0" w:type="dxa"/>
            <w:bottom w:w="0" w:type="dxa"/>
            <w:right w:w="0" w:type="dxa"/>
          </w:tblCellMar>
        </w:tblPrEx>
        <w:trPr>
          <w:trHeight w:val="36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01"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16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61"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20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CellMar>
            <w:top w:w="0" w:type="dxa"/>
            <w:left w:w="0" w:type="dxa"/>
            <w:bottom w:w="0" w:type="dxa"/>
            <w:right w:w="0" w:type="dxa"/>
          </w:tblCellMar>
        </w:tblPrEx>
        <w:trPr>
          <w:trHeight w:val="36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CellMar>
            <w:top w:w="0" w:type="dxa"/>
            <w:left w:w="0" w:type="dxa"/>
            <w:bottom w:w="0" w:type="dxa"/>
            <w:right w:w="0" w:type="dxa"/>
          </w:tblCellMar>
        </w:tblPrEx>
        <w:trPr>
          <w:trHeight w:val="673"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0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161"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0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shd w:val="clear" w:color="auto" w:fill="FFFFFF" w:themeFill="background1"/>
          <w:tblCellMar>
            <w:top w:w="0" w:type="dxa"/>
            <w:left w:w="0" w:type="dxa"/>
            <w:bottom w:w="0" w:type="dxa"/>
            <w:right w:w="0" w:type="dxa"/>
          </w:tblCellMar>
        </w:tblPrEx>
        <w:trPr>
          <w:trHeight w:val="355" w:hRule="atLeast"/>
          <w:jc w:val="center"/>
        </w:trPr>
        <w:tc>
          <w:tcPr>
            <w:tcW w:w="3362" w:type="dxa"/>
            <w:gridSpan w:val="2"/>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4,354.42</w:t>
            </w:r>
            <w:r>
              <w:rPr>
                <w:b/>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65"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670"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4,354.42</w:t>
            </w:r>
            <w:r>
              <w:rPr>
                <w:b/>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65"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4,321.00</w:t>
            </w:r>
            <w:r>
              <w:rPr>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680" w:hRule="atLeast"/>
          <w:jc w:val="center"/>
        </w:trPr>
        <w:tc>
          <w:tcPr>
            <w:tcW w:w="1261" w:type="dxa"/>
            <w:tcBorders>
              <w:top w:val="nil"/>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2120899</w:t>
            </w:r>
          </w:p>
        </w:tc>
        <w:tc>
          <w:tcPr>
            <w:tcW w:w="210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33.42</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33.42</w:t>
            </w:r>
            <w:r>
              <w:rPr>
                <w:color w:val="000000"/>
                <w:sz w:val="20"/>
                <w:u w:color="auto"/>
              </w:rPr>
              <w:t xml:space="preserve"> </w:t>
            </w:r>
          </w:p>
        </w:tc>
        <w:tc>
          <w:tcPr>
            <w:tcW w:w="1161"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205"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33.42</w:t>
            </w:r>
            <w:r>
              <w:rPr>
                <w:color w:val="000000"/>
                <w:sz w:val="20"/>
                <w:u w:color="auto"/>
              </w:rPr>
              <w:t xml:space="preserve"> </w:t>
            </w:r>
          </w:p>
        </w:tc>
        <w:tc>
          <w:tcPr>
            <w:tcW w:w="1249"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0680" w:type="dxa"/>
        <w:jc w:val="center"/>
        <w:shd w:val="clear" w:color="auto" w:fill="FFFFFF" w:themeFill="background1"/>
        <w:tblLayout w:type="fixed"/>
        <w:tblCellMar>
          <w:top w:w="0" w:type="dxa"/>
          <w:left w:w="0" w:type="dxa"/>
          <w:bottom w:w="0" w:type="dxa"/>
          <w:right w:w="0" w:type="dxa"/>
        </w:tblCellMar>
      </w:tblPr>
      <w:tblGrid>
        <w:gridCol w:w="1307"/>
        <w:gridCol w:w="2125"/>
        <w:gridCol w:w="2275"/>
        <w:gridCol w:w="139"/>
        <w:gridCol w:w="2414"/>
        <w:gridCol w:w="53"/>
        <w:gridCol w:w="2367"/>
      </w:tblGrid>
      <w:tr>
        <w:tblPrEx>
          <w:tblCellMar>
            <w:top w:w="0" w:type="dxa"/>
            <w:left w:w="0" w:type="dxa"/>
            <w:bottom w:w="0" w:type="dxa"/>
            <w:right w:w="0" w:type="dxa"/>
          </w:tblCellMar>
        </w:tblPrEx>
        <w:trPr>
          <w:trHeight w:val="644" w:hRule="atLeast"/>
          <w:jc w:val="center"/>
        </w:trPr>
        <w:tc>
          <w:tcPr>
            <w:tcW w:w="10680" w:type="dxa"/>
            <w:gridSpan w:val="7"/>
            <w:tcBorders>
              <w:top w:val="nil"/>
              <w:left w:val="nil"/>
              <w:bottom w:val="nil"/>
              <w:right w:val="nil"/>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shd w:val="clear" w:color="auto" w:fill="FFFFFF" w:themeFill="background1"/>
          <w:tblCellMar>
            <w:top w:w="0" w:type="dxa"/>
            <w:left w:w="0" w:type="dxa"/>
            <w:bottom w:w="0" w:type="dxa"/>
            <w:right w:w="0" w:type="dxa"/>
          </w:tblCellMar>
        </w:tblPrEx>
        <w:trPr>
          <w:trHeight w:val="335" w:hRule="atLeast"/>
          <w:jc w:val="center"/>
        </w:trPr>
        <w:tc>
          <w:tcPr>
            <w:tcW w:w="3432" w:type="dxa"/>
            <w:gridSpan w:val="2"/>
            <w:vMerge w:val="restart"/>
            <w:tcBorders>
              <w:top w:val="nil"/>
              <w:left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22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60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3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5" w:hRule="atLeast"/>
          <w:jc w:val="center"/>
        </w:trPr>
        <w:tc>
          <w:tcPr>
            <w:tcW w:w="3432" w:type="dxa"/>
            <w:gridSpan w:val="2"/>
            <w:vMerge w:val="continue"/>
            <w:tcBorders>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275" w:type="dxa"/>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606" w:type="dxa"/>
            <w:gridSpan w:val="3"/>
            <w:tcBorders>
              <w:top w:val="nil"/>
              <w:left w:val="nil"/>
              <w:bottom w:val="nil"/>
              <w:right w:val="nil"/>
            </w:tcBorders>
            <w:shd w:val="clear" w:color="auto" w:fill="FFFFFF" w:themeFill="background1"/>
            <w:noWrap/>
            <w:tcMar>
              <w:top w:w="15" w:type="dxa"/>
              <w:left w:w="15" w:type="dxa"/>
              <w:right w:w="15" w:type="dxa"/>
            </w:tcMar>
            <w:vAlign w:val="bottom"/>
          </w:tcPr>
          <w:p>
            <w:pPr>
              <w:rPr>
                <w:rFonts w:hint="default" w:cs="宋体"/>
                <w:color w:val="000000"/>
                <w:sz w:val="20"/>
                <w:szCs w:val="20"/>
              </w:rPr>
            </w:pPr>
          </w:p>
        </w:tc>
        <w:tc>
          <w:tcPr>
            <w:tcW w:w="2367" w:type="dxa"/>
            <w:tcBorders>
              <w:top w:val="nil"/>
              <w:left w:val="nil"/>
              <w:bottom w:val="nil"/>
              <w:right w:val="nil"/>
            </w:tcBorders>
            <w:shd w:val="clear" w:color="auto" w:fill="FFFFFF" w:themeFill="background1"/>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2" w:hRule="atLeast"/>
          <w:jc w:val="center"/>
        </w:trPr>
        <w:tc>
          <w:tcPr>
            <w:tcW w:w="34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7248"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42" w:hRule="atLeast"/>
          <w:jc w:val="center"/>
        </w:trPr>
        <w:tc>
          <w:tcPr>
            <w:tcW w:w="1307" w:type="dxa"/>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125"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2414" w:type="dxa"/>
            <w:gridSpan w:val="2"/>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top"/>
          </w:tcPr>
          <w:p>
            <w:pPr>
              <w:jc w:val="left"/>
              <w:textAlignment w:val="center"/>
              <w:rPr>
                <w:rFonts w:hint="default" w:cs="宋体"/>
                <w:b/>
                <w:color w:val="000000"/>
                <w:sz w:val="20"/>
                <w:szCs w:val="20"/>
              </w:rPr>
            </w:pPr>
            <w:r>
              <w:rPr>
                <w:rFonts w:cs="宋体"/>
                <w:b/>
                <w:color w:val="000000"/>
                <w:sz w:val="20"/>
                <w:szCs w:val="20"/>
              </w:rPr>
              <w:t>合计</w:t>
            </w:r>
          </w:p>
        </w:tc>
        <w:tc>
          <w:tcPr>
            <w:tcW w:w="2414" w:type="dxa"/>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2420" w:type="dxa"/>
            <w:gridSpan w:val="2"/>
            <w:vMerge w:val="restart"/>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42" w:hRule="atLeast"/>
          <w:jc w:val="center"/>
        </w:trPr>
        <w:tc>
          <w:tcPr>
            <w:tcW w:w="13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2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42" w:hRule="atLeast"/>
          <w:jc w:val="center"/>
        </w:trPr>
        <w:tc>
          <w:tcPr>
            <w:tcW w:w="13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2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0" w:hRule="atLeast"/>
          <w:jc w:val="center"/>
        </w:trPr>
        <w:tc>
          <w:tcPr>
            <w:tcW w:w="1307" w:type="dxa"/>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125"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gridSpan w:val="2"/>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14" w:type="dxa"/>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c>
          <w:tcPr>
            <w:tcW w:w="2420" w:type="dxa"/>
            <w:gridSpan w:val="2"/>
            <w:vMerge w:val="continue"/>
            <w:tcBorders>
              <w:top w:val="nil"/>
              <w:left w:val="nil"/>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24" w:hRule="atLeast"/>
          <w:jc w:val="center"/>
        </w:trPr>
        <w:tc>
          <w:tcPr>
            <w:tcW w:w="3432"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2414"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2414" w:type="dxa"/>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jc w:val="right"/>
              <w:rPr>
                <w:rFonts w:hint="default" w:cs="宋体"/>
                <w:b/>
                <w:color w:val="000000"/>
                <w:sz w:val="20"/>
                <w:szCs w:val="20"/>
              </w:rPr>
            </w:pPr>
          </w:p>
        </w:tc>
        <w:tc>
          <w:tcPr>
            <w:tcW w:w="2420" w:type="dxa"/>
            <w:gridSpan w:val="2"/>
            <w:tcBorders>
              <w:top w:val="nil"/>
              <w:left w:val="nil"/>
              <w:bottom w:val="single" w:color="000000" w:sz="4" w:space="0"/>
              <w:right w:val="single" w:color="000000" w:sz="4" w:space="0"/>
            </w:tcBorders>
            <w:shd w:val="clear" w:color="auto" w:fill="FFFFFF" w:themeFill="background1"/>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0640" w:type="dxa"/>
        <w:jc w:val="center"/>
        <w:shd w:val="clear" w:color="auto" w:fill="FFFFFF" w:themeFill="background1"/>
        <w:tblLayout w:type="fixed"/>
        <w:tblCellMar>
          <w:top w:w="0" w:type="dxa"/>
          <w:left w:w="0" w:type="dxa"/>
          <w:bottom w:w="0" w:type="dxa"/>
          <w:right w:w="0" w:type="dxa"/>
        </w:tblCellMar>
      </w:tblPr>
      <w:tblGrid>
        <w:gridCol w:w="2883"/>
        <w:gridCol w:w="1547"/>
        <w:gridCol w:w="1511"/>
        <w:gridCol w:w="3225"/>
        <w:gridCol w:w="1474"/>
      </w:tblGrid>
      <w:tr>
        <w:tblPrEx>
          <w:tblCellMar>
            <w:top w:w="0" w:type="dxa"/>
            <w:left w:w="0" w:type="dxa"/>
            <w:bottom w:w="0" w:type="dxa"/>
            <w:right w:w="0" w:type="dxa"/>
          </w:tblCellMar>
        </w:tblPrEx>
        <w:trPr>
          <w:trHeight w:val="421" w:hRule="atLeast"/>
          <w:jc w:val="center"/>
        </w:trPr>
        <w:tc>
          <w:tcPr>
            <w:tcW w:w="10640" w:type="dxa"/>
            <w:gridSpan w:val="5"/>
            <w:tcBorders>
              <w:top w:val="nil"/>
              <w:left w:val="nil"/>
              <w:bottom w:val="nil"/>
              <w:right w:val="nil"/>
            </w:tcBorders>
            <w:shd w:val="clear" w:color="auto" w:fill="FFFFFF" w:themeFill="background1"/>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shd w:val="clear" w:color="auto" w:fill="FFFFFF" w:themeFill="background1"/>
          <w:tblCellMar>
            <w:top w:w="0" w:type="dxa"/>
            <w:left w:w="0" w:type="dxa"/>
            <w:bottom w:w="0" w:type="dxa"/>
            <w:right w:w="0" w:type="dxa"/>
          </w:tblCellMar>
        </w:tblPrEx>
        <w:trPr>
          <w:trHeight w:val="299" w:hRule="atLeast"/>
          <w:jc w:val="center"/>
        </w:trPr>
        <w:tc>
          <w:tcPr>
            <w:tcW w:w="2883"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1547"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1511"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225"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1474" w:type="dxa"/>
            <w:tcBorders>
              <w:top w:val="nil"/>
              <w:left w:val="nil"/>
              <w:bottom w:val="nil"/>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shd w:val="clear" w:color="auto" w:fill="FFFFFF" w:themeFill="background1"/>
          <w:tblCellMar>
            <w:top w:w="0" w:type="dxa"/>
            <w:left w:w="0" w:type="dxa"/>
            <w:bottom w:w="0" w:type="dxa"/>
            <w:right w:w="0" w:type="dxa"/>
          </w:tblCellMar>
        </w:tblPrEx>
        <w:trPr>
          <w:trHeight w:val="299" w:hRule="atLeast"/>
          <w:jc w:val="center"/>
        </w:trPr>
        <w:tc>
          <w:tcPr>
            <w:tcW w:w="2883"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重庆市荣昌区交通工程建设中心</w:t>
            </w:r>
          </w:p>
        </w:tc>
        <w:tc>
          <w:tcPr>
            <w:tcW w:w="1547"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center"/>
              <w:rPr>
                <w:rFonts w:hint="default" w:cs="宋体"/>
                <w:color w:val="000000"/>
                <w:sz w:val="20"/>
                <w:szCs w:val="20"/>
              </w:rPr>
            </w:pPr>
          </w:p>
        </w:tc>
        <w:tc>
          <w:tcPr>
            <w:tcW w:w="1511"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rPr>
                <w:rFonts w:hint="default" w:cs="宋体"/>
                <w:color w:val="000000"/>
                <w:sz w:val="20"/>
                <w:szCs w:val="20"/>
              </w:rPr>
            </w:pPr>
          </w:p>
        </w:tc>
        <w:tc>
          <w:tcPr>
            <w:tcW w:w="3225"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rPr>
                <w:rFonts w:hint="default" w:cs="宋体"/>
                <w:color w:val="000000"/>
                <w:sz w:val="20"/>
                <w:szCs w:val="20"/>
              </w:rPr>
            </w:pPr>
          </w:p>
        </w:tc>
        <w:tc>
          <w:tcPr>
            <w:tcW w:w="1474" w:type="dxa"/>
            <w:tcBorders>
              <w:top w:val="nil"/>
              <w:left w:val="nil"/>
              <w:bottom w:val="single" w:color="auto" w:sz="4" w:space="0"/>
              <w:right w:val="nil"/>
            </w:tcBorders>
            <w:shd w:val="clear" w:color="auto" w:fill="FFFFFF" w:themeFill="background1"/>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shd w:val="clear" w:color="auto" w:fill="FFFFFF" w:themeFill="background1"/>
          <w:tblCellMar>
            <w:top w:w="0" w:type="dxa"/>
            <w:left w:w="0" w:type="dxa"/>
            <w:bottom w:w="0" w:type="dxa"/>
            <w:right w:w="0" w:type="dxa"/>
          </w:tblCellMar>
        </w:tblPrEx>
        <w:trPr>
          <w:trHeight w:val="269"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shd w:val="clear" w:color="auto" w:fill="FFFFFF" w:themeFill="background1"/>
          <w:tblCellMar>
            <w:top w:w="0" w:type="dxa"/>
            <w:left w:w="0" w:type="dxa"/>
            <w:bottom w:w="0" w:type="dxa"/>
            <w:right w:w="0" w:type="dxa"/>
          </w:tblCellMar>
        </w:tblPrEx>
        <w:trPr>
          <w:trHeight w:val="269"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30.75</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30.75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11</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30.47</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0.28</w:t>
            </w:r>
            <w:r>
              <w:rPr>
                <w:color w:val="000000"/>
                <w:sz w:val="20"/>
                <w:u w:color="auto"/>
              </w:rPr>
              <w:t xml:space="preserve"> </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0.28</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0.28</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6</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5</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3</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15,604.40</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20</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15,585.60</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18.80</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922.04</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376"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891.24</w:t>
            </w:r>
            <w:r>
              <w:rPr>
                <w:color w:val="000000"/>
                <w:sz w:val="20"/>
                <w:u w:color="auto"/>
              </w:rPr>
              <w:t xml:space="preserve"> </w:t>
            </w:r>
          </w:p>
        </w:tc>
      </w:tr>
      <w:tr>
        <w:tblPrEx>
          <w:shd w:val="clear" w:color="auto" w:fill="FFFFFF" w:themeFill="background1"/>
          <w:tblCellMar>
            <w:top w:w="0" w:type="dxa"/>
            <w:left w:w="0" w:type="dxa"/>
            <w:bottom w:w="0" w:type="dxa"/>
            <w:right w:w="0" w:type="dxa"/>
          </w:tblCellMar>
        </w:tblPrEx>
        <w:trPr>
          <w:trHeight w:val="298"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r>
        <w:tblPrEx>
          <w:shd w:val="clear" w:color="auto" w:fill="FFFFFF" w:themeFill="background1"/>
          <w:tblCellMar>
            <w:top w:w="0" w:type="dxa"/>
            <w:left w:w="0" w:type="dxa"/>
            <w:bottom w:w="0" w:type="dxa"/>
            <w:right w:w="0" w:type="dxa"/>
          </w:tblCellMar>
        </w:tblPrEx>
        <w:trPr>
          <w:trHeight w:val="283" w:hRule="atLeast"/>
          <w:jc w:val="center"/>
        </w:trPr>
        <w:tc>
          <w:tcPr>
            <w:tcW w:w="2883"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1547"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1511"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10.15</w:t>
            </w:r>
            <w:r>
              <w:rPr>
                <w:color w:val="000000"/>
                <w:sz w:val="20"/>
                <w:u w:color="auto"/>
              </w:rPr>
              <w:t xml:space="preserve"> </w:t>
            </w:r>
          </w:p>
        </w:tc>
        <w:tc>
          <w:tcPr>
            <w:tcW w:w="3225"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spacing w:line="240" w:lineRule="exact"/>
              <w:rPr>
                <w:rFonts w:hint="default" w:cs="宋体"/>
                <w:color w:val="000000"/>
                <w:sz w:val="20"/>
                <w:szCs w:val="20"/>
              </w:rPr>
            </w:pPr>
          </w:p>
        </w:tc>
        <w:tc>
          <w:tcPr>
            <w:tcW w:w="1474" w:type="dxa"/>
            <w:tcBorders>
              <w:top w:val="single" w:color="auto" w:sz="4" w:space="0"/>
              <w:left w:val="single" w:color="auto" w:sz="4" w:space="0"/>
              <w:bottom w:val="single" w:color="auto" w:sz="4" w:space="0"/>
              <w:right w:val="single" w:color="auto" w:sz="4" w:space="0"/>
            </w:tcBorders>
            <w:shd w:val="clear" w:color="auto" w:fill="FFFFFF" w:themeFill="background1"/>
            <w:noWrap/>
            <w:tcMar>
              <w:top w:w="15" w:type="dxa"/>
              <w:left w:w="15" w:type="dxa"/>
              <w:right w:w="15" w:type="dxa"/>
            </w:tcMar>
            <w:vAlign w:val="bottom"/>
          </w:tcPr>
          <w:p>
            <w:pPr>
              <w:spacing w:line="240" w:lineRule="exact"/>
              <w:jc w:val="right"/>
              <w:rPr>
                <w:rFonts w:hint="default" w:cs="宋体"/>
                <w:color w:val="000000"/>
                <w:sz w:val="20"/>
                <w:szCs w:val="20"/>
              </w:rPr>
            </w:pPr>
          </w:p>
        </w:tc>
      </w:tr>
    </w:tbl>
    <w:p>
      <w:pPr>
        <w:keepNext w:val="0"/>
        <w:keepLines w:val="0"/>
        <w:pageBreakBefore w:val="0"/>
        <w:widowControl/>
        <w:kinsoku/>
        <w:wordWrap/>
        <w:overflowPunct/>
        <w:topLinePunct w:val="0"/>
        <w:autoSpaceDE/>
        <w:autoSpaceDN/>
        <w:bidi w:val="0"/>
        <w:adjustRightInd/>
        <w:snapToGrid/>
        <w:spacing w:line="240" w:lineRule="exact"/>
        <w:textAlignment w:val="auto"/>
        <w:rPr>
          <w:rFonts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tbl>
      <w:tblPr>
        <w:tblStyle w:val="7"/>
        <w:tblpPr w:leftFromText="180" w:rightFromText="180" w:vertAnchor="text" w:horzAnchor="page" w:tblpXSpec="center" w:tblpY="649"/>
        <w:tblOverlap w:val="never"/>
        <w:tblW w:w="112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30"/>
        <w:gridCol w:w="1170"/>
        <w:gridCol w:w="834"/>
        <w:gridCol w:w="1083"/>
        <w:gridCol w:w="1034"/>
        <w:gridCol w:w="1135"/>
        <w:gridCol w:w="1034"/>
        <w:gridCol w:w="496"/>
        <w:gridCol w:w="703"/>
        <w:gridCol w:w="562"/>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荣昌区交通工程建设服务经费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50015322T000000095099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89.68</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927,100.00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927,100.00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927,100.00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314,000.00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对310公里四好农村公路安防设施进行规划设计检测，对受自然灾害或交通事故损毁公路路产进行恢复。2.开展洒水降尘，洒水清扫12.3公里，洒水清扫及时到位。3.应急救援器材、人员安全防护用品采购，开展安全宣传教育、安全培训，进行安全检查与隐患治理，开展应急救援演练等各项工作。4.安装“路长制”公示牌，县道34、乡道66块。</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了对六个出城路口路段进行洒水和清扫作业，分别为古镇路段、铜昌路杜家坝段、铜昌路双河段、荣江路螺罐山段、荣直路段、国道G348南迁段共计12.3公里进行洒水和清扫，对294公里四好农村公路安防设施进行规划设计检测，对受自然灾害或交通事故损毁公路路产进行恢复，应急救援器材、人员安全防护用品采购，开展安全宣传教育、安全培训，进行安全检查与隐患治理，开展应急救援演练等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农村公路里程数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48.4</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9.68</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洒水清扫公路里程数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应急应援演练次数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次</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检测报告合格率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空气扬尘降低程度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使用者满意度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荣昌区S209城区至仁义路面改造工程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50015322T000000095188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张瀚</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2,776,356.98 </w:t>
            </w:r>
          </w:p>
        </w:tc>
        <w:tc>
          <w:tcPr>
            <w:tcW w:w="70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该工程于2022年7月已办理结算审核（一审金额3167.35236万元），预计于2022年11月办理交竣工结算交付使用。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该工程已办理结算审核及竣工结算，交付使用，2023年支付剩余工程款。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19.79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荣昌区S302吴家至大足界路面改造工程、荣昌区S209吴家至四川界路面改造工程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50015322T000000095190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张瀚</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2,412,400.00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2,412,400.00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2,412,400.00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2,173,606.36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该工程于2022年10月已办理结算审核（一审金额2207.184686万元），预计于2022年11月办理交竣工结算，交付使用。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该工程已办理结算审核 及竣工结算，交付使用，2023年支付剩余的工程款。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荣昌区观胜至铜鼓路面改扩建工程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50015322T000000095194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邬剑</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1,631,000.00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2022年10月已完成跟审审核，2022年11月进行结算审核，预计2022年12月完成，工程质量达到合格并交付使用。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已完成0.45公里建设任务，工程验收合格，建设事故发生率小于2%，每公里建设成本362万元。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0.45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荣昌区S209城区至直升路面改造工程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50015322T000000095202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505,900.00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505,900.00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505,900.00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497,244.14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已于2021年5月6日完成交工验收工作，计划2022年底之前完成竣工验收工作。</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该项目已完成竣工验收工作，投入使用。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0.19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按计划开工率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0.76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荣昌区S303尚书至三道水段路面改造工程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50015322T000000095207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罗进</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26,000.00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19,550.00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该工程于2021年1月已办理交工，并办理结算，已交付使用。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已完成0.014公里建设任务，工程验收合格，建设事故发生率小于2%，每公里建设成本低于181万元。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0.014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工程已于2021年交工验收，整个工程单位成本181万元/公里。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荣昌区S546广顺至盘龙路面改造工程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50015322T000000095215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邬剑</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1,632,000.00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1,632,000.00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1,632,000.00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1,503,921.26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2021年1月已完成交工验收，2022年9月完成结算审核，工程验收合格，2022年10月正在进行竣工检测，已交付使用。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已完成2.38公里建设任务，工程验收合格，建设事故发生率小于2%，每公里建设成本低于68.3万元。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主体工完成率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建设事故发生率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7.47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荣昌区公路养护经费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50015322T000000096703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4,354,431.47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4,354,431.47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4,354,431.47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4,196,853.67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完成国道43.592公里，省道219.978公里，县道50.55公里,乡道14.21公里养护工程，县道50.55公里，乡道14.21公里的日常养护和绿化工作。</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完成国道43.592公里，省道219.978公里，县道61.869公里,乡道11.7公里养护工程和日常养护和绿化工作。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公路养护工程量完成率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养护里程数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393.09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337.139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年初指标值统计错误，重复统计了县道、乡道64.76公里，实际养护里程数为337.139公里。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受益群体满意度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10-9</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荣昌区公路桥梁维护经费</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50015322T000000105940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谢万友</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3,481,096.05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3,481,096.05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3,481,096.05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2,308,553.19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成全区90座公路桥梁的定期检查、79座国省县道桥梁的经常性检查，中小桥83座，大桥7座，桥梁经常性检查每座桥每月检查一次，1座桥梁的荷载试验。2、维护、新增公路桥梁栏杆400米。3、对沙坝子公铁立交桥、荣泸路公铁立交桥、S546公铁立交桥、双河桥、观胜桥、古桥、光明桥、狮子桥（四类）、踏水桥（四类）、小康桥（四类）10座桥进行维护、加固，需经费660万元。</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完成全区79座公路桥梁的定期检查、124座国省县道桥梁的经常性检查，中小桥118座，大桥6座，桥梁经常性检查每座桥每月检查一次，0座桥梁的荷载试验。2、维护、新增公路桥梁栏杆858米。3、对阳千桥、黄葛老桥、小康桥（四类）3座桥进行维护、加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改造桥梁数量</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桥梁检测数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公路年报增加了县道，造成县道桥梁经常性检查数量增加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整修合格率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桥梁通畅率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10-10</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S209荣江路（观胜-仁义）路面大修工程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50015322T000002679203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罗进</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1,989,000.00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1,989,000.00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1,989,000.00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185,640.00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该工程于2022年9月已办理交工，预计于2022年12月办理交竣工结算，已交付使用。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该工程于2022年9月已办理交工，已交付使用，正在办理竣工验收。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工程完成率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工程质量达标率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公路工程成本节约率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畜牧科技产业大道一期（S303城区至双河段新建工程一期）</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50015322T000002679286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石成</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34,600,000.00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2024年内完成畜牧科技产业大道一期（S303城区至双河段新建工程一期）路基工程、防护工程全部完成，老桥水库中桥、郑家河1号、2号桥、涵洞全部完成。</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2024年内完成畜牧科技产业大道一期（S303城区至双河段新建工程一期）路基工程、防护工程全部完成，老桥水库中桥、郑家河1号、2号桥、涵洞全部完成。</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2023年完成了前期的征地拆迁及环评等。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公路建成规模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项目因前期办理征地手续时间较长，导致该项目2023年底只完成了前期征地拆迁及环评等，项目未能正式开工，年中未及时调整年度绩效指标值，造成本年度绩效指标完成情况有偏差。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公路工程按时开工率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6517.09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荣昌区S548龙荣路（新峰加油站至荣吴路口）预防性养护工程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50015323T000002740888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96.23</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cs="宋体"/>
                <w:i w:val="0"/>
                <w:color w:val="000000"/>
                <w:kern w:val="0"/>
                <w:sz w:val="20"/>
                <w:szCs w:val="20"/>
                <w:u w:val="none"/>
                <w:lang w:val="en-US" w:eastAsia="zh-CN" w:bidi="ar"/>
              </w:rPr>
              <w:t>46784775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1,239,732.17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完成S548龙荣路（新峰加油站至荣吴路口）全长9.6公里预防性养护工程。路面挖补2400㎡、3CM沥青路面铺装38500㎡、6MM超表处29000㎡、路面标线恢复5800㎡。保证公路畅通和行车安全。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完成S548龙荣路（新峰加油站至荣吴路口）全长9.6公里预防性养护工程。路面挖补2400㎡、3CM沥青路面铺装38500㎡、6MM超表处29000㎡、路面标线恢复5800㎡。保证公路畅通和行车安全。</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实际完成3mm微表处3.93公里，3cm薄层罩面5.3085公里，合计9.2385公里。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公路预防性养护里程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9.2385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6.23</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实际实施工程量与设计图设计工程量有出入。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荣昌区S548龙荣路（仁义过境段K61+100-K64+200）预防性养护工程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50015323T000002740904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811,302.24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811,302.24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824,202.24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完成S548龙荣路（仁义过境段K61+100-K64+200）3.1公里的预防性养护工程，保证公路畅通和行车安全。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完成S548龙荣路（仁义过境段K61+100-K64+200）3.1公里的预防性养护工程，保证公路畅通和行车安全。</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完成S548龙荣路（仁义过境段K61+100-K64+200）3.1公里的预防性养护工程，已在2022年12月11日交工，于2024年1月6日工程质保期满竣工。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公路预防性养护里程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荣昌区清广二路路面挖补工程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50015323T000002740923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2169"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1,674,560.00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完成清广二路路面挖补工程，保证公路畅通和行车安全。</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完成清广二路路面挖补工程，保证公路畅通和行车安全。</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完成清广二路路面挖补5726.59平方米，工程按时完工，质量验收合格。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公路养护面积</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平方米</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5726.59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实际实施工程量与设计图工程量有出入，以最终结算为准。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7.53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元/平方米</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10-15</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农村公路养护资金</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50015323T000002741052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胡雷</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46784775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5,329,600.00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5,329,600.00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917"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5,329,600.00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1,140,951.82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完成我区农村公路71.37公里的日常养护，其中县道50.55公里、乡道14.21公里、村道6.61公里，为群众出行提供安全的道路环境，保障农村公路通畅目标实现。</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0"/>
                <w:szCs w:val="20"/>
                <w:u w:val="none"/>
              </w:rPr>
            </w:pP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完成我区农村公路71.37公里的日常养护，其中县道50.55公里、乡道14.21公里、村道6.61公里，为群众出行提供安全的道路环境，保障农村公路通畅目标实现。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公路养护里程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71.37</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公路路面破损率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公路问题响应时间</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否</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10-16</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荣昌区S209荣江路（仁义绕镇路）修复性养护工程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50015324T000003854477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1,799,147.17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6800㎡、挖除旧水稳层40cm厚6500㎡、铺筑5%水稳层40cm厚5000平方米、铺筑C25片石砼基层（商砼）40cm厚1500㎡、铺筑AC-16沥青砼面层5cm厚6800㎡、铺筑AC-13沥青砼面层4cm厚6800㎡，12月底前交工验收。</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6800㎡、挖除旧水稳层40cm厚6500㎡、铺筑5%水稳层40cm厚5000平方米、铺筑C25片石砼基层（商砼）40cm厚1500㎡、铺筑AC-16沥青砼面层5cm厚6800㎡、铺筑AC-13沥青砼面层4cm厚6800㎡，12月底前交工验收。</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挖除旧沥青砼面层9cm厚6800㎡、挖除旧水稳层40cm厚6500㎡、铺筑5%水稳层40cm厚5000平方米、铺筑C25片石砼基层（商砼）40cm厚1500㎡、铺筑AC-16沥青砼面层5cm厚6800㎡、铺筑AC-13沥青砼面层4cm厚6800㎡，已于2023年11月17日完成交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10-17</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荣昌区S546丁吴路（清升至清江）预防性养护工程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50015324T000003854482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1,987,962.05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完成主要工程量：挖除旧沥青砼面层9cm厚1682㎡、挖除旧水稳层40cm厚1572㎡、铺筑AC-16沥青砼面层5cm厚1682㎡、铺筑C25片石砼基层（商砼）44cm厚1572㎡、铺筑AC-10沥青砼面层3cm厚40097㎡，12月底前交工验收。</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完成主要工程量：挖除旧沥青砼面层9cm厚1682㎡、挖除旧水稳层40cm厚1572㎡、铺筑AC-16沥青砼面层5cm厚1682㎡、铺筑C25片石砼基层（商砼）44cm厚1572㎡、铺筑AC-10沥青砼面层3cm厚40097㎡，12月底前交工验收。</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已完成挖除旧沥青砼面层9cm厚1682㎡、挖除旧水稳层40cm厚1572㎡、铺筑AC-16沥青砼面层5cm厚1682㎡、铺筑C25片石砼基层（商砼）44cm厚1572㎡、铺筑AC-10沥青砼面层3cm厚40097㎡，已于2023年11月7日完成交工验收。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该指标入库时录入错误，调整绩效目标时未发现，造成全年完成值偏离度大。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10-18</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荣昌区S209荣江路（吴家至打抢拗）预防性养护工程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50015324T000003854491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董建强</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1,042,440.00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完成主要工程量：挖除旧沥青砼面层9cm厚2802㎡、挖除旧水稳层24cm厚2351㎡、铺筑AC-16沥青砼面层5cm厚2802㎡、铺筑C25片石砼基层（商砼）28cm厚2351㎡、铺筑AC-10沥青砼面层3cm厚26999㎡，12月底前交工。</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完成主要工程量：挖除旧沥青砼面层9cm厚2802㎡、挖除旧水稳层24cm厚2351㎡、铺筑AC-16沥青砼面层5cm厚2802㎡、铺筑C25片石砼基层（商砼）28cm厚2351㎡、铺筑AC-10沥青砼面层3cm厚26999㎡，12月底前交工。</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完成主要工程量：挖除旧沥青砼面层9cm厚2517.5㎡、挖除旧水稳层24cm厚2517.5㎡、铺筑AC-16沥青砼面层5cm厚2517.5㎡、铺筑C25片石砼基层（商砼）28cm厚2517.5㎡、铺筑AC-10沥青砼面层3cm厚27063.95㎡，于2023年11月27日交工。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3.33</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10-19</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荣昌区S303铜昌路（村委会至古昌进出口）预防性养护工程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50015324T000003854494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谢万友</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18"/>
                <w:szCs w:val="18"/>
                <w:u w:val="none"/>
              </w:rPr>
            </w:pPr>
            <w:r>
              <w:rPr>
                <w:rFonts w:hint="eastAsia" w:ascii="微软雅黑" w:hAnsi="微软雅黑" w:eastAsia="微软雅黑" w:cs="微软雅黑"/>
                <w:b/>
                <w:i w:val="0"/>
                <w:color w:val="808080"/>
                <w:kern w:val="0"/>
                <w:sz w:val="18"/>
                <w:szCs w:val="18"/>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939,792.75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完成主要工程量：挖除旧沥青砼面层9cm厚1017㎡、挖除旧水稳层40cm厚831㎡、铺筑AC-16沥青砼面层5cm厚1017㎡、铺筑C25片石砼基层（商砼）44cm厚831㎡、铺筑AC-10沥青砼面层3cm厚26607㎡。</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完成主要工程量：挖除旧沥青砼面层9cm厚1017㎡、挖除旧水稳层40cm厚831㎡、铺筑AC-16沥青砼面层5cm厚1017㎡、铺筑C25片石砼基层（商砼）44cm厚831㎡、铺筑AC-10沥青砼面层3cm厚26607㎡。</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完成主要工程量：挖除旧沥青砼面层9cm厚731㎡、挖除旧水稳层40cm厚679.63㎡、铺筑AC-16沥青砼面层5cm厚679.59㎡、铺筑C25片石砼基层（商砼）44cm厚679.59㎡、铺筑AC-10沥青砼面层3cm厚21339.37㎡。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公路养护里程建设里程数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14.96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因部分道路较好，没做预防性养护。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65.4</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42.54</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因部分路段道路状况较好，为节约造价，约0.5公里未进行预防性养护，实际预防性养护长度为2.9公里，实际建安费为123.37万元。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10-20</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荣昌区S548龙荣路（河包加油站至保安）预防性养护工程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50015324T000003854498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董建强</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2,344,800.00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完成主要工程量：主要工程量为挖除旧沥青砼面层9cm厚1411㎡、挖除旧水稳层40cm厚1283㎡、铺筑AC-16沥青砼面层5cm厚1411㎡、铺筑C25片石砼基层（商砼）44cm厚1283㎡、铺筑AC-10沥青砼面层3cm厚62499㎡。</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完成主要工程量：主要工程量为挖除旧沥青砼面层9cm厚1411㎡、挖除旧水稳层40cm厚1283㎡、铺筑AC-16沥青砼面层5cm厚1411㎡、铺筑C25片石砼基层（商砼）44cm厚1283㎡、铺筑AC-10沥青砼面层3cm厚62499㎡。</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主要工程量为挖除旧沥青砼面层9cm厚1411㎡、挖除旧水稳层40cm厚1283㎡、铺筑AC-16沥青砼面层5cm厚1411㎡、铺筑C25片石砼基层（商砼）44cm厚1283㎡、铺筑AC-10沥青砼面层3cm厚62499㎡，于2024年2月27日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10-21</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荣昌区四鲁路路面修复养护工程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50015324T000003854510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董建强</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1,500,000.00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1800㎡、挖除旧水稳层（40cm）1800㎡、挖除砂石粒料类层（10cm）1800㎡、铺筑C25片石砼基层（商砼54cm）1800㎡、铺筑AC-16沥青砼面层（5cm）1800㎡、铺筑AC-10沥青砼面层（3cm）28700㎡、画标线（15cm）1845㎡。</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1800㎡、挖除旧水稳层（40cm）1800㎡、挖除砂石粒料类层（10cm）1800㎡、铺筑C25片石砼基层（商砼54cm）1800㎡、铺筑AC-16沥青砼面层（5cm）1800㎡、铺筑AC-10沥青砼面层（3cm）28700㎡、画标线（15cm）1845㎡。</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主要工程量：挖除旧沥青砼面层（9cm）1800㎡、挖除旧水稳层（40cm）1800㎡、挖除砂石粒料类层（10cm）1800㎡、铺筑C25片石砼基层（商砼54cm）1800㎡、铺筑AC-16沥青砼面层（5cm）1800㎡、铺筑AC-10沥青砼面层（3cm）28700㎡、画标线（15cm）1845㎡，于2024年4月11日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平均每公里养护成本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10-22</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荣昌区S546丁吴路（安富至荣隆）预防性养护工程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50015324T000003883848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张世骥</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8,021,866.00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2023年12月底前完成主要工程量：铣刨旧沥青砼面层64647㎡、挖除旧砂石粒料类层931㎡、铺筑片石砼基层7349㎡、铺筑沥青砼面层71996㎡、画交通标线4194㎡，2024年新建不停车检测系统1套，完成项目验收交工。</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2023年12月底前完成主要工程量：铣刨旧沥青砼面层64647㎡、挖除旧砂石粒料类层931㎡、铺筑片石砼基层7349㎡、铺筑沥青砼面层71996㎡、画交通标线4194㎡，2024年新建不停车检测系统1套，完成项目验收交工。</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2023年12月底前已完成铣刨旧沥青砼面层64647㎡、挖除旧砂石粒料类层931㎡、铺筑片石砼基层7349㎡、铺筑沥青砼面层71996㎡、画交通标线4194㎡。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2023年年初在拟定绩效目标时设置输入有误，后在调整全年绩效目标时未被发现错误，现需更正调整2023年公路养护工程建设里程数绩效指标为≥9公里。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17.65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11.11</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33.82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因设置该绩效指标时项目还未进入招标程序，只是完成了立项审批，批复中的建设投资估算金额较大，所以当时设置的绩效指标数较实际发生的要大。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10-23</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荣昌区双昌产业园道路改造工程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50015324T000003883857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董先禄</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bookmarkStart w:id="0" w:name="_GoBack"/>
            <w:bookmarkEnd w:id="0"/>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10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3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1,800.00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2023年12月底前完成破除旧水泥砼面层（20cm）200㎡、浇筑C30水泥砼（商砼）40m3、铺筑沥青砼AC-13（4cm）765m3、画标线（15cm）2085㎡的工程量，完成项目验收交工。</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2023年12月底前完成破除旧水泥砼面层（20cm）200㎡、浇筑C30水泥砼（商砼）40m3、铺筑沥青砼AC-13（4cm）765m3、画标线（15cm）2085㎡的工程量，完成项目验收交工。</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2023年8月21日开工，已全面完成破除旧水泥砼面层（20cm）200㎡、浇筑C30水泥砼（商砼）40m3、铺筑沥青砼AC-13（4cm）765m3、画标线（15cm）1852.77㎡的工程量，2023年11月10日完成项目验收交工。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公路养护工程建设里程数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3.46</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公路技术状况达标率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公路问题整改及时率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公路畅通率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公路设施平均维护成本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14.29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微软雅黑" w:hAnsi="微软雅黑" w:eastAsia="微软雅黑" w:cs="微软雅黑"/>
                <w:b/>
                <w:i w:val="0"/>
                <w:color w:val="000000"/>
                <w:sz w:val="24"/>
                <w:szCs w:val="24"/>
                <w:u w:val="none"/>
              </w:rPr>
            </w:pPr>
            <w:r>
              <w:rPr>
                <w:rFonts w:cs="宋体"/>
                <w:color w:val="000000"/>
                <w:sz w:val="20"/>
                <w:szCs w:val="20"/>
              </w:rPr>
              <w:t>公开</w:t>
            </w:r>
            <w:r>
              <w:rPr>
                <w:rFonts w:hint="eastAsia" w:cs="宋体"/>
                <w:color w:val="000000"/>
                <w:sz w:val="20"/>
                <w:szCs w:val="20"/>
                <w:lang w:val="en-US" w:eastAsia="zh-CN"/>
              </w:rPr>
              <w:t>10-24</w:t>
            </w:r>
            <w:r>
              <w:rPr>
                <w:rFonts w:cs="宋体"/>
                <w:color w:val="000000"/>
                <w:sz w:val="20"/>
                <w:szCs w:val="20"/>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000000"/>
                <w:sz w:val="36"/>
                <w:szCs w:val="36"/>
                <w:u w:val="none"/>
              </w:rPr>
            </w:pPr>
            <w:r>
              <w:rPr>
                <w:rFonts w:hint="eastAsia" w:ascii="微软雅黑" w:hAnsi="微软雅黑" w:eastAsia="微软雅黑" w:cs="微软雅黑"/>
                <w:b/>
                <w:i w:val="0"/>
                <w:color w:val="000000"/>
                <w:kern w:val="0"/>
                <w:sz w:val="36"/>
                <w:szCs w:val="36"/>
                <w:u w:val="none"/>
                <w:lang w:val="en-US" w:eastAsia="zh-CN" w:bidi="ar"/>
              </w:rPr>
              <w:t>2023年度项目绩效自评表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DA3232"/>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G348荣昌区安富至四川界段改建工程</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项目编码：</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50015324T000004035847</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自评总分：</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b/>
                <w:i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项目主管部门：</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125-重庆市荣昌区交通运输委员会</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财政归口处室：</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005-经济建设科</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部门联系人：</w:t>
            </w:r>
          </w:p>
        </w:tc>
        <w:tc>
          <w:tcPr>
            <w:tcW w:w="119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石成</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联系电话：</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cs="宋体"/>
                <w:i w:val="0"/>
                <w:color w:val="000000"/>
                <w:kern w:val="0"/>
                <w:sz w:val="18"/>
                <w:szCs w:val="18"/>
                <w:u w:val="none"/>
                <w:lang w:val="en-US" w:eastAsia="zh-CN" w:bidi="ar"/>
              </w:rPr>
              <w:t>46782372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32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年初预算数</w:t>
            </w:r>
          </w:p>
        </w:tc>
        <w:tc>
          <w:tcPr>
            <w:tcW w:w="216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全年（调整）预算数</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全年执行数</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执行率权重</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年度总金额</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1530"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一般公共预算</w:t>
            </w:r>
          </w:p>
        </w:tc>
        <w:tc>
          <w:tcPr>
            <w:tcW w:w="117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34"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3"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0.00 </w:t>
            </w:r>
          </w:p>
        </w:tc>
        <w:tc>
          <w:tcPr>
            <w:tcW w:w="2169"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153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29,610,000.00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年初绩效目标</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全年（调整）绩效目标</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0" w:hRule="atLeast"/>
          <w:jc w:val="center"/>
        </w:trPr>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2024年内完成80%的路基、路面、安防工程。 目前该项目下达资金296.1万元（其中包含施工工程费、设计费、监理费、跟审费、检测费等建设费用 ）</w:t>
            </w:r>
          </w:p>
        </w:tc>
        <w:tc>
          <w:tcPr>
            <w:tcW w:w="369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2024年内完成80%的路基、路面、安防工程。 目前该项目下达资金296.1万元（其中包含施工工程费、设计费、监理费、跟审费、检测费等建设费用 ）</w:t>
            </w:r>
          </w:p>
        </w:tc>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2023年底已完成70%路基，挡墙80%，涵洞70%。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1266" w:type="dxa"/>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0"/>
                <w:szCs w:val="20"/>
                <w:u w:val="none"/>
              </w:rPr>
            </w:pPr>
            <w:r>
              <w:rPr>
                <w:rFonts w:hint="eastAsia" w:ascii="微软雅黑" w:hAnsi="微软雅黑" w:eastAsia="微软雅黑" w:cs="微软雅黑"/>
                <w:b/>
                <w:i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指标名称</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计量单位</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指标性质</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指标值</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全年完成值</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偏离度（%）</w:t>
            </w:r>
          </w:p>
        </w:tc>
        <w:tc>
          <w:tcPr>
            <w:tcW w:w="10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得分系数（%）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指标权重</w:t>
            </w:r>
          </w:p>
        </w:tc>
        <w:tc>
          <w:tcPr>
            <w:tcW w:w="7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指标得分</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是否核心指标</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公路建成规划</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1.02</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该项目2023年未做绩效目标调整，导致全年完成值与实际产生偏离度。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工程验收合格率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公路工程按时开工率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该项目2023年未做绩效目标调整，导致全年完成值与实际产生偏离度。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公路通畅率</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15.79</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该项目2023年未做绩效目标调整，导致全年完成值与实际产生偏离度。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2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单位成本</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万元/公里</w:t>
            </w:r>
          </w:p>
        </w:tc>
        <w:tc>
          <w:tcPr>
            <w:tcW w:w="8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4738</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4738</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6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r>
    </w:tbl>
    <w:p>
      <w:pPr>
        <w:rPr>
          <w:rFonts w:cs="宋体"/>
          <w:sz w:val="20"/>
          <w:szCs w:val="20"/>
        </w:rPr>
      </w:pPr>
      <w:r>
        <w:rPr>
          <w:rFonts w:cs="宋体"/>
          <w:sz w:val="20"/>
          <w:szCs w:val="20"/>
        </w:rPr>
        <w:br w:type="textWrapping"/>
      </w: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p>
      <w:pPr>
        <w:rPr>
          <w:rFonts w:cs="宋体"/>
          <w:sz w:val="20"/>
          <w:szCs w:val="20"/>
        </w:rPr>
      </w:pPr>
    </w:p>
    <w:sectPr>
      <w:headerReference r:id="rId3" w:type="default"/>
      <w:footerReference r:id="rId4" w:type="default"/>
      <w:pgSz w:w="11907" w:h="16839"/>
      <w:pgMar w:top="2098" w:right="1474" w:bottom="1984" w:left="1587" w:header="0" w:footer="283" w:gutter="0"/>
      <w:pgBorders>
        <w:top w:val="none" w:sz="0" w:space="0"/>
        <w:left w:val="none" w:sz="0" w:space="0"/>
        <w:bottom w:val="none" w:sz="0" w:space="0"/>
        <w:right w:val="none" w:sz="0" w:space="0"/>
      </w:pgBorders>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mKK6MwIAAGcEAAAOAAAAZHJz&#10;L2Uyb0RvYy54bWytVM2O0zAQviPxDpbvNGkRS1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CjmKK6MwIAAGcEAAAOAAAAAAAAAAEAIAAA&#10;ADUBAABkcnMvZTJvRG9jLnhtbFBLBQYAAAAABgAGAFkBAADaBQ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24 -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HgNVFTYAAAACgEAAA8AAAAA&#10;AAAAAQAgAAAAOAAAAGRycy9kb3ducmV2LnhtbFBLAQIUABQAAAAIAIdO4kACxRCNNwIAAGYEAAAO&#10;AAAAAAAAAAEAIAAAAD0BAABkcnMvZTJvRG9jLnhtbFBLBQYAAAAABgAGAFkBAADm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B03CCD"/>
    <w:rsid w:val="00C20C3E"/>
    <w:rsid w:val="00F73F90"/>
    <w:rsid w:val="010E2231"/>
    <w:rsid w:val="01474EBF"/>
    <w:rsid w:val="01F3521E"/>
    <w:rsid w:val="02C56C46"/>
    <w:rsid w:val="034C5EB8"/>
    <w:rsid w:val="03B87EA0"/>
    <w:rsid w:val="03E3214F"/>
    <w:rsid w:val="044C50BA"/>
    <w:rsid w:val="04565B8B"/>
    <w:rsid w:val="04B36672"/>
    <w:rsid w:val="05BC6D49"/>
    <w:rsid w:val="06194FF1"/>
    <w:rsid w:val="06A2550B"/>
    <w:rsid w:val="06C52D71"/>
    <w:rsid w:val="06F80EE2"/>
    <w:rsid w:val="07001CCA"/>
    <w:rsid w:val="075678DB"/>
    <w:rsid w:val="079D7CC7"/>
    <w:rsid w:val="07E050EB"/>
    <w:rsid w:val="08051BCA"/>
    <w:rsid w:val="086C12F4"/>
    <w:rsid w:val="08705944"/>
    <w:rsid w:val="08BA052C"/>
    <w:rsid w:val="08DB07BA"/>
    <w:rsid w:val="09057D11"/>
    <w:rsid w:val="0969353F"/>
    <w:rsid w:val="098305D0"/>
    <w:rsid w:val="09BA433A"/>
    <w:rsid w:val="0A3317EA"/>
    <w:rsid w:val="0A5C4B69"/>
    <w:rsid w:val="0A695238"/>
    <w:rsid w:val="0A86124A"/>
    <w:rsid w:val="0AB54CC0"/>
    <w:rsid w:val="0B0B25A6"/>
    <w:rsid w:val="0B9335CE"/>
    <w:rsid w:val="0BF2311A"/>
    <w:rsid w:val="0C7927C4"/>
    <w:rsid w:val="0C8A028F"/>
    <w:rsid w:val="0C9B098C"/>
    <w:rsid w:val="0D673E11"/>
    <w:rsid w:val="0DDA54E4"/>
    <w:rsid w:val="0DDC743D"/>
    <w:rsid w:val="0E3A5F83"/>
    <w:rsid w:val="0F836721"/>
    <w:rsid w:val="0FA25D96"/>
    <w:rsid w:val="10034A1A"/>
    <w:rsid w:val="107B59E5"/>
    <w:rsid w:val="10EC0126"/>
    <w:rsid w:val="10F70B9A"/>
    <w:rsid w:val="111445C7"/>
    <w:rsid w:val="114278C6"/>
    <w:rsid w:val="1158083A"/>
    <w:rsid w:val="11643A4B"/>
    <w:rsid w:val="11E64941"/>
    <w:rsid w:val="11ED0F98"/>
    <w:rsid w:val="11F03528"/>
    <w:rsid w:val="121B15FB"/>
    <w:rsid w:val="12C921C4"/>
    <w:rsid w:val="12FA5D22"/>
    <w:rsid w:val="133B217A"/>
    <w:rsid w:val="13871C70"/>
    <w:rsid w:val="13A71CB4"/>
    <w:rsid w:val="13AF1D43"/>
    <w:rsid w:val="13CE1647"/>
    <w:rsid w:val="13FD55AB"/>
    <w:rsid w:val="14200702"/>
    <w:rsid w:val="14440F45"/>
    <w:rsid w:val="14AD0ED3"/>
    <w:rsid w:val="14CB2D52"/>
    <w:rsid w:val="151319E7"/>
    <w:rsid w:val="163A6CEE"/>
    <w:rsid w:val="16CF5726"/>
    <w:rsid w:val="16FB162A"/>
    <w:rsid w:val="173708E3"/>
    <w:rsid w:val="17C374FC"/>
    <w:rsid w:val="182E4AB6"/>
    <w:rsid w:val="1838338F"/>
    <w:rsid w:val="18453939"/>
    <w:rsid w:val="189079DC"/>
    <w:rsid w:val="189B0D0B"/>
    <w:rsid w:val="18B43F7C"/>
    <w:rsid w:val="18C768C3"/>
    <w:rsid w:val="194A1770"/>
    <w:rsid w:val="1992623E"/>
    <w:rsid w:val="19B906A4"/>
    <w:rsid w:val="19CF5C08"/>
    <w:rsid w:val="19D07961"/>
    <w:rsid w:val="1A1B73A7"/>
    <w:rsid w:val="1A38299D"/>
    <w:rsid w:val="1A5A121E"/>
    <w:rsid w:val="1A9154E4"/>
    <w:rsid w:val="1B0B33FC"/>
    <w:rsid w:val="1B3629FC"/>
    <w:rsid w:val="1B6F15B6"/>
    <w:rsid w:val="1BAA2EDC"/>
    <w:rsid w:val="1C130AA9"/>
    <w:rsid w:val="1CA55E64"/>
    <w:rsid w:val="1D014A01"/>
    <w:rsid w:val="1D022362"/>
    <w:rsid w:val="1D1B04B0"/>
    <w:rsid w:val="1D982D91"/>
    <w:rsid w:val="1DA52501"/>
    <w:rsid w:val="1DBD6767"/>
    <w:rsid w:val="1DC52125"/>
    <w:rsid w:val="1DD26311"/>
    <w:rsid w:val="1E374ACB"/>
    <w:rsid w:val="1ECF0A66"/>
    <w:rsid w:val="1EF67CA4"/>
    <w:rsid w:val="1F020D3A"/>
    <w:rsid w:val="1F192E19"/>
    <w:rsid w:val="1F2C5189"/>
    <w:rsid w:val="1F4B0B02"/>
    <w:rsid w:val="1FA9741B"/>
    <w:rsid w:val="1FBB35CD"/>
    <w:rsid w:val="1FCD26AF"/>
    <w:rsid w:val="1FD46917"/>
    <w:rsid w:val="206337C2"/>
    <w:rsid w:val="20642787"/>
    <w:rsid w:val="21556F04"/>
    <w:rsid w:val="22403BD3"/>
    <w:rsid w:val="22FB1F2C"/>
    <w:rsid w:val="23CB0C5F"/>
    <w:rsid w:val="23FC664B"/>
    <w:rsid w:val="24857AF6"/>
    <w:rsid w:val="24B92327"/>
    <w:rsid w:val="24C14514"/>
    <w:rsid w:val="2533755C"/>
    <w:rsid w:val="25660DEB"/>
    <w:rsid w:val="25791755"/>
    <w:rsid w:val="26326B36"/>
    <w:rsid w:val="26396DF4"/>
    <w:rsid w:val="27167136"/>
    <w:rsid w:val="271B442C"/>
    <w:rsid w:val="2728249E"/>
    <w:rsid w:val="27B23302"/>
    <w:rsid w:val="27E2060C"/>
    <w:rsid w:val="286477CD"/>
    <w:rsid w:val="28AA5C4F"/>
    <w:rsid w:val="28B8432D"/>
    <w:rsid w:val="29310A5F"/>
    <w:rsid w:val="29C37A35"/>
    <w:rsid w:val="2A076083"/>
    <w:rsid w:val="2A73162E"/>
    <w:rsid w:val="2A8B2DB5"/>
    <w:rsid w:val="2B132CC1"/>
    <w:rsid w:val="2B167953"/>
    <w:rsid w:val="2B200583"/>
    <w:rsid w:val="2B8209DE"/>
    <w:rsid w:val="2C636760"/>
    <w:rsid w:val="2C6762A3"/>
    <w:rsid w:val="2D5308D4"/>
    <w:rsid w:val="2E36645D"/>
    <w:rsid w:val="2E3C5A18"/>
    <w:rsid w:val="2EA67993"/>
    <w:rsid w:val="2F13483D"/>
    <w:rsid w:val="2F453D31"/>
    <w:rsid w:val="2FB701D0"/>
    <w:rsid w:val="2FCA4B37"/>
    <w:rsid w:val="2FE029D7"/>
    <w:rsid w:val="2FF06E00"/>
    <w:rsid w:val="30586FEC"/>
    <w:rsid w:val="315F0B22"/>
    <w:rsid w:val="31776B3B"/>
    <w:rsid w:val="31D84415"/>
    <w:rsid w:val="32285F6F"/>
    <w:rsid w:val="322A09F5"/>
    <w:rsid w:val="32770556"/>
    <w:rsid w:val="329C0913"/>
    <w:rsid w:val="32AA0460"/>
    <w:rsid w:val="3337290D"/>
    <w:rsid w:val="33751127"/>
    <w:rsid w:val="33E31118"/>
    <w:rsid w:val="33EF7674"/>
    <w:rsid w:val="342D7BC6"/>
    <w:rsid w:val="352930DB"/>
    <w:rsid w:val="35573069"/>
    <w:rsid w:val="355F6038"/>
    <w:rsid w:val="358C217E"/>
    <w:rsid w:val="35F52D91"/>
    <w:rsid w:val="36C9128A"/>
    <w:rsid w:val="37841E99"/>
    <w:rsid w:val="37BF1123"/>
    <w:rsid w:val="383C3F15"/>
    <w:rsid w:val="384F74A2"/>
    <w:rsid w:val="38BE4696"/>
    <w:rsid w:val="3915395B"/>
    <w:rsid w:val="392D003F"/>
    <w:rsid w:val="3939115E"/>
    <w:rsid w:val="39B82A39"/>
    <w:rsid w:val="39C42CA8"/>
    <w:rsid w:val="39DC4FD6"/>
    <w:rsid w:val="39F03D7A"/>
    <w:rsid w:val="39F33306"/>
    <w:rsid w:val="3A2C1C67"/>
    <w:rsid w:val="3ADD7F09"/>
    <w:rsid w:val="3B1705E5"/>
    <w:rsid w:val="3B18334B"/>
    <w:rsid w:val="3B36794F"/>
    <w:rsid w:val="3B56729A"/>
    <w:rsid w:val="3B6F6EE0"/>
    <w:rsid w:val="3C27594F"/>
    <w:rsid w:val="3C566AD6"/>
    <w:rsid w:val="3C594871"/>
    <w:rsid w:val="3C6A5B02"/>
    <w:rsid w:val="3CBC5897"/>
    <w:rsid w:val="3D2757A1"/>
    <w:rsid w:val="3D3B1AB2"/>
    <w:rsid w:val="3D3D4FC4"/>
    <w:rsid w:val="3D4C577A"/>
    <w:rsid w:val="3D6415A7"/>
    <w:rsid w:val="3DDF3AB1"/>
    <w:rsid w:val="3E1D0952"/>
    <w:rsid w:val="3E3524F1"/>
    <w:rsid w:val="3E42660A"/>
    <w:rsid w:val="3E7555B1"/>
    <w:rsid w:val="3E787ED9"/>
    <w:rsid w:val="3EB565BD"/>
    <w:rsid w:val="3F032E93"/>
    <w:rsid w:val="3F0527E5"/>
    <w:rsid w:val="3F694D83"/>
    <w:rsid w:val="3F885DCC"/>
    <w:rsid w:val="3FCD675E"/>
    <w:rsid w:val="4004000C"/>
    <w:rsid w:val="40437659"/>
    <w:rsid w:val="40BD5482"/>
    <w:rsid w:val="411B6CE5"/>
    <w:rsid w:val="412070D7"/>
    <w:rsid w:val="41314E40"/>
    <w:rsid w:val="41E0734B"/>
    <w:rsid w:val="42111156"/>
    <w:rsid w:val="426C1EA8"/>
    <w:rsid w:val="42736402"/>
    <w:rsid w:val="42C93BF2"/>
    <w:rsid w:val="42E86A87"/>
    <w:rsid w:val="43307B09"/>
    <w:rsid w:val="43457A9B"/>
    <w:rsid w:val="439A3EB9"/>
    <w:rsid w:val="43B90FBD"/>
    <w:rsid w:val="43BB152F"/>
    <w:rsid w:val="44C37687"/>
    <w:rsid w:val="45460F44"/>
    <w:rsid w:val="45CB699A"/>
    <w:rsid w:val="4609132B"/>
    <w:rsid w:val="4622356C"/>
    <w:rsid w:val="465B470D"/>
    <w:rsid w:val="469D6AD4"/>
    <w:rsid w:val="46B21EED"/>
    <w:rsid w:val="46B73528"/>
    <w:rsid w:val="46F00BE6"/>
    <w:rsid w:val="471E6C84"/>
    <w:rsid w:val="4748792B"/>
    <w:rsid w:val="475D719D"/>
    <w:rsid w:val="47674801"/>
    <w:rsid w:val="47923636"/>
    <w:rsid w:val="48225EF7"/>
    <w:rsid w:val="488F422B"/>
    <w:rsid w:val="48E36915"/>
    <w:rsid w:val="48EB6572"/>
    <w:rsid w:val="49372738"/>
    <w:rsid w:val="495C4A24"/>
    <w:rsid w:val="497135DF"/>
    <w:rsid w:val="4A015389"/>
    <w:rsid w:val="4A263DF2"/>
    <w:rsid w:val="4A6F6675"/>
    <w:rsid w:val="4AF67A4F"/>
    <w:rsid w:val="4B135857"/>
    <w:rsid w:val="4B7951CB"/>
    <w:rsid w:val="4B7C315C"/>
    <w:rsid w:val="4DAC4ACA"/>
    <w:rsid w:val="4DBE01D2"/>
    <w:rsid w:val="4F0C6BA3"/>
    <w:rsid w:val="4F186D58"/>
    <w:rsid w:val="4F55092A"/>
    <w:rsid w:val="50BC2CA8"/>
    <w:rsid w:val="50F06B6E"/>
    <w:rsid w:val="51D21804"/>
    <w:rsid w:val="52234D33"/>
    <w:rsid w:val="522F6E0C"/>
    <w:rsid w:val="52463BA1"/>
    <w:rsid w:val="525C3E51"/>
    <w:rsid w:val="52F163D4"/>
    <w:rsid w:val="531A2DB4"/>
    <w:rsid w:val="53622CB8"/>
    <w:rsid w:val="537F5F78"/>
    <w:rsid w:val="53C0244D"/>
    <w:rsid w:val="53DD4D4E"/>
    <w:rsid w:val="53E578CE"/>
    <w:rsid w:val="541330F0"/>
    <w:rsid w:val="54272666"/>
    <w:rsid w:val="543B029D"/>
    <w:rsid w:val="545B6DE1"/>
    <w:rsid w:val="54861779"/>
    <w:rsid w:val="54B30D54"/>
    <w:rsid w:val="552256E1"/>
    <w:rsid w:val="554E5773"/>
    <w:rsid w:val="555A156F"/>
    <w:rsid w:val="555A3CBC"/>
    <w:rsid w:val="5582012B"/>
    <w:rsid w:val="558E4E05"/>
    <w:rsid w:val="55917509"/>
    <w:rsid w:val="55BE2E85"/>
    <w:rsid w:val="55E932C3"/>
    <w:rsid w:val="55ED00E4"/>
    <w:rsid w:val="55F305BC"/>
    <w:rsid w:val="56530F5D"/>
    <w:rsid w:val="56684C9E"/>
    <w:rsid w:val="567700D3"/>
    <w:rsid w:val="56811D51"/>
    <w:rsid w:val="56FF7E9E"/>
    <w:rsid w:val="574D2586"/>
    <w:rsid w:val="578867FC"/>
    <w:rsid w:val="583D3BF2"/>
    <w:rsid w:val="5842572D"/>
    <w:rsid w:val="599203A7"/>
    <w:rsid w:val="5A3B59D6"/>
    <w:rsid w:val="5A5D5497"/>
    <w:rsid w:val="5AD134D8"/>
    <w:rsid w:val="5AEB38E9"/>
    <w:rsid w:val="5B09721D"/>
    <w:rsid w:val="5B5A55DD"/>
    <w:rsid w:val="5BE86A76"/>
    <w:rsid w:val="5C263CE4"/>
    <w:rsid w:val="5C50219A"/>
    <w:rsid w:val="5C5D2777"/>
    <w:rsid w:val="5CF66BF3"/>
    <w:rsid w:val="5D290C69"/>
    <w:rsid w:val="5F2D4A41"/>
    <w:rsid w:val="5F990392"/>
    <w:rsid w:val="6069082B"/>
    <w:rsid w:val="60C74F6C"/>
    <w:rsid w:val="61025A59"/>
    <w:rsid w:val="613D5BBC"/>
    <w:rsid w:val="61536C39"/>
    <w:rsid w:val="61934EBC"/>
    <w:rsid w:val="620C0C83"/>
    <w:rsid w:val="62944DD7"/>
    <w:rsid w:val="630B2F62"/>
    <w:rsid w:val="6319381F"/>
    <w:rsid w:val="63C25DC5"/>
    <w:rsid w:val="63C62057"/>
    <w:rsid w:val="64571EF5"/>
    <w:rsid w:val="64FB113D"/>
    <w:rsid w:val="656152C6"/>
    <w:rsid w:val="6587477F"/>
    <w:rsid w:val="658C3A08"/>
    <w:rsid w:val="65C031CA"/>
    <w:rsid w:val="65CE6852"/>
    <w:rsid w:val="66267C04"/>
    <w:rsid w:val="663F505A"/>
    <w:rsid w:val="66EE5541"/>
    <w:rsid w:val="678A56A9"/>
    <w:rsid w:val="67924660"/>
    <w:rsid w:val="68407834"/>
    <w:rsid w:val="6883293E"/>
    <w:rsid w:val="688412AD"/>
    <w:rsid w:val="68B11808"/>
    <w:rsid w:val="68EB1B71"/>
    <w:rsid w:val="69061C81"/>
    <w:rsid w:val="696A1B14"/>
    <w:rsid w:val="6A6C7940"/>
    <w:rsid w:val="6AAD2300"/>
    <w:rsid w:val="6B474EF5"/>
    <w:rsid w:val="6BC14A3A"/>
    <w:rsid w:val="6C075C16"/>
    <w:rsid w:val="6C0A5AC5"/>
    <w:rsid w:val="6C560CAE"/>
    <w:rsid w:val="6C576495"/>
    <w:rsid w:val="6C5B4BD0"/>
    <w:rsid w:val="6CAF4BC2"/>
    <w:rsid w:val="6D01521A"/>
    <w:rsid w:val="6D903FF5"/>
    <w:rsid w:val="6D997EDC"/>
    <w:rsid w:val="6DA955B8"/>
    <w:rsid w:val="6DE346AB"/>
    <w:rsid w:val="6DE5391A"/>
    <w:rsid w:val="6E7C6F08"/>
    <w:rsid w:val="6EF60E00"/>
    <w:rsid w:val="6EFD1324"/>
    <w:rsid w:val="6F5A53AC"/>
    <w:rsid w:val="6FAC003D"/>
    <w:rsid w:val="6FE55E12"/>
    <w:rsid w:val="6FFB2E76"/>
    <w:rsid w:val="70611A95"/>
    <w:rsid w:val="70623308"/>
    <w:rsid w:val="708F6F7F"/>
    <w:rsid w:val="70D94BD3"/>
    <w:rsid w:val="711555C8"/>
    <w:rsid w:val="71C34D91"/>
    <w:rsid w:val="71EA3984"/>
    <w:rsid w:val="720F4838"/>
    <w:rsid w:val="72B24963"/>
    <w:rsid w:val="72DB435C"/>
    <w:rsid w:val="72DE65A9"/>
    <w:rsid w:val="72E2613A"/>
    <w:rsid w:val="72F771F4"/>
    <w:rsid w:val="73934AD2"/>
    <w:rsid w:val="73B97872"/>
    <w:rsid w:val="73D21420"/>
    <w:rsid w:val="743B2ADA"/>
    <w:rsid w:val="74643ACB"/>
    <w:rsid w:val="750837F0"/>
    <w:rsid w:val="7519797B"/>
    <w:rsid w:val="754758CF"/>
    <w:rsid w:val="76477B81"/>
    <w:rsid w:val="764F62AB"/>
    <w:rsid w:val="765C45EC"/>
    <w:rsid w:val="768A7619"/>
    <w:rsid w:val="768D6C4D"/>
    <w:rsid w:val="772E1EBA"/>
    <w:rsid w:val="780102B4"/>
    <w:rsid w:val="781926BC"/>
    <w:rsid w:val="79290952"/>
    <w:rsid w:val="796D60A4"/>
    <w:rsid w:val="79A031D5"/>
    <w:rsid w:val="79C57CA1"/>
    <w:rsid w:val="79F47AE8"/>
    <w:rsid w:val="7A1525F7"/>
    <w:rsid w:val="7A2C0BAD"/>
    <w:rsid w:val="7A503A68"/>
    <w:rsid w:val="7A6B0110"/>
    <w:rsid w:val="7B026D2A"/>
    <w:rsid w:val="7B420052"/>
    <w:rsid w:val="7BA33DDB"/>
    <w:rsid w:val="7BD06A28"/>
    <w:rsid w:val="7C3A7C0B"/>
    <w:rsid w:val="7C5248E4"/>
    <w:rsid w:val="7C566698"/>
    <w:rsid w:val="7C5866A3"/>
    <w:rsid w:val="7D7406BB"/>
    <w:rsid w:val="7DAE7C14"/>
    <w:rsid w:val="7DC976B5"/>
    <w:rsid w:val="7DE94331"/>
    <w:rsid w:val="7F1635B1"/>
    <w:rsid w:val="7F446A19"/>
    <w:rsid w:val="7F7452B9"/>
    <w:rsid w:val="7F850F3F"/>
    <w:rsid w:val="7FC9074F"/>
    <w:rsid w:val="CFDE2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4004</Words>
  <Characters>22825</Characters>
  <Lines>190</Lines>
  <Paragraphs>53</Paragraphs>
  <TotalTime>22</TotalTime>
  <ScaleCrop>false</ScaleCrop>
  <LinksUpToDate>false</LinksUpToDate>
  <CharactersWithSpaces>26776</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langchao</cp:lastModifiedBy>
  <dcterms:modified xsi:type="dcterms:W3CDTF">2025-04-09T17:43:34Z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