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重庆市荣昌区交通运行监测与应急调度中心</w:t>
      </w:r>
    </w:p>
    <w:p>
      <w:pPr>
        <w:keepNext w:val="0"/>
        <w:keepLines w:val="0"/>
        <w:pageBreakBefore w:val="0"/>
        <w:widowControl/>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w:t>
      </w:r>
      <w:r>
        <w:rPr>
          <w:rFonts w:hint="eastAsia" w:ascii="方正小标宋_GBK" w:hAnsi="方正小标宋_GBK" w:eastAsia="方正小标宋_GBK" w:cs="方正小标宋_GBK"/>
          <w:sz w:val="44"/>
          <w:szCs w:val="44"/>
          <w:lang w:eastAsia="zh-CN"/>
        </w:rPr>
        <w:t>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负责交通运行状况（包括路网）的监测，承担交通应急信息保障，实施交通应急调度指令;负责交通信息资源的管理，采集和分析交通运行数据，编写交通运行监测报告;负责交通行业信息化软硬件的建设和管理，组织实施交通信息化综合性应用项目和基础平台建设，承担全区交通信息系统的日常运行维护工作;负责交通运行监测与应急调度平台的日常运行管理，承担交通出行信息发布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重庆市荣昌区交通运行监测与应急调度中心设置2个内设机构：信息科、综合科。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2023年度收入总计199.16万元，支出总计199.16万元。收支较上年决算数增加6.48万元，增长3.36%，主要原因是</w:t>
      </w:r>
      <w:r>
        <w:rPr>
          <w:rFonts w:hint="eastAsia" w:ascii="方正仿宋_GBK" w:hAnsi="方正仿宋_GBK" w:eastAsia="方正仿宋_GBK" w:cs="方正仿宋_GBK"/>
          <w:sz w:val="32"/>
          <w:szCs w:val="32"/>
          <w:lang w:val="en-US" w:eastAsia="zh-CN"/>
        </w:rPr>
        <w:t>2023年增加在职人员李盛先1人，人员经费增加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2023年度收入合计199.16万元，较上年决算数增加6.48万元，增长3.36%，主要原因是</w:t>
      </w:r>
      <w:r>
        <w:rPr>
          <w:rFonts w:hint="eastAsia" w:ascii="方正仿宋_GBK" w:hAnsi="方正仿宋_GBK" w:eastAsia="方正仿宋_GBK" w:cs="方正仿宋_GBK"/>
          <w:sz w:val="32"/>
          <w:szCs w:val="32"/>
          <w:lang w:val="en-US" w:eastAsia="zh-CN"/>
        </w:rPr>
        <w:t>2023年增加在职人员李盛先1人，人员经费增加。</w:t>
      </w:r>
      <w:r>
        <w:rPr>
          <w:rFonts w:hint="eastAsia" w:ascii="方正仿宋_GBK" w:hAnsi="方正仿宋_GBK" w:eastAsia="方正仿宋_GBK" w:cs="方正仿宋_GBK"/>
          <w:sz w:val="32"/>
          <w:szCs w:val="32"/>
        </w:rPr>
        <w:t>其中：财政拨款收入199.16万元，占100.0%；事业收入0万元，占0.0%；经营收入0万元，占0.0%；其他收入0万元，占0.0%。此外，使用非财政拨款结余和专用结余0万元，年初结转和结余0万元。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2023年度支出合计199.16万元，较上年决算数增加6.48万元，增长3.36%，主要原因是</w:t>
      </w:r>
      <w:r>
        <w:rPr>
          <w:rFonts w:hint="eastAsia" w:ascii="方正仿宋_GBK" w:hAnsi="方正仿宋_GBK" w:eastAsia="方正仿宋_GBK" w:cs="方正仿宋_GBK"/>
          <w:sz w:val="32"/>
          <w:szCs w:val="32"/>
          <w:lang w:val="en-US" w:eastAsia="zh-CN"/>
        </w:rPr>
        <w:t>2023年增加在职人员李盛先1人，人员经费增加。</w:t>
      </w:r>
      <w:r>
        <w:rPr>
          <w:rFonts w:hint="eastAsia" w:ascii="方正仿宋_GBK" w:hAnsi="方正仿宋_GBK" w:eastAsia="方正仿宋_GBK" w:cs="方正仿宋_GBK"/>
          <w:sz w:val="32"/>
          <w:szCs w:val="32"/>
        </w:rPr>
        <w:t>其中：基本支出184.55万元，占92.66%；项目支出14.61万元，占7.34%；经营支出0万元，占0.0%。此外，结余分配0万元。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2023年度年末结转和结余0万元，较上年决算数无增减，主要原因是</w:t>
      </w:r>
      <w:r>
        <w:rPr>
          <w:rFonts w:hint="eastAsia" w:ascii="方正仿宋_GBK" w:hAnsi="方正仿宋_GBK" w:eastAsia="方正仿宋_GBK" w:cs="方正仿宋_GBK"/>
          <w:sz w:val="32"/>
          <w:szCs w:val="32"/>
          <w:lang w:eastAsia="zh-CN"/>
        </w:rPr>
        <w:t>本单位无</w:t>
      </w:r>
      <w:r>
        <w:rPr>
          <w:rFonts w:hint="eastAsia" w:ascii="方正仿宋_GBK" w:hAnsi="方正仿宋_GBK" w:eastAsia="方正仿宋_GBK" w:cs="方正仿宋_GBK"/>
          <w:sz w:val="32"/>
          <w:szCs w:val="32"/>
        </w:rPr>
        <w:t>年末结转和结余</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2023年度财政拨款收、支总计199.16万元。与2022年相比，财政拨款收、支总计各增加6.48万元，增长3.36%。主要原因是</w:t>
      </w:r>
      <w:r>
        <w:rPr>
          <w:rFonts w:hint="eastAsia" w:ascii="方正仿宋_GBK" w:hAnsi="方正仿宋_GBK" w:eastAsia="方正仿宋_GBK" w:cs="方正仿宋_GBK"/>
          <w:sz w:val="32"/>
          <w:szCs w:val="32"/>
          <w:lang w:val="en-US" w:eastAsia="zh-CN"/>
        </w:rPr>
        <w:t>2023年增加在职人员李盛先1人，人员经费增加。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2023年度一般公共预算财政拨款收入199.16万元，较上年决算数增加6.48万元，增长3.36%。主要原因是</w:t>
      </w:r>
      <w:r>
        <w:rPr>
          <w:rFonts w:hint="eastAsia" w:ascii="方正仿宋_GBK" w:hAnsi="方正仿宋_GBK" w:eastAsia="方正仿宋_GBK" w:cs="方正仿宋_GBK"/>
          <w:sz w:val="32"/>
          <w:szCs w:val="32"/>
          <w:lang w:val="en-US" w:eastAsia="zh-CN"/>
        </w:rPr>
        <w:t>2023年增加在职人员李盛先1人，人员经费增加。</w:t>
      </w:r>
      <w:r>
        <w:rPr>
          <w:rFonts w:hint="eastAsia" w:ascii="方正仿宋_GBK" w:hAnsi="方正仿宋_GBK" w:eastAsia="方正仿宋_GBK" w:cs="方正仿宋_GBK"/>
          <w:sz w:val="32"/>
          <w:szCs w:val="32"/>
        </w:rPr>
        <w:t>较年初预算数减少2.89万元，下降1.43%。主要原因是</w:t>
      </w:r>
      <w:r>
        <w:rPr>
          <w:rFonts w:hint="eastAsia" w:ascii="方正仿宋_GBK" w:hAnsi="方正仿宋_GBK" w:eastAsia="方正仿宋_GBK" w:cs="方正仿宋_GBK"/>
          <w:sz w:val="32"/>
          <w:szCs w:val="32"/>
          <w:lang w:val="en-US" w:eastAsia="zh-CN"/>
        </w:rPr>
        <w:t>2023年交调设备维护费减少。此外</w:t>
      </w:r>
      <w:r>
        <w:rPr>
          <w:rFonts w:hint="eastAsia" w:ascii="方正仿宋_GBK" w:hAnsi="方正仿宋_GBK" w:eastAsia="方正仿宋_GBK" w:cs="方正仿宋_GBK"/>
          <w:sz w:val="32"/>
          <w:szCs w:val="32"/>
        </w:rPr>
        <w:t>，年初财政拨款结转和结余0万元。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2023年度一般公共预算财政拨款支出199.16万元，较上年决算数增加6.48万元，增长3.36%。主要原因是</w:t>
      </w:r>
      <w:r>
        <w:rPr>
          <w:rFonts w:hint="eastAsia" w:ascii="方正仿宋_GBK" w:hAnsi="方正仿宋_GBK" w:eastAsia="方正仿宋_GBK" w:cs="方正仿宋_GBK"/>
          <w:sz w:val="32"/>
          <w:szCs w:val="32"/>
          <w:lang w:val="en-US" w:eastAsia="zh-CN"/>
        </w:rPr>
        <w:t>2023年增加在职人员李盛先1人，人员经费增加</w:t>
      </w:r>
      <w:r>
        <w:rPr>
          <w:rFonts w:hint="eastAsia" w:ascii="方正仿宋_GBK" w:hAnsi="方正仿宋_GBK" w:eastAsia="方正仿宋_GBK" w:cs="方正仿宋_GBK"/>
          <w:sz w:val="32"/>
          <w:szCs w:val="32"/>
        </w:rPr>
        <w:t>。较年初预算数减少2.89万元，下降1.43%。主要原因是</w:t>
      </w:r>
      <w:r>
        <w:rPr>
          <w:rFonts w:hint="eastAsia" w:ascii="方正仿宋_GBK" w:hAnsi="方正仿宋_GBK" w:eastAsia="方正仿宋_GBK" w:cs="方正仿宋_GBK"/>
          <w:sz w:val="32"/>
          <w:szCs w:val="32"/>
          <w:lang w:val="en-US" w:eastAsia="zh-CN"/>
        </w:rPr>
        <w:t>2023年交调设备维护费减少</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2023年度年末一般公共预算财政拨款结转和结余0万元，较上年决算数无增减，主要原因是</w:t>
      </w:r>
      <w:r>
        <w:rPr>
          <w:rFonts w:hint="eastAsia" w:ascii="方正仿宋_GBK" w:hAnsi="方正仿宋_GBK" w:eastAsia="方正仿宋_GBK" w:cs="方正仿宋_GBK"/>
          <w:sz w:val="32"/>
          <w:szCs w:val="32"/>
          <w:lang w:eastAsia="zh-CN"/>
        </w:rPr>
        <w:t>本单位</w:t>
      </w:r>
      <w:r>
        <w:rPr>
          <w:rFonts w:hint="eastAsia" w:ascii="方正仿宋_GBK" w:hAnsi="方正仿宋_GBK" w:eastAsia="方正仿宋_GBK" w:cs="方正仿宋_GBK"/>
          <w:sz w:val="32"/>
          <w:szCs w:val="32"/>
        </w:rPr>
        <w:t>2023年度</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一般公共预算财政拨款结转和结余。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4.比较情况。</w:t>
      </w:r>
      <w:r>
        <w:rPr>
          <w:rFonts w:hint="eastAsia" w:ascii="方正仿宋_GBK" w:hAnsi="方正仿宋_GBK" w:eastAsia="方正仿宋_GBK" w:cs="方正仿宋_GBK"/>
          <w:sz w:val="32"/>
          <w:szCs w:val="32"/>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（1）教育支出0.86万元，占0.43%，较年初预算数减少0.07万元，下降7.53%，主要原因是年终追减年初一般公共预算中未使用完的</w:t>
      </w:r>
      <w:r>
        <w:rPr>
          <w:rFonts w:hint="eastAsia" w:ascii="方正仿宋_GBK" w:hAnsi="方正仿宋_GBK" w:eastAsia="方正仿宋_GBK" w:cs="方正仿宋_GBK"/>
          <w:sz w:val="32"/>
          <w:szCs w:val="32"/>
          <w:lang w:eastAsia="zh-CN"/>
        </w:rPr>
        <w:t>培训费用</w:t>
      </w:r>
      <w:r>
        <w:rPr>
          <w:rFonts w:hint="eastAsia" w:ascii="方正仿宋_GBK" w:hAnsi="方正仿宋_GBK" w:eastAsia="方正仿宋_GBK" w:cs="方正仿宋_GBK"/>
          <w:sz w:val="32"/>
          <w:szCs w:val="32"/>
          <w:lang w:val="en-US" w:eastAsia="zh-CN"/>
        </w:rPr>
        <w:t>0.07</w:t>
      </w:r>
      <w:r>
        <w:rPr>
          <w:rFonts w:hint="eastAsia" w:ascii="方正仿宋_GBK" w:hAnsi="方正仿宋_GBK" w:eastAsia="方正仿宋_GBK" w:cs="方正仿宋_GBK"/>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）社会保障与就业支出19.62万元，占9.85%，较年初预算数增加1.18万元，增长6.4%，主要原因是</w:t>
      </w:r>
      <w:r>
        <w:rPr>
          <w:rFonts w:hint="eastAsia" w:ascii="方正仿宋_GBK" w:hAnsi="方正仿宋_GBK" w:eastAsia="方正仿宋_GBK" w:cs="方正仿宋_GBK"/>
          <w:sz w:val="32"/>
          <w:szCs w:val="32"/>
          <w:lang w:val="en-US" w:eastAsia="zh-CN"/>
        </w:rPr>
        <w:t>增加在职人员李盛先1人，</w:t>
      </w:r>
      <w:r>
        <w:rPr>
          <w:rFonts w:hint="eastAsia" w:ascii="方正仿宋_GBK" w:hAnsi="方正仿宋_GBK" w:eastAsia="方正仿宋_GBK" w:cs="方正仿宋_GBK"/>
          <w:sz w:val="32"/>
          <w:szCs w:val="32"/>
        </w:rPr>
        <w:t>年终追</w:t>
      </w:r>
      <w:r>
        <w:rPr>
          <w:rFonts w:hint="eastAsia" w:ascii="方正仿宋_GBK" w:hAnsi="方正仿宋_GBK" w:eastAsia="方正仿宋_GBK" w:cs="方正仿宋_GBK"/>
          <w:sz w:val="32"/>
          <w:szCs w:val="32"/>
          <w:lang w:eastAsia="zh-CN"/>
        </w:rPr>
        <w:t>加</w:t>
      </w:r>
      <w:r>
        <w:rPr>
          <w:rFonts w:hint="eastAsia" w:ascii="方正仿宋_GBK" w:hAnsi="方正仿宋_GBK" w:eastAsia="方正仿宋_GBK" w:cs="方正仿宋_GBK"/>
          <w:sz w:val="32"/>
          <w:szCs w:val="32"/>
        </w:rPr>
        <w:t>一般公共预算基本养老保险</w:t>
      </w:r>
      <w:r>
        <w:rPr>
          <w:rFonts w:hint="eastAsia" w:ascii="方正仿宋_GBK" w:hAnsi="方正仿宋_GBK" w:eastAsia="方正仿宋_GBK" w:cs="方正仿宋_GBK"/>
          <w:sz w:val="32"/>
          <w:szCs w:val="32"/>
          <w:lang w:val="en-US" w:eastAsia="zh-CN"/>
        </w:rPr>
        <w:t>0.85</w:t>
      </w:r>
      <w:r>
        <w:rPr>
          <w:rFonts w:hint="eastAsia" w:ascii="方正仿宋_GBK" w:hAnsi="方正仿宋_GBK" w:eastAsia="方正仿宋_GBK" w:cs="方正仿宋_GBK"/>
          <w:sz w:val="32"/>
          <w:szCs w:val="32"/>
        </w:rPr>
        <w:t>万元，职业年金0.</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）卫生健康支出8.15万元，占4.09%，较年初预算数增加0.68万元，增长9.1%，主要原因是</w:t>
      </w:r>
      <w:r>
        <w:rPr>
          <w:rFonts w:hint="eastAsia" w:ascii="方正仿宋_GBK" w:hAnsi="方正仿宋_GBK" w:eastAsia="方正仿宋_GBK" w:cs="方正仿宋_GBK"/>
          <w:sz w:val="32"/>
          <w:szCs w:val="32"/>
          <w:lang w:val="en-US" w:eastAsia="zh-CN"/>
        </w:rPr>
        <w:t>增加在职人员李盛先1人，</w:t>
      </w:r>
      <w:r>
        <w:rPr>
          <w:rFonts w:hint="eastAsia" w:ascii="方正仿宋_GBK" w:hAnsi="方正仿宋_GBK" w:eastAsia="方正仿宋_GBK" w:cs="方正仿宋_GBK"/>
          <w:sz w:val="32"/>
          <w:szCs w:val="32"/>
        </w:rPr>
        <w:t>年终追</w:t>
      </w:r>
      <w:r>
        <w:rPr>
          <w:rFonts w:hint="eastAsia" w:ascii="方正仿宋_GBK" w:hAnsi="方正仿宋_GBK" w:eastAsia="方正仿宋_GBK" w:cs="方正仿宋_GBK"/>
          <w:sz w:val="32"/>
          <w:szCs w:val="32"/>
          <w:lang w:eastAsia="zh-CN"/>
        </w:rPr>
        <w:t>加</w:t>
      </w:r>
      <w:r>
        <w:rPr>
          <w:rFonts w:hint="eastAsia" w:ascii="方正仿宋_GBK" w:hAnsi="方正仿宋_GBK" w:eastAsia="方正仿宋_GBK" w:cs="方正仿宋_GBK"/>
          <w:sz w:val="32"/>
          <w:szCs w:val="32"/>
        </w:rPr>
        <w:t>一般公共预算职工基本医疗保险0.</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万元、在职大额医疗互助金0.</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万元、在职</w:t>
      </w:r>
      <w:r>
        <w:rPr>
          <w:rFonts w:hint="eastAsia" w:ascii="方正仿宋_GBK" w:hAnsi="方正仿宋_GBK" w:eastAsia="方正仿宋_GBK" w:cs="方正仿宋_GBK"/>
          <w:sz w:val="32"/>
          <w:szCs w:val="32"/>
          <w:lang w:eastAsia="zh-CN"/>
        </w:rPr>
        <w:t>失业保险</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05</w:t>
      </w:r>
      <w:r>
        <w:rPr>
          <w:rFonts w:hint="eastAsia" w:ascii="方正仿宋_GBK" w:hAnsi="方正仿宋_GBK" w:eastAsia="方正仿宋_GBK" w:cs="方正仿宋_GBK"/>
          <w:sz w:val="32"/>
          <w:szCs w:val="32"/>
        </w:rPr>
        <w:t>万元。年终</w:t>
      </w:r>
      <w:r>
        <w:rPr>
          <w:rFonts w:hint="eastAsia" w:ascii="方正仿宋_GBK" w:hAnsi="方正仿宋_GBK" w:eastAsia="方正仿宋_GBK" w:cs="方正仿宋_GBK"/>
          <w:sz w:val="32"/>
          <w:szCs w:val="32"/>
          <w:lang w:eastAsia="zh-CN"/>
        </w:rPr>
        <w:t>追减工伤保险（事业）</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，生育保险（事业）</w:t>
      </w:r>
      <w:r>
        <w:rPr>
          <w:rFonts w:hint="eastAsia" w:ascii="方正仿宋_GBK" w:hAnsi="方正仿宋_GBK" w:eastAsia="方正仿宋_GBK" w:cs="方正仿宋_GBK"/>
          <w:sz w:val="32"/>
          <w:szCs w:val="32"/>
          <w:lang w:val="en-US" w:eastAsia="zh-CN"/>
        </w:rPr>
        <w:t>0.07万元。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）交通运输支出162.38万元，占81.53%，较年初预算数减少5.41万元，下降3.22%，主要原因是年终追减年初一般公共预算中未使用完的未休假补贴</w:t>
      </w:r>
      <w:r>
        <w:rPr>
          <w:rFonts w:hint="eastAsia" w:ascii="方正仿宋_GBK" w:hAnsi="方正仿宋_GBK" w:eastAsia="方正仿宋_GBK" w:cs="方正仿宋_GBK"/>
          <w:sz w:val="32"/>
          <w:szCs w:val="32"/>
          <w:lang w:val="en-US" w:eastAsia="zh-CN"/>
        </w:rPr>
        <w:t>0.7</w:t>
      </w:r>
      <w:r>
        <w:rPr>
          <w:rFonts w:hint="eastAsia" w:ascii="方正仿宋_GBK" w:hAnsi="方正仿宋_GBK" w:eastAsia="方正仿宋_GBK" w:cs="方正仿宋_GBK"/>
          <w:sz w:val="32"/>
          <w:szCs w:val="32"/>
        </w:rPr>
        <w:t>万元，其他津补贴</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rPr>
        <w:t>万元，工伤保险</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rPr>
        <w:t>万元，残疾人就业保障金</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rPr>
        <w:t>万元，信访岗位津贴</w:t>
      </w:r>
      <w:r>
        <w:rPr>
          <w:rFonts w:hint="eastAsia" w:ascii="方正仿宋_GBK" w:hAnsi="方正仿宋_GBK" w:eastAsia="方正仿宋_GBK" w:cs="方正仿宋_GBK"/>
          <w:sz w:val="32"/>
          <w:szCs w:val="32"/>
          <w:lang w:val="en-US" w:eastAsia="zh-CN"/>
        </w:rPr>
        <w:t>0.06</w:t>
      </w:r>
      <w:r>
        <w:rPr>
          <w:rFonts w:hint="eastAsia" w:ascii="方正仿宋_GBK" w:hAnsi="方正仿宋_GBK" w:eastAsia="方正仿宋_GBK" w:cs="方正仿宋_GBK"/>
          <w:sz w:val="32"/>
          <w:szCs w:val="32"/>
        </w:rPr>
        <w:t>万元，公用经费综合</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万元，公务用车运行维护费</w:t>
      </w:r>
      <w:r>
        <w:rPr>
          <w:rFonts w:hint="eastAsia" w:ascii="方正仿宋_GBK" w:hAnsi="方正仿宋_GBK" w:eastAsia="方正仿宋_GBK" w:cs="方正仿宋_GBK"/>
          <w:sz w:val="32"/>
          <w:szCs w:val="32"/>
          <w:lang w:val="en-US" w:eastAsia="zh-CN"/>
        </w:rPr>
        <w:t>0.9</w:t>
      </w:r>
      <w:r>
        <w:rPr>
          <w:rFonts w:hint="eastAsia" w:ascii="方正仿宋_GBK" w:hAnsi="方正仿宋_GBK" w:eastAsia="方正仿宋_GBK" w:cs="方正仿宋_GBK"/>
          <w:sz w:val="32"/>
          <w:szCs w:val="32"/>
        </w:rPr>
        <w:t>万元，交通运行监测与应急调度经费</w:t>
      </w:r>
      <w:r>
        <w:rPr>
          <w:rFonts w:hint="eastAsia" w:ascii="方正仿宋_GBK" w:hAnsi="方正仿宋_GBK" w:eastAsia="方正仿宋_GBK" w:cs="方正仿宋_GBK"/>
          <w:sz w:val="32"/>
          <w:szCs w:val="32"/>
          <w:lang w:val="en-US" w:eastAsia="zh-CN"/>
        </w:rPr>
        <w:t>10.38</w:t>
      </w:r>
      <w:r>
        <w:rPr>
          <w:rFonts w:hint="eastAsia" w:ascii="方正仿宋_GBK" w:hAnsi="方正仿宋_GBK" w:eastAsia="方正仿宋_GBK" w:cs="方正仿宋_GBK"/>
          <w:sz w:val="32"/>
          <w:szCs w:val="32"/>
        </w:rPr>
        <w:t>万元。年终追加一般公共预算基本工资</w:t>
      </w:r>
      <w:r>
        <w:rPr>
          <w:rFonts w:hint="eastAsia" w:ascii="方正仿宋_GBK" w:hAnsi="方正仿宋_GBK" w:eastAsia="方正仿宋_GBK" w:cs="方正仿宋_GBK"/>
          <w:sz w:val="32"/>
          <w:szCs w:val="32"/>
          <w:lang w:val="en-US" w:eastAsia="zh-CN"/>
        </w:rPr>
        <w:t>4.9</w:t>
      </w:r>
      <w:r>
        <w:rPr>
          <w:rFonts w:hint="eastAsia" w:ascii="方正仿宋_GBK" w:hAnsi="方正仿宋_GBK" w:eastAsia="方正仿宋_GBK" w:cs="方正仿宋_GBK"/>
          <w:sz w:val="32"/>
          <w:szCs w:val="32"/>
        </w:rPr>
        <w:t>万元，奖励性绩效工资（其他事业单位考核绩效工资）</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万元，固定绩效工资（其他事业单位固定绩效工资）</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事业人员嘉奖</w:t>
      </w:r>
      <w:r>
        <w:rPr>
          <w:rFonts w:hint="eastAsia" w:ascii="方正仿宋_GBK" w:hAnsi="方正仿宋_GBK" w:eastAsia="方正仿宋_GBK" w:cs="方正仿宋_GBK"/>
          <w:sz w:val="32"/>
          <w:szCs w:val="32"/>
          <w:lang w:val="en-US" w:eastAsia="zh-CN"/>
        </w:rPr>
        <w:t>0.02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,超额绩效3.11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）住房保障支出8.15万元，占4.09%，较年初预算数增加0.72万元，增长9.69%，主要原因是</w:t>
      </w:r>
      <w:r>
        <w:rPr>
          <w:rFonts w:hint="eastAsia" w:ascii="方正仿宋_GBK" w:hAnsi="方正仿宋_GBK" w:eastAsia="方正仿宋_GBK" w:cs="方正仿宋_GBK"/>
          <w:sz w:val="32"/>
          <w:szCs w:val="32"/>
          <w:lang w:val="en-US" w:eastAsia="zh-CN"/>
        </w:rPr>
        <w:t>增加在职人员李盛先1人，</w:t>
      </w:r>
      <w:r>
        <w:rPr>
          <w:rFonts w:hint="eastAsia" w:ascii="方正仿宋_GBK" w:hAnsi="方正仿宋_GBK" w:eastAsia="方正仿宋_GBK" w:cs="方正仿宋_GBK"/>
          <w:sz w:val="32"/>
          <w:szCs w:val="32"/>
        </w:rPr>
        <w:t>年终追</w:t>
      </w:r>
      <w:r>
        <w:rPr>
          <w:rFonts w:hint="eastAsia" w:ascii="方正仿宋_GBK" w:hAnsi="方正仿宋_GBK" w:eastAsia="方正仿宋_GBK" w:cs="方正仿宋_GBK"/>
          <w:sz w:val="32"/>
          <w:szCs w:val="32"/>
          <w:lang w:eastAsia="zh-CN"/>
        </w:rPr>
        <w:t>加</w:t>
      </w:r>
      <w:r>
        <w:rPr>
          <w:rFonts w:hint="eastAsia" w:ascii="方正仿宋_GBK" w:hAnsi="方正仿宋_GBK" w:eastAsia="方正仿宋_GBK" w:cs="方正仿宋_GBK"/>
          <w:sz w:val="32"/>
          <w:szCs w:val="32"/>
        </w:rPr>
        <w:t>一般公共预算住房公积金</w:t>
      </w:r>
      <w:r>
        <w:rPr>
          <w:rFonts w:hint="eastAsia" w:ascii="方正仿宋_GBK" w:hAnsi="方正仿宋_GBK" w:eastAsia="方正仿宋_GBK" w:cs="方正仿宋_GBK"/>
          <w:sz w:val="32"/>
          <w:szCs w:val="32"/>
          <w:lang w:val="en-US" w:eastAsia="zh-CN"/>
        </w:rPr>
        <w:t>0.72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2023年度一般公共财政拨款基本支出184.55万元。其中：人员经费155万元，较上年决算数增加13.33万元，增长9.41%，主要原因是</w:t>
      </w:r>
      <w:r>
        <w:rPr>
          <w:rFonts w:hint="eastAsia" w:ascii="方正仿宋_GBK" w:hAnsi="方正仿宋_GBK" w:eastAsia="方正仿宋_GBK" w:cs="方正仿宋_GBK"/>
          <w:sz w:val="32"/>
          <w:szCs w:val="32"/>
          <w:lang w:val="en-US" w:eastAsia="zh-CN"/>
        </w:rPr>
        <w:t>2023年增加在职人员李盛先1人，人员经费增加。</w:t>
      </w:r>
      <w:r>
        <w:rPr>
          <w:rFonts w:hint="eastAsia" w:ascii="方正仿宋_GBK" w:hAnsi="方正仿宋_GBK" w:eastAsia="方正仿宋_GBK" w:cs="方正仿宋_GBK"/>
          <w:sz w:val="32"/>
          <w:szCs w:val="32"/>
        </w:rPr>
        <w:t>人员经费用途主要包括基本工资、津贴补贴、奖金、绩效工资、机关事业单位基本养老保险费、职业年金缴费、职工基本医疗保险缴费、其他社会保障缴费、住房公积金、医疗费、生活补助、医疗费补助、奖励金。公用经费29.55万元，较上年决算数减少6.6万元，下降18.26%，主要原因是</w:t>
      </w:r>
      <w:r>
        <w:rPr>
          <w:rFonts w:hint="eastAsia" w:ascii="方正仿宋_GBK" w:hAnsi="方正仿宋_GBK" w:eastAsia="方正仿宋_GBK" w:cs="方正仿宋_GBK"/>
          <w:sz w:val="32"/>
          <w:szCs w:val="32"/>
          <w:lang w:val="en-US" w:eastAsia="zh-CN"/>
        </w:rPr>
        <w:t>2023年日常公用经费标准减少,厉行节约</w:t>
      </w:r>
      <w:r>
        <w:rPr>
          <w:rFonts w:hint="eastAsia" w:ascii="方正仿宋_GBK" w:hAnsi="方正仿宋_GBK" w:eastAsia="方正仿宋_GBK" w:cs="方正仿宋_GBK"/>
          <w:sz w:val="32"/>
          <w:szCs w:val="32"/>
        </w:rPr>
        <w:t>。公用经费用途主要包括办公费、印刷费、水费、电费、邮电费、物业管理费、差旅费、维修（护）费、培训费、公务接待费、劳务费、工会经费、福利费、公务用车运行维护费、其他商品和服务支出、办公设备购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2.15万元，较年初预算数减少0.95万元，下降30.65%，主要原因一是认真贯彻落实中央八项规定精神，按照只减不增的要求从严控制“三公”经费，全年实际支出数较预算数有所下降；二是严格落实公车使用规定，公车运行维护成本有所下降；三是强化公务接待支出管理，严格遵守公务接待开支范围和开支标准，严格控制陪餐人数，对应由接待对象承担的费用一律由接待对象自行支付，公务接待费有所下降。较上年支出数增加1.22万元，增长131.18%，主要原因是</w:t>
      </w:r>
      <w:r>
        <w:rPr>
          <w:rFonts w:hint="eastAsia" w:ascii="方正仿宋_GBK" w:hAnsi="方正仿宋_GBK" w:eastAsia="方正仿宋_GBK" w:cs="方正仿宋_GBK"/>
          <w:sz w:val="32"/>
          <w:szCs w:val="32"/>
          <w:lang w:val="en-US" w:eastAsia="zh-CN"/>
        </w:rPr>
        <w:t>2023年新增一辆公务车，2022年9月公务车由交建中心划拨给交调中心。接待市交调中心检查1次，公务接待6人。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2023年度本单位因公出国（境）费用0万元，费用支出较年初预算数无增减，较上年支出数无增减，主要原因是本单位202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公务车购置费0万元，费用支出较年初预算数无增减，较上年支出数无增减，主要原因是本单位202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车运行维护费2.05万元，主要用于机要文件交换、市内因公出行等工作所需车辆的燃料费、维修费、过桥过路费、保险费等。费用支出较年初预算数减少0.95万元，下降31.67%，主要原因一是认真贯彻落实中央八项规定精神，按照只减不增的要求从严控制“三公”经费，全年实际支出数较预算数有所下降；二是严格落实公务车使用规定，公务车运行维护成本有所下降。较上年支出数增加1.21万元，增长144.05%，主要原因是</w:t>
      </w:r>
      <w:r>
        <w:rPr>
          <w:rFonts w:hint="eastAsia" w:ascii="方正仿宋_GBK" w:hAnsi="方正仿宋_GBK" w:eastAsia="方正仿宋_GBK" w:cs="方正仿宋_GBK"/>
          <w:sz w:val="32"/>
          <w:szCs w:val="32"/>
          <w:lang w:val="en-US" w:eastAsia="zh-CN"/>
        </w:rPr>
        <w:t>2023年新增一辆公务车，2022年9月公务车由交建中心划拨给交调中心。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公务接待费0.09万元，主要用于接待市内其他区县单位到我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学习调研、接受市级部门检查指导、向上争取资金等发生的接待支出。费用支出较年初预算数减少0.01万元，下降10.0%，主要原因一是认真贯彻落实中央八项规定精神，按照只减不增的要求从严控制“三公”经费，全年实际支出数较预算数有所下降；二是强化公务接待支出管理，严格遵守公务接待开支范围和开支标准，严格控制陪餐人数，对应由接待对象承担的费用一律由接待对象自行支付，公务接待费有所下降。较上年支出数无增减</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0辆，公务车保有量为1辆；国内公务接待1批次10人，其中：国内外事接待0批次，0人；国（境）外公务接待0批次，0人。2023年本单位人均接待费94元，车均购置费0万元，车均维护费2.05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w:t>
      </w:r>
      <w:bookmarkStart w:id="0" w:name="_GoBack"/>
      <w:bookmarkEnd w:id="0"/>
      <w:r>
        <w:rPr>
          <w:rFonts w:hint="eastAsia" w:ascii="方正仿宋_GBK" w:hAnsi="方正仿宋_GBK" w:eastAsia="方正仿宋_GBK" w:cs="方正仿宋_GBK"/>
          <w:sz w:val="32"/>
          <w:szCs w:val="32"/>
        </w:rPr>
        <w:t>万元，较上年决算数无增减，主要原因是本单位202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年度未发生会议费。本年度培训费支出0.86万元，较上年决算数减少0.11万元，下降11.34%，主要原因是</w:t>
      </w:r>
      <w:r>
        <w:rPr>
          <w:rFonts w:hint="eastAsia" w:ascii="方正仿宋_GBK" w:hAnsi="方正仿宋_GBK" w:eastAsia="方正仿宋_GBK" w:cs="方正仿宋_GBK"/>
          <w:sz w:val="32"/>
          <w:szCs w:val="32"/>
          <w:lang w:val="en-US" w:eastAsia="zh-CN"/>
        </w:rPr>
        <w:t>2023年培训方式多元化，现场培训次数减少，线上培训增加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（一）单位自评情况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单位对</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个项目开展了绩效自评，</w:t>
      </w:r>
      <w:r>
        <w:rPr>
          <w:rFonts w:hint="eastAsia" w:ascii="方正仿宋_GBK" w:hAnsi="方正仿宋_GBK" w:eastAsia="方正仿宋_GBK" w:cs="方正仿宋_GBK"/>
          <w:sz w:val="32"/>
          <w:szCs w:val="32"/>
          <w:lang w:eastAsia="zh-CN"/>
        </w:rPr>
        <w:t>涉及</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支出资金</w:t>
      </w:r>
      <w:r>
        <w:rPr>
          <w:rFonts w:hint="eastAsia" w:ascii="方正仿宋_GBK" w:hAnsi="方正仿宋_GBK" w:eastAsia="方正仿宋_GBK" w:cs="方正仿宋_GBK"/>
          <w:sz w:val="32"/>
          <w:szCs w:val="32"/>
          <w:lang w:val="en-US" w:eastAsia="zh-CN"/>
        </w:rPr>
        <w:t>14.61</w:t>
      </w:r>
      <w:r>
        <w:rPr>
          <w:rFonts w:hint="eastAsia" w:ascii="方正仿宋_GBK" w:hAnsi="方正仿宋_GBK" w:eastAsia="方正仿宋_GBK" w:cs="方正仿宋_GBK"/>
          <w:sz w:val="32"/>
          <w:szCs w:val="32"/>
        </w:rPr>
        <w:t>万元。详见表10项目绩效自评表。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（二）单位绩效评价情况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单位未</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K" w:hAnsi="方正仿宋_GBK" w:eastAsia="方正仿宋_GBK" w:cs="方正仿宋_GBK"/>
          <w:sz w:val="32"/>
          <w:szCs w:val="32"/>
        </w:rPr>
        <w:t>蓝雪娅    023-46746250</w:t>
      </w:r>
    </w:p>
    <w:p>
      <w:pPr>
        <w:rPr>
          <w:rFonts w:hint="default" w:cs="宋体"/>
          <w:color w:val="auto"/>
          <w:sz w:val="21"/>
          <w:szCs w:val="21"/>
        </w:rPr>
      </w:pPr>
    </w:p>
    <w:p>
      <w:pPr>
        <w:rPr>
          <w:rFonts w:hint="default" w:cs="宋体"/>
          <w:color w:val="auto"/>
          <w:sz w:val="21"/>
          <w:szCs w:val="21"/>
        </w:rPr>
      </w:pPr>
    </w:p>
    <w:tbl>
      <w:tblPr>
        <w:tblStyle w:val="7"/>
        <w:tblW w:w="11160" w:type="dxa"/>
        <w:jc w:val="center"/>
        <w:tblInd w:w="0" w:type="dxa"/>
        <w:tblLayout w:type="fixed"/>
        <w:tblCellMar>
          <w:top w:w="0" w:type="dxa"/>
          <w:left w:w="0" w:type="dxa"/>
          <w:bottom w:w="0" w:type="dxa"/>
          <w:right w:w="0" w:type="dxa"/>
        </w:tblCellMar>
      </w:tblPr>
      <w:tblGrid>
        <w:gridCol w:w="3713"/>
        <w:gridCol w:w="1465"/>
        <w:gridCol w:w="3487"/>
        <w:gridCol w:w="2495"/>
      </w:tblGrid>
      <w:tr>
        <w:tblPrEx>
          <w:tblLayout w:type="fixed"/>
          <w:tblCellMar>
            <w:top w:w="0" w:type="dxa"/>
            <w:left w:w="0" w:type="dxa"/>
            <w:bottom w:w="0" w:type="dxa"/>
            <w:right w:w="0" w:type="dxa"/>
          </w:tblCellMar>
        </w:tblPrEx>
        <w:trPr>
          <w:trHeight w:val="417" w:hRule="atLeast"/>
          <w:jc w:val="center"/>
        </w:trPr>
        <w:tc>
          <w:tcPr>
            <w:tcW w:w="11160"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96" w:hRule="atLeast"/>
          <w:jc w:val="center"/>
        </w:trPr>
        <w:tc>
          <w:tcPr>
            <w:tcW w:w="371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1465"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348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49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96" w:hRule="atLeast"/>
          <w:jc w:val="center"/>
        </w:trPr>
        <w:tc>
          <w:tcPr>
            <w:tcW w:w="3713"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重庆市荣昌区交通运行监测与应急调度中心</w:t>
            </w:r>
          </w:p>
        </w:tc>
        <w:tc>
          <w:tcPr>
            <w:tcW w:w="1465"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348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49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69" w:hRule="atLeast"/>
          <w:jc w:val="center"/>
        </w:trPr>
        <w:tc>
          <w:tcPr>
            <w:tcW w:w="5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598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199.16</w:t>
            </w: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0.86</w:t>
            </w: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1465"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19.62</w:t>
            </w:r>
            <w:r>
              <w:rPr>
                <w:color w:val="auto"/>
                <w:sz w:val="20"/>
                <w:u w:color="auto"/>
              </w:rPr>
              <w:t xml:space="preserve"> </w:t>
            </w:r>
          </w:p>
        </w:tc>
      </w:tr>
      <w:tr>
        <w:tblPrEx>
          <w:tblLayout w:type="fixed"/>
          <w:tblCellMar>
            <w:top w:w="0" w:type="dxa"/>
            <w:left w:w="0" w:type="dxa"/>
            <w:bottom w:w="0" w:type="dxa"/>
            <w:right w:w="0" w:type="dxa"/>
          </w:tblCellMar>
        </w:tblPrEx>
        <w:trPr>
          <w:trHeight w:val="26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8.15</w:t>
            </w:r>
            <w:r>
              <w:rPr>
                <w:color w:val="auto"/>
                <w:sz w:val="20"/>
                <w:u w:color="auto"/>
              </w:rPr>
              <w:t xml:space="preserve"> </w:t>
            </w:r>
          </w:p>
        </w:tc>
      </w:tr>
      <w:tr>
        <w:tblPrEx>
          <w:tblLayout w:type="fixed"/>
          <w:tblCellMar>
            <w:top w:w="0" w:type="dxa"/>
            <w:left w:w="0" w:type="dxa"/>
            <w:bottom w:w="0" w:type="dxa"/>
            <w:right w:w="0" w:type="dxa"/>
          </w:tblCellMar>
        </w:tblPrEx>
        <w:trPr>
          <w:trHeight w:val="26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6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6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6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162.38</w:t>
            </w: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8.15</w:t>
            </w: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199.16</w:t>
            </w: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199.16</w:t>
            </w: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2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5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24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289" w:hRule="atLeast"/>
          <w:jc w:val="center"/>
        </w:trPr>
        <w:tc>
          <w:tcPr>
            <w:tcW w:w="37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199.16</w:t>
            </w:r>
            <w:r>
              <w:rPr>
                <w:color w:val="auto"/>
                <w:sz w:val="20"/>
                <w:u w:color="auto"/>
              </w:rPr>
              <w:t xml:space="preserve"> </w:t>
            </w:r>
          </w:p>
        </w:tc>
        <w:tc>
          <w:tcPr>
            <w:tcW w:w="3487"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199.16</w:t>
            </w:r>
            <w:r>
              <w:rPr>
                <w:color w:val="auto"/>
                <w:sz w:val="20"/>
                <w:u w:color="auto"/>
              </w:rPr>
              <w:t xml:space="preserve"> </w:t>
            </w:r>
          </w:p>
        </w:tc>
      </w:tr>
    </w:tbl>
    <w:p>
      <w:pPr>
        <w:spacing w:line="240" w:lineRule="exact"/>
        <w:rPr>
          <w:rFonts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cs="宋体"/>
          <w:color w:val="auto"/>
          <w:sz w:val="20"/>
          <w:szCs w:val="20"/>
        </w:rPr>
      </w:pPr>
    </w:p>
    <w:p>
      <w:pPr>
        <w:spacing w:line="240" w:lineRule="exact"/>
        <w:rPr>
          <w:rFonts w:hint="default" w:cs="宋体"/>
          <w:color w:val="auto"/>
          <w:sz w:val="20"/>
          <w:szCs w:val="20"/>
        </w:rPr>
      </w:pPr>
    </w:p>
    <w:tbl>
      <w:tblPr>
        <w:tblStyle w:val="7"/>
        <w:tblW w:w="10980" w:type="dxa"/>
        <w:jc w:val="center"/>
        <w:tblInd w:w="0" w:type="dxa"/>
        <w:tblLayout w:type="fixed"/>
        <w:tblCellMar>
          <w:top w:w="0" w:type="dxa"/>
          <w:left w:w="0" w:type="dxa"/>
          <w:bottom w:w="0" w:type="dxa"/>
          <w:right w:w="0" w:type="dxa"/>
        </w:tblCellMar>
      </w:tblPr>
      <w:tblGrid>
        <w:gridCol w:w="1215"/>
        <w:gridCol w:w="2264"/>
        <w:gridCol w:w="881"/>
        <w:gridCol w:w="880"/>
        <w:gridCol w:w="880"/>
        <w:gridCol w:w="881"/>
        <w:gridCol w:w="975"/>
        <w:gridCol w:w="933"/>
        <w:gridCol w:w="1028"/>
        <w:gridCol w:w="1043"/>
      </w:tblGrid>
      <w:tr>
        <w:tblPrEx>
          <w:tblLayout w:type="fixed"/>
          <w:tblCellMar>
            <w:top w:w="0" w:type="dxa"/>
            <w:left w:w="0" w:type="dxa"/>
            <w:bottom w:w="0" w:type="dxa"/>
            <w:right w:w="0" w:type="dxa"/>
          </w:tblCellMar>
        </w:tblPrEx>
        <w:trPr>
          <w:trHeight w:val="641" w:hRule="atLeast"/>
          <w:jc w:val="center"/>
        </w:trPr>
        <w:tc>
          <w:tcPr>
            <w:tcW w:w="1098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jc w:val="center"/>
        </w:trPr>
        <w:tc>
          <w:tcPr>
            <w:tcW w:w="347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重庆市荣昌区交通运行监测与应急调度中心</w:t>
            </w:r>
          </w:p>
        </w:tc>
        <w:tc>
          <w:tcPr>
            <w:tcW w:w="8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9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4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jc w:val="center"/>
        </w:trPr>
        <w:tc>
          <w:tcPr>
            <w:tcW w:w="347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9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4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jc w:val="center"/>
        </w:trPr>
        <w:tc>
          <w:tcPr>
            <w:tcW w:w="347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jc w:val="center"/>
        </w:trPr>
        <w:tc>
          <w:tcPr>
            <w:tcW w:w="121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2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22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22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jc w:val="center"/>
        </w:trPr>
        <w:tc>
          <w:tcPr>
            <w:tcW w:w="121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22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199.16</w:t>
            </w:r>
            <w:r>
              <w:rPr>
                <w:b/>
                <w:color w:val="auto"/>
                <w:sz w:val="20"/>
                <w:u w:color="auto"/>
              </w:rPr>
              <w:t xml:space="preserve"> </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199.16</w:t>
            </w:r>
            <w:r>
              <w:rPr>
                <w:b/>
                <w:color w:val="auto"/>
                <w:sz w:val="20"/>
                <w:u w:color="auto"/>
              </w:rPr>
              <w:t xml:space="preserve"> </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教育支出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20508</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进修及培训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2050803</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培训支出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0.86</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0.86</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10.76</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10.76</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5.79</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5.79</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3.07</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3.07</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5.80</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5.80</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214</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交通运输支出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162.38</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162.38</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21401</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公路水路运输</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162.38</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162.38</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2140104</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公路建设</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9.80</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9.80</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2140199</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其他公路水路运输支出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152.58</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152.58</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22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8.15</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8.15</w:t>
            </w:r>
            <w:r>
              <w:rPr>
                <w:color w:val="auto"/>
                <w:sz w:val="20"/>
                <w:u w:color="auto"/>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7"/>
        <w:tblW w:w="11120" w:type="dxa"/>
        <w:jc w:val="center"/>
        <w:tblInd w:w="0" w:type="dxa"/>
        <w:tblLayout w:type="fixed"/>
        <w:tblCellMar>
          <w:top w:w="0" w:type="dxa"/>
          <w:left w:w="0" w:type="dxa"/>
          <w:bottom w:w="0" w:type="dxa"/>
          <w:right w:w="0" w:type="dxa"/>
        </w:tblCellMar>
      </w:tblPr>
      <w:tblGrid>
        <w:gridCol w:w="1304"/>
        <w:gridCol w:w="2426"/>
        <w:gridCol w:w="1230"/>
        <w:gridCol w:w="1230"/>
        <w:gridCol w:w="1230"/>
        <w:gridCol w:w="1218"/>
        <w:gridCol w:w="1219"/>
        <w:gridCol w:w="1263"/>
      </w:tblGrid>
      <w:tr>
        <w:tblPrEx>
          <w:tblLayout w:type="fixed"/>
          <w:tblCellMar>
            <w:top w:w="0" w:type="dxa"/>
            <w:left w:w="0" w:type="dxa"/>
            <w:bottom w:w="0" w:type="dxa"/>
            <w:right w:w="0" w:type="dxa"/>
          </w:tblCellMar>
        </w:tblPrEx>
        <w:trPr>
          <w:trHeight w:val="676" w:hRule="atLeast"/>
          <w:jc w:val="center"/>
        </w:trPr>
        <w:tc>
          <w:tcPr>
            <w:tcW w:w="1112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60" w:hRule="atLeast"/>
          <w:jc w:val="center"/>
        </w:trPr>
        <w:tc>
          <w:tcPr>
            <w:tcW w:w="373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重庆市荣昌区交通运行监测与应急调度中心 </w:t>
            </w: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6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60" w:hRule="atLeast"/>
          <w:jc w:val="center"/>
        </w:trPr>
        <w:tc>
          <w:tcPr>
            <w:tcW w:w="373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6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91" w:hRule="atLeast"/>
          <w:jc w:val="center"/>
        </w:trPr>
        <w:tc>
          <w:tcPr>
            <w:tcW w:w="3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66" w:hRule="atLeast"/>
          <w:jc w:val="center"/>
        </w:trPr>
        <w:tc>
          <w:tcPr>
            <w:tcW w:w="130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42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6" w:hRule="atLeast"/>
          <w:jc w:val="center"/>
        </w:trPr>
        <w:tc>
          <w:tcPr>
            <w:tcW w:w="130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242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6" w:hRule="atLeast"/>
          <w:jc w:val="center"/>
        </w:trPr>
        <w:tc>
          <w:tcPr>
            <w:tcW w:w="130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242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6" w:hRule="atLeast"/>
          <w:jc w:val="center"/>
        </w:trPr>
        <w:tc>
          <w:tcPr>
            <w:tcW w:w="130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242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91" w:hRule="atLeast"/>
          <w:jc w:val="center"/>
        </w:trPr>
        <w:tc>
          <w:tcPr>
            <w:tcW w:w="3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199.16</w:t>
            </w:r>
            <w:r>
              <w:rPr>
                <w:b/>
                <w:color w:val="auto"/>
                <w:sz w:val="20"/>
                <w:u w:color="auto"/>
              </w:rPr>
              <w:t xml:space="preserve"> </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184.55</w:t>
            </w:r>
            <w:r>
              <w:rPr>
                <w:b/>
                <w:color w:val="auto"/>
                <w:sz w:val="20"/>
                <w:u w:color="auto"/>
              </w:rPr>
              <w:t xml:space="preserve"> </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14.61</w:t>
            </w:r>
            <w:r>
              <w:rPr>
                <w:b/>
                <w:color w:val="auto"/>
                <w:sz w:val="20"/>
                <w:u w:color="auto"/>
              </w:rPr>
              <w:t xml:space="preserve"> </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教育支出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20508</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进修及培训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0.86</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2050803</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培训支出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0.86</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0.86</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19.62</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10.76</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10.76</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5.79</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5.79</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3.07</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3.07</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5.80</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5.80</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214</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交通运输支出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162.38</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147.77</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14.61</w:t>
            </w:r>
            <w:r>
              <w:rPr>
                <w:b/>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21401</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公路水路运输</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162.38</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147.77</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14.61</w:t>
            </w:r>
            <w:r>
              <w:rPr>
                <w:b/>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2140104</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公路建设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9.80</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9.80</w:t>
            </w: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2140199</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其他公路水路运输支出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152.58</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147.77</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4.81</w:t>
            </w: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1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8.15</w:t>
            </w:r>
            <w:r>
              <w:rPr>
                <w:b/>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421" w:hRule="atLeast"/>
          <w:jc w:val="center"/>
        </w:trPr>
        <w:tc>
          <w:tcPr>
            <w:tcW w:w="13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2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8.15</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8.15</w:t>
            </w:r>
            <w:r>
              <w:rPr>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7"/>
        <w:tblW w:w="11100" w:type="dxa"/>
        <w:jc w:val="center"/>
        <w:tblInd w:w="0" w:type="dxa"/>
        <w:tblLayout w:type="fixed"/>
        <w:tblCellMar>
          <w:top w:w="0" w:type="dxa"/>
          <w:left w:w="0" w:type="dxa"/>
          <w:bottom w:w="0" w:type="dxa"/>
          <w:right w:w="0" w:type="dxa"/>
        </w:tblCellMar>
      </w:tblPr>
      <w:tblGrid>
        <w:gridCol w:w="2245"/>
        <w:gridCol w:w="1149"/>
        <w:gridCol w:w="2404"/>
        <w:gridCol w:w="1"/>
        <w:gridCol w:w="1280"/>
        <w:gridCol w:w="1"/>
        <w:gridCol w:w="1280"/>
        <w:gridCol w:w="1281"/>
        <w:gridCol w:w="1459"/>
      </w:tblGrid>
      <w:tr>
        <w:tblPrEx>
          <w:tblLayout w:type="fixed"/>
          <w:tblCellMar>
            <w:top w:w="0" w:type="dxa"/>
            <w:left w:w="0" w:type="dxa"/>
            <w:bottom w:w="0" w:type="dxa"/>
            <w:right w:w="0" w:type="dxa"/>
          </w:tblCellMar>
        </w:tblPrEx>
        <w:trPr>
          <w:trHeight w:val="423" w:hRule="atLeast"/>
          <w:jc w:val="center"/>
        </w:trPr>
        <w:tc>
          <w:tcPr>
            <w:tcW w:w="11100" w:type="dxa"/>
            <w:gridSpan w:val="9"/>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260" w:hRule="atLeast"/>
          <w:jc w:val="center"/>
        </w:trPr>
        <w:tc>
          <w:tcPr>
            <w:tcW w:w="3394"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 xml:space="preserve">公开单位： </w:t>
            </w:r>
            <w:r>
              <w:rPr>
                <w:color w:val="auto"/>
                <w:sz w:val="20"/>
                <w:u w:color="auto"/>
              </w:rPr>
              <w:t>重庆市荣昌区交通运行监测与应急调度中心</w:t>
            </w:r>
          </w:p>
        </w:tc>
        <w:tc>
          <w:tcPr>
            <w:tcW w:w="240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300" w:hRule="atLeast"/>
          <w:jc w:val="center"/>
        </w:trPr>
        <w:tc>
          <w:tcPr>
            <w:tcW w:w="3394"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29" w:hRule="atLeast"/>
          <w:jc w:val="center"/>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770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229" w:hRule="atLeast"/>
          <w:jc w:val="center"/>
        </w:trPr>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24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5302"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433" w:hRule="atLeast"/>
          <w:jc w:val="center"/>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4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0.86</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0.86</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19.62</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19.62</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8.15</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8.15</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162.38</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162.38</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8.15</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8.15</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22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239" w:hRule="atLeast"/>
          <w:jc w:val="center"/>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199.16</w:t>
            </w:r>
            <w:r>
              <w:rPr>
                <w:color w:val="auto"/>
                <w:sz w:val="18"/>
                <w:u w:color="auto"/>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1180" w:type="dxa"/>
        <w:jc w:val="center"/>
        <w:tblInd w:w="0" w:type="dxa"/>
        <w:tblLayout w:type="fixed"/>
        <w:tblCellMar>
          <w:top w:w="0" w:type="dxa"/>
          <w:left w:w="0" w:type="dxa"/>
          <w:bottom w:w="0" w:type="dxa"/>
          <w:right w:w="0" w:type="dxa"/>
        </w:tblCellMar>
      </w:tblPr>
      <w:tblGrid>
        <w:gridCol w:w="1350"/>
        <w:gridCol w:w="2580"/>
        <w:gridCol w:w="2413"/>
        <w:gridCol w:w="2413"/>
        <w:gridCol w:w="2424"/>
      </w:tblGrid>
      <w:tr>
        <w:tblPrEx>
          <w:tblLayout w:type="fixed"/>
          <w:tblCellMar>
            <w:top w:w="0" w:type="dxa"/>
            <w:left w:w="0" w:type="dxa"/>
            <w:bottom w:w="0" w:type="dxa"/>
            <w:right w:w="0" w:type="dxa"/>
          </w:tblCellMar>
        </w:tblPrEx>
        <w:trPr>
          <w:trHeight w:val="510" w:hRule="atLeast"/>
          <w:jc w:val="center"/>
        </w:trPr>
        <w:tc>
          <w:tcPr>
            <w:tcW w:w="1118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393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重庆市荣昌区交通运行监测与应急调度中心</w:t>
            </w:r>
          </w:p>
        </w:tc>
        <w:tc>
          <w:tcPr>
            <w:tcW w:w="241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1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2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jc w:val="center"/>
        </w:trPr>
        <w:tc>
          <w:tcPr>
            <w:tcW w:w="393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1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1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2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jc w:val="center"/>
        </w:trPr>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72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jc w:val="center"/>
        </w:trPr>
        <w:tc>
          <w:tcPr>
            <w:tcW w:w="13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5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24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24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24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jc w:val="center"/>
        </w:trPr>
        <w:tc>
          <w:tcPr>
            <w:tcW w:w="1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5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jc w:val="center"/>
        </w:trPr>
        <w:tc>
          <w:tcPr>
            <w:tcW w:w="1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5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jc w:val="center"/>
        </w:trPr>
        <w:tc>
          <w:tcPr>
            <w:tcW w:w="393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199.16</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184.55</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14.61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教育支出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0.86</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0.86</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20508</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进修及培训</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0.86</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0.86</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2050803</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培训支出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0.86</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0.86</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19.62</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19.62</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19.62</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19.62</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10.76</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10.76</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5.79</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5.79</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3.07</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3.07</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5.80</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5.80</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2.36</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2.36</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214</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交通运输支出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162.38</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147.77</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14.61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21401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公路水路运输</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162.38</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147.77</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14.61</w:t>
            </w:r>
            <w:r>
              <w:rPr>
                <w:b/>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2140104</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公路建设</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9.80</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9.80</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2140199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其他公路水路运输支出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152.58</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147.77</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4.81</w:t>
            </w: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8.15</w:t>
            </w:r>
            <w:r>
              <w:rPr>
                <w:b/>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8.15</w:t>
            </w:r>
            <w:r>
              <w:rPr>
                <w:color w:val="auto"/>
                <w:sz w:val="20"/>
                <w:u w:color="auto"/>
              </w:rPr>
              <w:t xml:space="preserve"> </w:t>
            </w:r>
          </w:p>
        </w:tc>
        <w:tc>
          <w:tcPr>
            <w:tcW w:w="2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8.15</w:t>
            </w:r>
            <w:r>
              <w:rPr>
                <w:color w:val="auto"/>
                <w:sz w:val="20"/>
                <w:u w:color="auto"/>
              </w:rPr>
              <w:t xml:space="preserve"> </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7"/>
        <w:tblW w:w="11040" w:type="dxa"/>
        <w:jc w:val="center"/>
        <w:tblInd w:w="0" w:type="dxa"/>
        <w:tblLayout w:type="fixed"/>
        <w:tblCellMar>
          <w:top w:w="0" w:type="dxa"/>
          <w:left w:w="0" w:type="dxa"/>
          <w:bottom w:w="0" w:type="dxa"/>
          <w:right w:w="0" w:type="dxa"/>
        </w:tblCellMar>
      </w:tblPr>
      <w:tblGrid>
        <w:gridCol w:w="548"/>
        <w:gridCol w:w="1857"/>
        <w:gridCol w:w="988"/>
        <w:gridCol w:w="600"/>
        <w:gridCol w:w="1"/>
        <w:gridCol w:w="1381"/>
        <w:gridCol w:w="1"/>
        <w:gridCol w:w="1189"/>
        <w:gridCol w:w="2"/>
        <w:gridCol w:w="579"/>
        <w:gridCol w:w="1"/>
        <w:gridCol w:w="2535"/>
        <w:gridCol w:w="1358"/>
      </w:tblGrid>
      <w:tr>
        <w:tblPrEx>
          <w:tblLayout w:type="fixed"/>
          <w:tblCellMar>
            <w:top w:w="0" w:type="dxa"/>
            <w:left w:w="0" w:type="dxa"/>
            <w:bottom w:w="0" w:type="dxa"/>
            <w:right w:w="0" w:type="dxa"/>
          </w:tblCellMar>
        </w:tblPrEx>
        <w:trPr>
          <w:trHeight w:val="518" w:hRule="atLeast"/>
          <w:jc w:val="center"/>
        </w:trPr>
        <w:tc>
          <w:tcPr>
            <w:tcW w:w="11040" w:type="dxa"/>
            <w:gridSpan w:val="13"/>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341" w:hRule="atLeast"/>
          <w:jc w:val="center"/>
        </w:trPr>
        <w:tc>
          <w:tcPr>
            <w:tcW w:w="240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 xml:space="preserve">公开单位： </w:t>
            </w:r>
            <w:r>
              <w:rPr>
                <w:color w:val="auto"/>
                <w:sz w:val="20"/>
                <w:u w:color="auto"/>
              </w:rPr>
              <w:t>重庆市荣昌区交通运行监测与应急调度中心</w:t>
            </w:r>
          </w:p>
        </w:tc>
        <w:tc>
          <w:tcPr>
            <w:tcW w:w="98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38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9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53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341" w:hRule="atLeast"/>
          <w:jc w:val="center"/>
        </w:trPr>
        <w:tc>
          <w:tcPr>
            <w:tcW w:w="240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98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38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9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53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75" w:hRule="atLeast"/>
          <w:jc w:val="center"/>
        </w:trPr>
        <w:tc>
          <w:tcPr>
            <w:tcW w:w="33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7647"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76" w:hRule="atLeast"/>
          <w:jc w:val="center"/>
        </w:trPr>
        <w:tc>
          <w:tcPr>
            <w:tcW w:w="54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9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38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19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58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53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516" w:hRule="atLeast"/>
          <w:jc w:val="center"/>
        </w:trPr>
        <w:tc>
          <w:tcPr>
            <w:tcW w:w="5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9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8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1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58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5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2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152.13</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29.55</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37.26</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2.43</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1.72</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78.03</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0.05</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10.76</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0.01</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5.79</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5.80</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2.45</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7.36</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8.15</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1.28</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0.90</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2.87</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0.86</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0.09</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2.66</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0.20</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5.54</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0.01</w:t>
            </w: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2.60</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2.05</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8.56</w:t>
            </w: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Layout w:type="fixed"/>
          <w:tblCellMar>
            <w:top w:w="0" w:type="dxa"/>
            <w:left w:w="0" w:type="dxa"/>
            <w:bottom w:w="0" w:type="dxa"/>
            <w:right w:w="0" w:type="dxa"/>
          </w:tblCellMar>
        </w:tblPrEx>
        <w:trPr>
          <w:trHeight w:val="2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2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46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275"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275" w:hRule="atLeast"/>
          <w:jc w:val="center"/>
        </w:trPr>
        <w:tc>
          <w:tcPr>
            <w:tcW w:w="24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9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155.00</w:t>
            </w:r>
            <w:r>
              <w:rPr>
                <w:color w:val="auto"/>
                <w:sz w:val="18"/>
                <w:u w:color="auto"/>
              </w:rPr>
              <w:t xml:space="preserve"> </w:t>
            </w:r>
          </w:p>
        </w:tc>
        <w:tc>
          <w:tcPr>
            <w:tcW w:w="628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29.55</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0920" w:type="dxa"/>
        <w:jc w:val="center"/>
        <w:tblInd w:w="0" w:type="dxa"/>
        <w:tblLayout w:type="fixed"/>
        <w:tblCellMar>
          <w:top w:w="0" w:type="dxa"/>
          <w:left w:w="0" w:type="dxa"/>
          <w:bottom w:w="0" w:type="dxa"/>
          <w:right w:w="0" w:type="dxa"/>
        </w:tblCellMar>
      </w:tblPr>
      <w:tblGrid>
        <w:gridCol w:w="1317"/>
        <w:gridCol w:w="2192"/>
        <w:gridCol w:w="1212"/>
        <w:gridCol w:w="1213"/>
        <w:gridCol w:w="1212"/>
        <w:gridCol w:w="1212"/>
        <w:gridCol w:w="1258"/>
        <w:gridCol w:w="1304"/>
      </w:tblGrid>
      <w:tr>
        <w:tblPrEx>
          <w:tblLayout w:type="fixed"/>
          <w:tblCellMar>
            <w:top w:w="0" w:type="dxa"/>
            <w:left w:w="0" w:type="dxa"/>
            <w:bottom w:w="0" w:type="dxa"/>
            <w:right w:w="0" w:type="dxa"/>
          </w:tblCellMar>
        </w:tblPrEx>
        <w:trPr>
          <w:trHeight w:val="731" w:hRule="atLeast"/>
          <w:jc w:val="center"/>
        </w:trPr>
        <w:tc>
          <w:tcPr>
            <w:tcW w:w="1092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77" w:hRule="atLeast"/>
          <w:jc w:val="center"/>
        </w:trPr>
        <w:tc>
          <w:tcPr>
            <w:tcW w:w="350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重庆市荣昌区交通运行监测与应急调度中心</w:t>
            </w:r>
          </w:p>
        </w:tc>
        <w:tc>
          <w:tcPr>
            <w:tcW w:w="12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77" w:hRule="atLeast"/>
          <w:jc w:val="center"/>
        </w:trPr>
        <w:tc>
          <w:tcPr>
            <w:tcW w:w="350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99" w:hRule="atLeast"/>
          <w:jc w:val="center"/>
        </w:trPr>
        <w:tc>
          <w:tcPr>
            <w:tcW w:w="3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2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368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94" w:hRule="atLeast"/>
          <w:jc w:val="center"/>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2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94"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734"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99" w:hRule="atLeast"/>
          <w:jc w:val="center"/>
        </w:trPr>
        <w:tc>
          <w:tcPr>
            <w:tcW w:w="350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7"/>
        <w:tblW w:w="10920" w:type="dxa"/>
        <w:jc w:val="center"/>
        <w:tblInd w:w="0" w:type="dxa"/>
        <w:tblLayout w:type="fixed"/>
        <w:tblCellMar>
          <w:top w:w="0" w:type="dxa"/>
          <w:left w:w="0" w:type="dxa"/>
          <w:bottom w:w="0" w:type="dxa"/>
          <w:right w:w="0" w:type="dxa"/>
        </w:tblCellMar>
      </w:tblPr>
      <w:tblGrid>
        <w:gridCol w:w="1336"/>
        <w:gridCol w:w="2173"/>
        <w:gridCol w:w="2327"/>
        <w:gridCol w:w="142"/>
        <w:gridCol w:w="2467"/>
        <w:gridCol w:w="55"/>
        <w:gridCol w:w="2420"/>
      </w:tblGrid>
      <w:tr>
        <w:tblPrEx>
          <w:tblLayout w:type="fixed"/>
          <w:tblCellMar>
            <w:top w:w="0" w:type="dxa"/>
            <w:left w:w="0" w:type="dxa"/>
            <w:bottom w:w="0" w:type="dxa"/>
            <w:right w:w="0" w:type="dxa"/>
          </w:tblCellMar>
        </w:tblPrEx>
        <w:trPr>
          <w:trHeight w:val="647" w:hRule="atLeast"/>
          <w:jc w:val="center"/>
        </w:trPr>
        <w:tc>
          <w:tcPr>
            <w:tcW w:w="1092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7" w:hRule="atLeast"/>
          <w:jc w:val="center"/>
        </w:trPr>
        <w:tc>
          <w:tcPr>
            <w:tcW w:w="350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重庆市荣昌区交通运行监测与应急调度中心</w:t>
            </w:r>
          </w:p>
        </w:tc>
        <w:tc>
          <w:tcPr>
            <w:tcW w:w="23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664"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2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7" w:hRule="atLeast"/>
          <w:jc w:val="center"/>
        </w:trPr>
        <w:tc>
          <w:tcPr>
            <w:tcW w:w="350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3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664"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42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4" w:hRule="atLeast"/>
          <w:jc w:val="center"/>
        </w:trPr>
        <w:tc>
          <w:tcPr>
            <w:tcW w:w="3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74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43" w:hRule="atLeast"/>
          <w:jc w:val="center"/>
        </w:trPr>
        <w:tc>
          <w:tcPr>
            <w:tcW w:w="13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1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2469"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24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247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43" w:hRule="atLeast"/>
          <w:jc w:val="center"/>
        </w:trPr>
        <w:tc>
          <w:tcPr>
            <w:tcW w:w="13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6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7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43" w:hRule="atLeast"/>
          <w:jc w:val="center"/>
        </w:trPr>
        <w:tc>
          <w:tcPr>
            <w:tcW w:w="13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6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7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1" w:hRule="atLeast"/>
          <w:jc w:val="center"/>
        </w:trPr>
        <w:tc>
          <w:tcPr>
            <w:tcW w:w="13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6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47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26" w:hRule="atLeast"/>
          <w:jc w:val="center"/>
        </w:trPr>
        <w:tc>
          <w:tcPr>
            <w:tcW w:w="3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24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2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24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7"/>
        <w:tblW w:w="11000" w:type="dxa"/>
        <w:jc w:val="center"/>
        <w:tblInd w:w="0" w:type="dxa"/>
        <w:tblLayout w:type="fixed"/>
        <w:tblCellMar>
          <w:top w:w="0" w:type="dxa"/>
          <w:left w:w="0" w:type="dxa"/>
          <w:bottom w:w="0" w:type="dxa"/>
          <w:right w:w="0" w:type="dxa"/>
        </w:tblCellMar>
      </w:tblPr>
      <w:tblGrid>
        <w:gridCol w:w="2981"/>
        <w:gridCol w:w="1599"/>
        <w:gridCol w:w="1562"/>
        <w:gridCol w:w="3334"/>
        <w:gridCol w:w="1524"/>
      </w:tblGrid>
      <w:tr>
        <w:tblPrEx>
          <w:tblLayout w:type="fixed"/>
          <w:tblCellMar>
            <w:top w:w="0" w:type="dxa"/>
            <w:left w:w="0" w:type="dxa"/>
            <w:bottom w:w="0" w:type="dxa"/>
            <w:right w:w="0" w:type="dxa"/>
          </w:tblCellMar>
        </w:tblPrEx>
        <w:trPr>
          <w:trHeight w:val="429" w:hRule="atLeast"/>
          <w:jc w:val="center"/>
        </w:trPr>
        <w:tc>
          <w:tcPr>
            <w:tcW w:w="11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0" w:type="dxa"/>
            <w:bottom w:w="0" w:type="dxa"/>
            <w:right w:w="0" w:type="dxa"/>
          </w:tblCellMar>
        </w:tblPrEx>
        <w:trPr>
          <w:trHeight w:val="305" w:hRule="atLeast"/>
          <w:jc w:val="center"/>
        </w:trPr>
        <w:tc>
          <w:tcPr>
            <w:tcW w:w="298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159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15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0" w:type="dxa"/>
            <w:bottom w:w="0" w:type="dxa"/>
            <w:right w:w="0" w:type="dxa"/>
          </w:tblCellMar>
        </w:tblPrEx>
        <w:trPr>
          <w:trHeight w:val="595" w:hRule="atLeast"/>
          <w:jc w:val="center"/>
        </w:trPr>
        <w:tc>
          <w:tcPr>
            <w:tcW w:w="298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 xml:space="preserve">公开单位： </w:t>
            </w:r>
            <w:r>
              <w:rPr>
                <w:color w:val="auto"/>
                <w:sz w:val="20"/>
                <w:u w:color="auto"/>
              </w:rPr>
              <w:t>重庆市荣昌区交通运行监测与应急调度中心</w:t>
            </w:r>
          </w:p>
        </w:tc>
        <w:tc>
          <w:tcPr>
            <w:tcW w:w="1599"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156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333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1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7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  目</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  目</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7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一、“三公”经费支出</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（一）支出合计</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2.15</w:t>
            </w:r>
            <w:r>
              <w:rPr>
                <w:color w:val="auto"/>
                <w:sz w:val="20"/>
                <w:u w:color="auto"/>
              </w:rPr>
              <w:t xml:space="preserve"> </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2.15</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（一）行政单位</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1．因公出国（境）费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（二）参照公务员法管理事业单位</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2．公务用车购置及运行维护费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2.05</w:t>
            </w:r>
            <w:r>
              <w:rPr>
                <w:color w:val="auto"/>
                <w:sz w:val="20"/>
                <w:u w:color="auto"/>
              </w:rPr>
              <w:t xml:space="preserve"> </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2.05</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（1）公务用车购置费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（一）车辆数合计（辆）</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1</w:t>
            </w: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（2）公务用车运行维护费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2.05</w:t>
            </w:r>
            <w:r>
              <w:rPr>
                <w:color w:val="auto"/>
                <w:sz w:val="20"/>
                <w:u w:color="auto"/>
              </w:rPr>
              <w:t xml:space="preserve"> </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2.05</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1．副部（省）级及以上领导用车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3．公务接待费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0.09</w:t>
            </w:r>
            <w:r>
              <w:rPr>
                <w:color w:val="auto"/>
                <w:sz w:val="20"/>
                <w:u w:color="auto"/>
              </w:rPr>
              <w:t xml:space="preserve"> </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0.09</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2．主要领导干部用车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（1）国内接待费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0.09</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3．机要通信用车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4．应急保障用车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1</w:t>
            </w: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（2）国（境）外接待费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5．执法执勤用车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（二）相关统计数</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6．特种专业技术用车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1．因公出国（境）团组数（个）</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7．离退休干部用车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2．因公出国（境）人次数（人）</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8．其他用车</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3．公务用车购置数（辆）</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（二）单价100万元（含）以上设备（不含车辆）</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4．公务用车保有量（辆）</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1</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5．国内公务接待批次（个）</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1</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（一）政府采购支出合计</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其中：外事接待批次（个）</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1．政府采购货物支出</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6．国内公务接待人次（人）</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10</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2．政府采购工程支出</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其中：外事接待人次（人）</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3．政府采购服务支出</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7．国（境）外公务接待批次（个）</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（二）政府采购授予中小企业合同金额</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8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8．国（境）外公务接待人次（人）</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其中：授予小微企业合同金额</w:t>
            </w: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Layout w:type="fixed"/>
          <w:tblCellMar>
            <w:top w:w="0" w:type="dxa"/>
            <w:left w:w="0" w:type="dxa"/>
            <w:bottom w:w="0" w:type="dxa"/>
            <w:right w:w="0" w:type="dxa"/>
          </w:tblCellMar>
        </w:tblPrEx>
        <w:trPr>
          <w:trHeight w:val="304"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rPr>
            </w:pPr>
          </w:p>
        </w:tc>
      </w:tr>
      <w:tr>
        <w:tblPrEx>
          <w:tblLayout w:type="fixed"/>
          <w:tblCellMar>
            <w:top w:w="0" w:type="dxa"/>
            <w:left w:w="0" w:type="dxa"/>
            <w:bottom w:w="0" w:type="dxa"/>
            <w:right w:w="0" w:type="dxa"/>
          </w:tblCellMar>
        </w:tblPrEx>
        <w:trPr>
          <w:trHeight w:val="288" w:hRule="atLeast"/>
          <w:jc w:val="center"/>
        </w:trPr>
        <w:tc>
          <w:tcPr>
            <w:tcW w:w="29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15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0.86</w:t>
            </w:r>
            <w:r>
              <w:rPr>
                <w:color w:val="auto"/>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rPr>
            </w:pPr>
          </w:p>
        </w:tc>
      </w:tr>
    </w:tbl>
    <w:p>
      <w:pPr>
        <w:rPr>
          <w:rFonts w:cs="宋体"/>
          <w:color w:val="auto"/>
          <w:sz w:val="20"/>
          <w:szCs w:val="20"/>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cs="宋体"/>
          <w:color w:val="auto"/>
          <w:sz w:val="20"/>
          <w:szCs w:val="20"/>
        </w:rPr>
      </w:pPr>
    </w:p>
    <w:p>
      <w:pPr>
        <w:rPr>
          <w:rFonts w:cs="宋体"/>
          <w:color w:val="auto"/>
          <w:sz w:val="20"/>
          <w:szCs w:val="20"/>
        </w:rPr>
      </w:pPr>
    </w:p>
    <w:p>
      <w:pPr>
        <w:rPr>
          <w:rFonts w:cs="宋体"/>
          <w:color w:val="auto"/>
          <w:sz w:val="20"/>
          <w:szCs w:val="20"/>
        </w:rPr>
      </w:pPr>
    </w:p>
    <w:p>
      <w:pPr>
        <w:rPr>
          <w:rFonts w:cs="宋体"/>
          <w:color w:val="auto"/>
          <w:sz w:val="20"/>
          <w:szCs w:val="20"/>
        </w:rPr>
      </w:pPr>
    </w:p>
    <w:p>
      <w:pPr>
        <w:rPr>
          <w:rFonts w:cs="宋体"/>
          <w:color w:val="auto"/>
          <w:sz w:val="20"/>
          <w:szCs w:val="20"/>
        </w:rPr>
      </w:pPr>
    </w:p>
    <w:tbl>
      <w:tblPr>
        <w:tblStyle w:val="7"/>
        <w:tblW w:w="10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1"/>
        <w:gridCol w:w="359"/>
        <w:gridCol w:w="814"/>
        <w:gridCol w:w="1155"/>
        <w:gridCol w:w="1135"/>
        <w:gridCol w:w="1371"/>
        <w:gridCol w:w="1046"/>
        <w:gridCol w:w="1114"/>
        <w:gridCol w:w="650"/>
        <w:gridCol w:w="964"/>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2"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6"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auto"/>
                <w:sz w:val="20"/>
                <w:szCs w:val="20"/>
                <w:u w:val="none"/>
              </w:rPr>
            </w:pPr>
            <w:r>
              <w:rPr>
                <w:rFonts w:hint="eastAsia" w:cs="宋体"/>
                <w:b w:val="0"/>
                <w:bCs/>
                <w:i w:val="0"/>
                <w:color w:val="auto"/>
                <w:kern w:val="0"/>
                <w:sz w:val="20"/>
                <w:szCs w:val="20"/>
                <w:u w:val="none"/>
                <w:lang w:val="en-US" w:eastAsia="zh-CN" w:bidi="ar"/>
              </w:rPr>
              <w:t xml:space="preserve">                                                                                 </w:t>
            </w:r>
            <w:r>
              <w:rPr>
                <w:rFonts w:hint="eastAsia" w:ascii="宋体" w:hAnsi="宋体" w:eastAsia="宋体" w:cs="宋体"/>
                <w:b w:val="0"/>
                <w:bCs/>
                <w:i w:val="0"/>
                <w:color w:val="auto"/>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9800" w:hanging="9800" w:hangingChars="4900"/>
              <w:jc w:val="left"/>
              <w:textAlignment w:val="center"/>
              <w:rPr>
                <w:rFonts w:hint="eastAsia" w:ascii="宋体" w:hAnsi="宋体" w:eastAsia="宋体" w:cs="宋体"/>
                <w:b w:val="0"/>
                <w:bCs/>
                <w:i w:val="0"/>
                <w:color w:val="auto"/>
                <w:sz w:val="20"/>
                <w:szCs w:val="20"/>
                <w:u w:val="none"/>
              </w:rPr>
            </w:pPr>
            <w:r>
              <w:rPr>
                <w:rFonts w:hint="eastAsia" w:ascii="宋体" w:hAnsi="宋体" w:eastAsia="宋体" w:cs="宋体"/>
                <w:b w:val="0"/>
                <w:bCs/>
                <w:i w:val="0"/>
                <w:color w:val="auto"/>
                <w:kern w:val="0"/>
                <w:sz w:val="20"/>
                <w:szCs w:val="20"/>
                <w:u w:val="none"/>
                <w:lang w:val="en-US" w:eastAsia="zh-CN" w:bidi="ar"/>
              </w:rPr>
              <w:t>公开</w:t>
            </w:r>
            <w:r>
              <w:rPr>
                <w:rFonts w:hint="eastAsia" w:cs="宋体"/>
                <w:b w:val="0"/>
                <w:bCs/>
                <w:i w:val="0"/>
                <w:color w:val="auto"/>
                <w:kern w:val="0"/>
                <w:sz w:val="20"/>
                <w:szCs w:val="20"/>
                <w:u w:val="none"/>
                <w:lang w:val="en-US" w:eastAsia="zh-CN" w:bidi="ar"/>
              </w:rPr>
              <w:t>单位</w:t>
            </w:r>
            <w:r>
              <w:rPr>
                <w:rFonts w:hint="eastAsia" w:ascii="宋体" w:hAnsi="宋体" w:eastAsia="宋体" w:cs="宋体"/>
                <w:b w:val="0"/>
                <w:bCs/>
                <w:i w:val="0"/>
                <w:color w:val="auto"/>
                <w:kern w:val="0"/>
                <w:sz w:val="20"/>
                <w:szCs w:val="20"/>
                <w:u w:val="none"/>
                <w:lang w:val="en-US" w:eastAsia="zh-CN" w:bidi="ar"/>
              </w:rPr>
              <w:t>：重庆市荣昌区交通运行监测与应急调度中心                                                                 单</w:t>
            </w:r>
            <w:r>
              <w:rPr>
                <w:rFonts w:hint="eastAsia" w:cs="宋体"/>
                <w:b w:val="0"/>
                <w:bCs/>
                <w:i w:val="0"/>
                <w:color w:val="auto"/>
                <w:kern w:val="0"/>
                <w:sz w:val="20"/>
                <w:szCs w:val="20"/>
                <w:u w:val="none"/>
                <w:lang w:val="en-US" w:eastAsia="zh-CN" w:bidi="ar"/>
              </w:rPr>
              <w:t>位</w:t>
            </w:r>
            <w:r>
              <w:rPr>
                <w:rFonts w:hint="eastAsia" w:ascii="宋体" w:hAnsi="宋体" w:eastAsia="宋体" w:cs="宋体"/>
                <w:b w:val="0"/>
                <w:bCs/>
                <w:i w:val="0"/>
                <w:color w:val="auto"/>
                <w:kern w:val="0"/>
                <w:sz w:val="20"/>
                <w:szCs w:val="20"/>
                <w:u w:val="none"/>
                <w:lang w:val="en-US" w:eastAsia="zh-CN" w:bidi="ar"/>
              </w:rPr>
              <w:t>：</w:t>
            </w:r>
            <w:r>
              <w:rPr>
                <w:rFonts w:hint="eastAsia" w:cs="宋体"/>
                <w:b w:val="0"/>
                <w:bCs/>
                <w:i w:val="0"/>
                <w:color w:val="auto"/>
                <w:kern w:val="0"/>
                <w:sz w:val="20"/>
                <w:szCs w:val="20"/>
                <w:u w:val="none"/>
                <w:lang w:val="en-US" w:eastAsia="zh-CN" w:bidi="ar"/>
              </w:rPr>
              <w:t>万</w:t>
            </w:r>
            <w:r>
              <w:rPr>
                <w:rFonts w:hint="eastAsia" w:ascii="宋体" w:hAnsi="宋体" w:eastAsia="宋体" w:cs="宋体"/>
                <w:b w:val="0"/>
                <w:bCs/>
                <w:i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5"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荣昌区交通运行监测与应急调度经费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50015322T000000094923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5"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125-重庆市荣昌区交通运输委员会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005-经济建设科</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田亮</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46789631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jc w:val="center"/>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9" w:hRule="atLeast"/>
          <w:jc w:val="center"/>
        </w:trPr>
        <w:tc>
          <w:tcPr>
            <w:tcW w:w="117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3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81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25.00 </w:t>
            </w:r>
          </w:p>
        </w:tc>
        <w:tc>
          <w:tcPr>
            <w:tcW w:w="1135"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37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r>
              <w:rPr>
                <w:rFonts w:hint="eastAsia"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61 </w:t>
            </w:r>
          </w:p>
        </w:tc>
        <w:tc>
          <w:tcPr>
            <w:tcW w:w="10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11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r>
              <w:rPr>
                <w:rFonts w:hint="eastAsia"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61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4" w:hRule="atLeast"/>
          <w:jc w:val="center"/>
        </w:trPr>
        <w:tc>
          <w:tcPr>
            <w:tcW w:w="117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3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81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25.00 </w:t>
            </w:r>
          </w:p>
        </w:tc>
        <w:tc>
          <w:tcPr>
            <w:tcW w:w="1135"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37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r>
              <w:rPr>
                <w:rFonts w:hint="eastAsia"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61 </w:t>
            </w:r>
          </w:p>
        </w:tc>
        <w:tc>
          <w:tcPr>
            <w:tcW w:w="10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11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r>
              <w:rPr>
                <w:rFonts w:hint="eastAsia"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61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9" w:hRule="atLeast"/>
          <w:jc w:val="center"/>
        </w:trPr>
        <w:tc>
          <w:tcPr>
            <w:tcW w:w="117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3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81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25.00 </w:t>
            </w:r>
          </w:p>
        </w:tc>
        <w:tc>
          <w:tcPr>
            <w:tcW w:w="1135"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37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r>
              <w:rPr>
                <w:rFonts w:hint="eastAsia"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61 </w:t>
            </w:r>
          </w:p>
        </w:tc>
        <w:tc>
          <w:tcPr>
            <w:tcW w:w="10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11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r>
              <w:rPr>
                <w:rFonts w:hint="eastAsia"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61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46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47" w:hRule="atLeast"/>
          <w:jc w:val="center"/>
        </w:trPr>
        <w:tc>
          <w:tcPr>
            <w:tcW w:w="34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交通运行检测与应急调度信息化系统及设备运行维护服务费等经费，确保信息化设备正常运行，系统稳定运行300天以上，维护成本增长低于5%，系统故障修复处理及时。</w:t>
            </w:r>
          </w:p>
        </w:tc>
        <w:tc>
          <w:tcPr>
            <w:tcW w:w="46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auto"/>
                <w:sz w:val="22"/>
                <w:szCs w:val="22"/>
                <w:u w:val="none"/>
              </w:rPr>
            </w:pP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交通运行检测与应急调度信息化系统及设备运行维护服务费等经费，确保信息化设备正常运行，系统稳定运行300天以上，维护成本增长低于5%，系统故障修复处理及时。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06"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年均维护成本增长率</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年稳定运行天数</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系统故障修复处理时间</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天</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维护成本降低率</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jc w:val="center"/>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用户满意度</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bl>
    <w:p>
      <w:pPr>
        <w:rPr>
          <w:rFonts w:cs="宋体"/>
          <w:color w:val="auto"/>
          <w:sz w:val="20"/>
          <w:szCs w:val="20"/>
        </w:rPr>
      </w:pPr>
    </w:p>
    <w:sectPr>
      <w:headerReference r:id="rId4" w:type="default"/>
      <w:footerReference r:id="rId5" w:type="default"/>
      <w:pgSz w:w="11907" w:h="16839"/>
      <w:pgMar w:top="454" w:right="567" w:bottom="1037" w:left="56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BA4FA1"/>
    <w:rsid w:val="00C20C3E"/>
    <w:rsid w:val="00F73F90"/>
    <w:rsid w:val="01474EBF"/>
    <w:rsid w:val="01CF3742"/>
    <w:rsid w:val="01F3521E"/>
    <w:rsid w:val="02506492"/>
    <w:rsid w:val="02FF752A"/>
    <w:rsid w:val="035A746A"/>
    <w:rsid w:val="03B87EA0"/>
    <w:rsid w:val="03E3214F"/>
    <w:rsid w:val="04250AEB"/>
    <w:rsid w:val="044C50BA"/>
    <w:rsid w:val="04937D01"/>
    <w:rsid w:val="05BC6D49"/>
    <w:rsid w:val="06194FF1"/>
    <w:rsid w:val="063F3851"/>
    <w:rsid w:val="069F7FA2"/>
    <w:rsid w:val="06A2550B"/>
    <w:rsid w:val="06F80EE2"/>
    <w:rsid w:val="07001CCA"/>
    <w:rsid w:val="075678DB"/>
    <w:rsid w:val="079D7CC7"/>
    <w:rsid w:val="08051BCA"/>
    <w:rsid w:val="08114795"/>
    <w:rsid w:val="086C12F4"/>
    <w:rsid w:val="08705944"/>
    <w:rsid w:val="08BA052C"/>
    <w:rsid w:val="08DB07BA"/>
    <w:rsid w:val="08DC2FDB"/>
    <w:rsid w:val="0969353F"/>
    <w:rsid w:val="098305D0"/>
    <w:rsid w:val="0A3317EA"/>
    <w:rsid w:val="0A5C4B69"/>
    <w:rsid w:val="0A86124A"/>
    <w:rsid w:val="0AB54CC0"/>
    <w:rsid w:val="0B432AC9"/>
    <w:rsid w:val="0B9335CE"/>
    <w:rsid w:val="0BF2311A"/>
    <w:rsid w:val="0C0139CD"/>
    <w:rsid w:val="0C7927C4"/>
    <w:rsid w:val="0C9B098C"/>
    <w:rsid w:val="0D504E33"/>
    <w:rsid w:val="0D673E11"/>
    <w:rsid w:val="0DDA54E4"/>
    <w:rsid w:val="0E3A5F83"/>
    <w:rsid w:val="0F836721"/>
    <w:rsid w:val="0FA25D96"/>
    <w:rsid w:val="10794F1C"/>
    <w:rsid w:val="107B59E5"/>
    <w:rsid w:val="10A8272F"/>
    <w:rsid w:val="10EC0126"/>
    <w:rsid w:val="10F70B9A"/>
    <w:rsid w:val="111445C7"/>
    <w:rsid w:val="114278C6"/>
    <w:rsid w:val="114327BB"/>
    <w:rsid w:val="11466435"/>
    <w:rsid w:val="1158083A"/>
    <w:rsid w:val="11643A4B"/>
    <w:rsid w:val="11884F11"/>
    <w:rsid w:val="11E641DD"/>
    <w:rsid w:val="11ED0F98"/>
    <w:rsid w:val="11F03528"/>
    <w:rsid w:val="11F757D2"/>
    <w:rsid w:val="12633943"/>
    <w:rsid w:val="12C921C4"/>
    <w:rsid w:val="13113FBB"/>
    <w:rsid w:val="13437DCF"/>
    <w:rsid w:val="13871C70"/>
    <w:rsid w:val="13A71CB4"/>
    <w:rsid w:val="13AF1D43"/>
    <w:rsid w:val="13CE1647"/>
    <w:rsid w:val="13FD55AB"/>
    <w:rsid w:val="14200702"/>
    <w:rsid w:val="14414C2A"/>
    <w:rsid w:val="14910693"/>
    <w:rsid w:val="14DB7496"/>
    <w:rsid w:val="163A6CEE"/>
    <w:rsid w:val="173708E3"/>
    <w:rsid w:val="178E13D4"/>
    <w:rsid w:val="17A153E0"/>
    <w:rsid w:val="17C374FC"/>
    <w:rsid w:val="18100B0D"/>
    <w:rsid w:val="182E4AB6"/>
    <w:rsid w:val="189079DC"/>
    <w:rsid w:val="189B0D0B"/>
    <w:rsid w:val="18B43F7C"/>
    <w:rsid w:val="194A1770"/>
    <w:rsid w:val="19B76A32"/>
    <w:rsid w:val="19B906A4"/>
    <w:rsid w:val="19E82131"/>
    <w:rsid w:val="1A213403"/>
    <w:rsid w:val="1B6F15B6"/>
    <w:rsid w:val="1BAA2EDC"/>
    <w:rsid w:val="1BF46072"/>
    <w:rsid w:val="1BF777DA"/>
    <w:rsid w:val="1CA55E64"/>
    <w:rsid w:val="1D014A01"/>
    <w:rsid w:val="1D022362"/>
    <w:rsid w:val="1D1B04B0"/>
    <w:rsid w:val="1D2774DA"/>
    <w:rsid w:val="1D510E5C"/>
    <w:rsid w:val="1DA52501"/>
    <w:rsid w:val="1DBD6767"/>
    <w:rsid w:val="1DC52125"/>
    <w:rsid w:val="1DD26311"/>
    <w:rsid w:val="1E374ACB"/>
    <w:rsid w:val="1E861D84"/>
    <w:rsid w:val="1ECF0A66"/>
    <w:rsid w:val="1EF67CA4"/>
    <w:rsid w:val="1F020D3A"/>
    <w:rsid w:val="1F2C5189"/>
    <w:rsid w:val="1F4B0B02"/>
    <w:rsid w:val="1FBB35CD"/>
    <w:rsid w:val="1FCD26AF"/>
    <w:rsid w:val="20245AD3"/>
    <w:rsid w:val="20642787"/>
    <w:rsid w:val="20F50906"/>
    <w:rsid w:val="21556F04"/>
    <w:rsid w:val="22403BD3"/>
    <w:rsid w:val="22AD76EC"/>
    <w:rsid w:val="23637B8A"/>
    <w:rsid w:val="23EA76D2"/>
    <w:rsid w:val="240C34B6"/>
    <w:rsid w:val="241B741E"/>
    <w:rsid w:val="24B92327"/>
    <w:rsid w:val="24C03E2C"/>
    <w:rsid w:val="24C14514"/>
    <w:rsid w:val="252555FB"/>
    <w:rsid w:val="2533755C"/>
    <w:rsid w:val="25791755"/>
    <w:rsid w:val="25DC085D"/>
    <w:rsid w:val="26396DF4"/>
    <w:rsid w:val="266D4023"/>
    <w:rsid w:val="27167136"/>
    <w:rsid w:val="271B442C"/>
    <w:rsid w:val="27B23302"/>
    <w:rsid w:val="29310A5F"/>
    <w:rsid w:val="29B163AE"/>
    <w:rsid w:val="29C37A35"/>
    <w:rsid w:val="2A076083"/>
    <w:rsid w:val="2A6E148A"/>
    <w:rsid w:val="2A73162E"/>
    <w:rsid w:val="2AE4244C"/>
    <w:rsid w:val="2AEF5810"/>
    <w:rsid w:val="2B167953"/>
    <w:rsid w:val="2B200583"/>
    <w:rsid w:val="2B2D7709"/>
    <w:rsid w:val="2B8209DE"/>
    <w:rsid w:val="2C636760"/>
    <w:rsid w:val="2C6762A3"/>
    <w:rsid w:val="2D2A1DBB"/>
    <w:rsid w:val="2E51109A"/>
    <w:rsid w:val="2E830701"/>
    <w:rsid w:val="2E9245D4"/>
    <w:rsid w:val="2EA54B64"/>
    <w:rsid w:val="2FCA4B37"/>
    <w:rsid w:val="2FE029D7"/>
    <w:rsid w:val="2FF06E00"/>
    <w:rsid w:val="301C67E2"/>
    <w:rsid w:val="30586FEC"/>
    <w:rsid w:val="315B5C39"/>
    <w:rsid w:val="315F0B22"/>
    <w:rsid w:val="317B4D33"/>
    <w:rsid w:val="31D84415"/>
    <w:rsid w:val="32285F6F"/>
    <w:rsid w:val="324E4A4E"/>
    <w:rsid w:val="32770556"/>
    <w:rsid w:val="329C0913"/>
    <w:rsid w:val="32A01EAB"/>
    <w:rsid w:val="32AA0460"/>
    <w:rsid w:val="3337290D"/>
    <w:rsid w:val="33555CA4"/>
    <w:rsid w:val="335D1395"/>
    <w:rsid w:val="33C158F6"/>
    <w:rsid w:val="33E31118"/>
    <w:rsid w:val="33EF7674"/>
    <w:rsid w:val="33F85C48"/>
    <w:rsid w:val="33FB7E77"/>
    <w:rsid w:val="342D7BC6"/>
    <w:rsid w:val="3432627F"/>
    <w:rsid w:val="34AD00F5"/>
    <w:rsid w:val="34D166EE"/>
    <w:rsid w:val="352930DB"/>
    <w:rsid w:val="35573069"/>
    <w:rsid w:val="355F6038"/>
    <w:rsid w:val="358C217E"/>
    <w:rsid w:val="35EC4C55"/>
    <w:rsid w:val="3664309A"/>
    <w:rsid w:val="36C9128A"/>
    <w:rsid w:val="37841E99"/>
    <w:rsid w:val="37BF1123"/>
    <w:rsid w:val="383C3F15"/>
    <w:rsid w:val="38BE4696"/>
    <w:rsid w:val="39185B6C"/>
    <w:rsid w:val="3939115E"/>
    <w:rsid w:val="3955316D"/>
    <w:rsid w:val="39885137"/>
    <w:rsid w:val="39B82A39"/>
    <w:rsid w:val="39C42CA8"/>
    <w:rsid w:val="39DC4FD6"/>
    <w:rsid w:val="39F03D7A"/>
    <w:rsid w:val="39F33306"/>
    <w:rsid w:val="3A2C1C67"/>
    <w:rsid w:val="3ADD7F09"/>
    <w:rsid w:val="3B1705E5"/>
    <w:rsid w:val="3B18334B"/>
    <w:rsid w:val="3B36794F"/>
    <w:rsid w:val="3B5E3379"/>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045315"/>
    <w:rsid w:val="40BD5482"/>
    <w:rsid w:val="411B6CE5"/>
    <w:rsid w:val="412070D7"/>
    <w:rsid w:val="41314E40"/>
    <w:rsid w:val="41E0734B"/>
    <w:rsid w:val="422763C6"/>
    <w:rsid w:val="425B6A7A"/>
    <w:rsid w:val="426436CA"/>
    <w:rsid w:val="426C1EA8"/>
    <w:rsid w:val="42736402"/>
    <w:rsid w:val="428D1633"/>
    <w:rsid w:val="42E86A87"/>
    <w:rsid w:val="42F23EFF"/>
    <w:rsid w:val="43307B09"/>
    <w:rsid w:val="439A3EB9"/>
    <w:rsid w:val="43BB152F"/>
    <w:rsid w:val="43F32DC9"/>
    <w:rsid w:val="44C37687"/>
    <w:rsid w:val="44C6673F"/>
    <w:rsid w:val="45064681"/>
    <w:rsid w:val="45CB699A"/>
    <w:rsid w:val="463D4B87"/>
    <w:rsid w:val="465B470D"/>
    <w:rsid w:val="465E5560"/>
    <w:rsid w:val="469D6AD4"/>
    <w:rsid w:val="471E6C84"/>
    <w:rsid w:val="4748792B"/>
    <w:rsid w:val="475D719D"/>
    <w:rsid w:val="47674801"/>
    <w:rsid w:val="47747A39"/>
    <w:rsid w:val="48225EF7"/>
    <w:rsid w:val="488F422B"/>
    <w:rsid w:val="48E36915"/>
    <w:rsid w:val="48EB6572"/>
    <w:rsid w:val="495C4A24"/>
    <w:rsid w:val="497135DF"/>
    <w:rsid w:val="4A263DF2"/>
    <w:rsid w:val="4A6F6675"/>
    <w:rsid w:val="4B135857"/>
    <w:rsid w:val="4B2039DD"/>
    <w:rsid w:val="4B7951CB"/>
    <w:rsid w:val="4B7C315C"/>
    <w:rsid w:val="4D0C314B"/>
    <w:rsid w:val="4D3E3BD3"/>
    <w:rsid w:val="4DAC2861"/>
    <w:rsid w:val="4DAC4ACA"/>
    <w:rsid w:val="4DBE01D2"/>
    <w:rsid w:val="4E823EA5"/>
    <w:rsid w:val="4F0C6BA3"/>
    <w:rsid w:val="4F186D58"/>
    <w:rsid w:val="50F06B6E"/>
    <w:rsid w:val="510371FE"/>
    <w:rsid w:val="51541144"/>
    <w:rsid w:val="517D347D"/>
    <w:rsid w:val="51D21804"/>
    <w:rsid w:val="52234D33"/>
    <w:rsid w:val="522F6E0C"/>
    <w:rsid w:val="52463BA1"/>
    <w:rsid w:val="52F163D4"/>
    <w:rsid w:val="531A2DB4"/>
    <w:rsid w:val="53C0244D"/>
    <w:rsid w:val="53DD4D4E"/>
    <w:rsid w:val="53E578CE"/>
    <w:rsid w:val="541330F0"/>
    <w:rsid w:val="54272666"/>
    <w:rsid w:val="543B029D"/>
    <w:rsid w:val="54861779"/>
    <w:rsid w:val="54CF294F"/>
    <w:rsid w:val="552256E1"/>
    <w:rsid w:val="554E5773"/>
    <w:rsid w:val="555A3CBC"/>
    <w:rsid w:val="557E6786"/>
    <w:rsid w:val="5582012B"/>
    <w:rsid w:val="558E4E05"/>
    <w:rsid w:val="55BE2E85"/>
    <w:rsid w:val="55C36C9F"/>
    <w:rsid w:val="56530F5D"/>
    <w:rsid w:val="567700D3"/>
    <w:rsid w:val="56BD11A3"/>
    <w:rsid w:val="56FF7E9E"/>
    <w:rsid w:val="578867FC"/>
    <w:rsid w:val="5842572D"/>
    <w:rsid w:val="585F4807"/>
    <w:rsid w:val="5879507D"/>
    <w:rsid w:val="590C3B32"/>
    <w:rsid w:val="5A3B59D6"/>
    <w:rsid w:val="5A465D07"/>
    <w:rsid w:val="5A4E3FC7"/>
    <w:rsid w:val="5A6C592E"/>
    <w:rsid w:val="5A915E8D"/>
    <w:rsid w:val="5AC762DB"/>
    <w:rsid w:val="5ACE60F9"/>
    <w:rsid w:val="5AD134D8"/>
    <w:rsid w:val="5B426C85"/>
    <w:rsid w:val="5C263CE4"/>
    <w:rsid w:val="5C5D2777"/>
    <w:rsid w:val="5CC567CE"/>
    <w:rsid w:val="5CF66BF3"/>
    <w:rsid w:val="5D290C69"/>
    <w:rsid w:val="5D817DC8"/>
    <w:rsid w:val="5DF749E4"/>
    <w:rsid w:val="5E014796"/>
    <w:rsid w:val="5E941A46"/>
    <w:rsid w:val="5F2D4A41"/>
    <w:rsid w:val="60C74F6C"/>
    <w:rsid w:val="61025A59"/>
    <w:rsid w:val="613D5BBC"/>
    <w:rsid w:val="61536C39"/>
    <w:rsid w:val="62842CFE"/>
    <w:rsid w:val="62944DD7"/>
    <w:rsid w:val="6319381F"/>
    <w:rsid w:val="636125D6"/>
    <w:rsid w:val="63C25DC5"/>
    <w:rsid w:val="63C62057"/>
    <w:rsid w:val="640E26F9"/>
    <w:rsid w:val="643E28E4"/>
    <w:rsid w:val="64571EF5"/>
    <w:rsid w:val="64FB113D"/>
    <w:rsid w:val="654C5A92"/>
    <w:rsid w:val="656152C6"/>
    <w:rsid w:val="6587477F"/>
    <w:rsid w:val="658C3A08"/>
    <w:rsid w:val="65C031CA"/>
    <w:rsid w:val="65CE6852"/>
    <w:rsid w:val="66267C04"/>
    <w:rsid w:val="663F505A"/>
    <w:rsid w:val="66EE5541"/>
    <w:rsid w:val="67924660"/>
    <w:rsid w:val="68407834"/>
    <w:rsid w:val="687A55E2"/>
    <w:rsid w:val="6883293E"/>
    <w:rsid w:val="688412AD"/>
    <w:rsid w:val="68EB1B71"/>
    <w:rsid w:val="692365C5"/>
    <w:rsid w:val="692A6301"/>
    <w:rsid w:val="6A6C7940"/>
    <w:rsid w:val="6AAD2300"/>
    <w:rsid w:val="6B474EF5"/>
    <w:rsid w:val="6BFD78DB"/>
    <w:rsid w:val="6C0A5AC5"/>
    <w:rsid w:val="6C1E2BCC"/>
    <w:rsid w:val="6C560CAE"/>
    <w:rsid w:val="6C576495"/>
    <w:rsid w:val="6CDF2D6B"/>
    <w:rsid w:val="6D903FF5"/>
    <w:rsid w:val="6DA955B8"/>
    <w:rsid w:val="6DE346AB"/>
    <w:rsid w:val="6DE5391A"/>
    <w:rsid w:val="6EE22827"/>
    <w:rsid w:val="6EFD1324"/>
    <w:rsid w:val="6F5A53AC"/>
    <w:rsid w:val="6FAC003D"/>
    <w:rsid w:val="6FE55E12"/>
    <w:rsid w:val="6FFB2E76"/>
    <w:rsid w:val="708F6F7F"/>
    <w:rsid w:val="70D94BD3"/>
    <w:rsid w:val="70EE309E"/>
    <w:rsid w:val="71C34D91"/>
    <w:rsid w:val="71EB7C52"/>
    <w:rsid w:val="723120CC"/>
    <w:rsid w:val="72850C68"/>
    <w:rsid w:val="72DA3EDC"/>
    <w:rsid w:val="72DB435C"/>
    <w:rsid w:val="72E2613A"/>
    <w:rsid w:val="72F771F4"/>
    <w:rsid w:val="730D1F36"/>
    <w:rsid w:val="736864F6"/>
    <w:rsid w:val="73934AD2"/>
    <w:rsid w:val="750837F0"/>
    <w:rsid w:val="754758CF"/>
    <w:rsid w:val="754F5B05"/>
    <w:rsid w:val="75551293"/>
    <w:rsid w:val="764F62AB"/>
    <w:rsid w:val="765C45EC"/>
    <w:rsid w:val="768A7619"/>
    <w:rsid w:val="76F56538"/>
    <w:rsid w:val="772E1EBA"/>
    <w:rsid w:val="77796487"/>
    <w:rsid w:val="777B2FD6"/>
    <w:rsid w:val="7814322E"/>
    <w:rsid w:val="781926BC"/>
    <w:rsid w:val="796D60A4"/>
    <w:rsid w:val="79A031D5"/>
    <w:rsid w:val="79BC7AFA"/>
    <w:rsid w:val="7A1525F7"/>
    <w:rsid w:val="7B420052"/>
    <w:rsid w:val="7BD06A28"/>
    <w:rsid w:val="7C242C29"/>
    <w:rsid w:val="7C3A7C0B"/>
    <w:rsid w:val="7C5248E4"/>
    <w:rsid w:val="7C566698"/>
    <w:rsid w:val="7C5866A3"/>
    <w:rsid w:val="7D21547F"/>
    <w:rsid w:val="7D6F36B5"/>
    <w:rsid w:val="7D7406BB"/>
    <w:rsid w:val="7D9326F2"/>
    <w:rsid w:val="7DE94331"/>
    <w:rsid w:val="7E673B63"/>
    <w:rsid w:val="7E787113"/>
    <w:rsid w:val="7E932547"/>
    <w:rsid w:val="7EDC6BDC"/>
    <w:rsid w:val="7F446A19"/>
    <w:rsid w:val="7F6E4D36"/>
    <w:rsid w:val="7F7452B9"/>
    <w:rsid w:val="7F821E43"/>
    <w:rsid w:val="7F87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14</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