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_GBK" w:eastAsia="方正小标宋_GBK"/>
          <w:sz w:val="44"/>
          <w:szCs w:val="44"/>
        </w:rPr>
      </w:pPr>
      <w:r>
        <w:rPr>
          <w:rFonts w:ascii="方正小标宋_GBK" w:eastAsia="方正小标宋_GBK"/>
          <w:sz w:val="44"/>
          <w:szCs w:val="44"/>
        </w:rPr>
        <w:t>重庆市荣昌区交通局</w:t>
      </w:r>
    </w:p>
    <w:p>
      <w:pPr>
        <w:spacing w:line="720" w:lineRule="exact"/>
        <w:jc w:val="center"/>
        <w:rPr>
          <w:rFonts w:ascii="方正小标宋_GBK" w:eastAsia="方正小标宋_GBK"/>
          <w:sz w:val="44"/>
          <w:szCs w:val="44"/>
        </w:rPr>
      </w:pPr>
      <w:r>
        <w:rPr>
          <w:rFonts w:ascii="方正小标宋_GBK" w:eastAsia="方正小标宋_GBK"/>
          <w:sz w:val="44"/>
          <w:szCs w:val="44"/>
        </w:rPr>
        <w:t>2023年度部门决算公开报告</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黑体_GBK" w:eastAsia="方正黑体_GBK"/>
          <w:sz w:val="32"/>
          <w:szCs w:val="32"/>
        </w:rPr>
      </w:pPr>
      <w:r>
        <w:rPr>
          <w:rFonts w:ascii="方正黑体_GBK" w:eastAsia="方正黑体_GBK"/>
          <w:sz w:val="32"/>
          <w:szCs w:val="32"/>
        </w:rPr>
        <w:t>一、部门基本情况</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（一）职能职责</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本部门是主管我区客、货运输交通及公路、水路交通行政管理和行业管理的区政府组成部门。主要职能职责为贯彻执行交通运输法律、法规、规章和方针政策；负责拟定全区交通行业发展战略和规章制度、发展规划、中长期计划、年度计划、交通主枢纽发展规划、综合交通运输发展战略和政策、综合交通运输标准；参与拟订物流发展规划、铁路投融资体制和有关政策；负责推进综合交通运输体系建设；负责提出铁路、公路、水路、民航、邮政固定资产投资规模和方向、财政性资金安排意见；负责全区交通运输经济运行监测和应急处置协调工作；负责全区交通道路、水路运输行业管理，综合平衡全区交通运力；负责依法开展水上交通安全监督、运输船舶检验、港航设施建设工作；负责全区交通战备事业的长远发展规划和交通战备工作；负责全区公路、水路建设市场的监管，公路、航道建设工程质量和安全生产监督管理工作；负责交通综合行政执法管理工作的组织、指导、协调和监督；负责局属行政事业单位的人事、财务审计管理工作、国有资产的监督管理；负责交通行业精神文明建设和宣传工作；承办区政府交办的其他事项。</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（二）机构设置</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本部门设6个内设机构，分别为办公室（审计科）、建设质量管理科、法规与行政审批科、安全稳定科、规划财务科、综合运输管理科。</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（三）单位构成</w:t>
      </w:r>
    </w:p>
    <w:p>
      <w:pPr>
        <w:spacing w:line="560" w:lineRule="exact"/>
        <w:ind w:firstLine="640" w:firstLineChars="200"/>
        <w:rPr>
          <w:rFonts w:hint="default" w:ascii="方正仿宋_GBK" w:hAnsi="方正仿宋_GBK" w:eastAsia="方正仿宋_GBK" w:cs="方正仿宋_GBK"/>
        </w:rPr>
      </w:pPr>
      <w:r>
        <w:rPr>
          <w:rFonts w:ascii="方正仿宋_GBK" w:eastAsia="方正仿宋_GBK"/>
          <w:sz w:val="32"/>
          <w:szCs w:val="32"/>
        </w:rPr>
        <w:t>从预算单位构成看，纳入本部门2023年度决算编制的单位主要包括重庆市荣昌区交通局（本级）、重庆市荣昌区交通运输综合行政执法支队、重庆市荣昌区交通工程建设中心、重庆市荣昌区运输服务中心、重庆市荣昌区交通运行监测与应急调度中心。</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二、部门决算情况说明</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（一）收入支出决算总体情况说明。</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1.总体情况。</w:t>
      </w:r>
      <w:r>
        <w:rPr>
          <w:rFonts w:ascii="方正仿宋_GBK" w:eastAsia="方正仿宋_GBK"/>
          <w:sz w:val="32"/>
          <w:szCs w:val="32"/>
        </w:rPr>
        <w:t>2023年度收入总计29600.78万元，支出总计29600.78万元。收支较上年决算数增加5774.29万元，增长24.23%，主要原因是增加畜牧科技产业大道一期（S303城区至双河段新建工程一期）、G348荣昌区安富至四川界段改建工程等项目收入支出6421万元。</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2.收入情况。</w:t>
      </w:r>
      <w:r>
        <w:rPr>
          <w:rFonts w:ascii="方正仿宋_GBK" w:eastAsia="方正仿宋_GBK"/>
          <w:sz w:val="32"/>
          <w:szCs w:val="32"/>
        </w:rPr>
        <w:t>2023年度收入合计26510.6万元，较上年决算数增加10872.67万元，增长69.53%，主要原因是增加畜牧科技产业大道一期（S303城区至双河段新建工程一期）、G348荣昌区安富至四川界段改建工程、车辆购置税收入补助地方等项目收入12441万元。其中：财政拨款收入26510.6万元，占100.0%；事业收入0万元，占0.0%；经营收入0万元，占0.0%；其他收入0万元，占0.0%。此外，使用非财政拨款结余和专用结余0万元，年初结转和结余3090.17万元。</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3.支出情况。</w:t>
      </w:r>
      <w:r>
        <w:rPr>
          <w:rFonts w:ascii="方正仿宋_GBK" w:eastAsia="方正仿宋_GBK"/>
          <w:sz w:val="32"/>
          <w:szCs w:val="32"/>
        </w:rPr>
        <w:t>2023年度支出合计26764.97万元，较上年决算数增加5984.58万元，增长28.8%，主要原因是增加畜牧科技产业大道一期（S303城区至双河段新建工程一期）、G348荣昌区安富至四川界段改建工程等项目支出6421万元。其中：基本支出4911.45万元，占18.35%；项目支出21853.53万元，占81.65%；经营支出0万元，占0.0%。此外，结余分配0万元。</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4.结转结余情况。</w:t>
      </w:r>
      <w:r>
        <w:rPr>
          <w:rFonts w:ascii="方正仿宋_GBK" w:eastAsia="方正仿宋_GBK"/>
          <w:sz w:val="32"/>
          <w:szCs w:val="32"/>
        </w:rPr>
        <w:t>2023年度年末结转和结余2835.8万元，较上年决算数减少210.31万元，下降6.9%，主要原因是支付螺罐山至新峰桥段改建工程进度款202万元。</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（二）财政拨款收入支出决算总体情况说明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财政拨款收、支总计26510.6万元。与2022年相比，财政拨款收、支总计各增加6099.85万元，增长29.89%。主要原因是增加畜牧科技产业大道一期（S303城区至双河段新建工程一期）、G348荣昌区安富至四川界段改建工程等项目收入支出6421万元。</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（三）一般公共预算财政拨款收入支出决算情况说明</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1.收入情况。</w:t>
      </w:r>
      <w:r>
        <w:rPr>
          <w:rFonts w:ascii="方正仿宋_GBK" w:eastAsia="方正仿宋_GBK"/>
          <w:sz w:val="32"/>
          <w:szCs w:val="32"/>
        </w:rPr>
        <w:t>2023年度一般公共预算财政拨款收入21854.3万元，较上年决算数增加7614.01万元，增长53.47%。主要原因是增加畜牧科技产业大道一期（S303城区至双河段新建工程一期）、G348荣昌区安富至四川界段改建工程、车辆购置税收入补助地方等项目收入8120万元。较年初预算数增加3303.16万元，增长17.81%。主要原因是年中财政通过一般公共预算追加安排畜牧科技产业大道一期（S303城区至双河段新建工程一期）、G348荣昌区安富至四川界段改建工程、车辆购置税收入补助地方等项目资金3275万元。此外，年初财政拨款结转和结余0万元。</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2.支出情况。</w:t>
      </w:r>
      <w:r>
        <w:rPr>
          <w:rFonts w:ascii="方正仿宋_GBK" w:eastAsia="方正仿宋_GBK"/>
          <w:sz w:val="32"/>
          <w:szCs w:val="32"/>
        </w:rPr>
        <w:t>2023年度一般公共预算财政拨款支出21854.3万元，较上年决算数增加2341.18万元，增长12.0%。主要原因是增加畜牧科技产业大道一期（S303城区至双河段新建工程一期）、G348荣昌区安富至四川界段改建工程等项目支出2100万元。较年初预算数增加3303.16万元，增长17.81%。主要原因是年中财政通过一般公共预算追加安排畜牧科技产业大道一期（S303城区至双河段新建工程一期）、G348荣昌区安富至四川界段改建工程、车辆购置税收入补助地方等项目资金3275万元。</w:t>
      </w:r>
    </w:p>
    <w:p>
      <w:pPr>
        <w:spacing w:line="560" w:lineRule="exact"/>
        <w:ind w:firstLine="643" w:firstLineChars="200"/>
        <w:rPr>
          <w:rFonts w:ascii="方正仿宋_GBK" w:eastAsia="方正仿宋_GBK"/>
          <w:sz w:val="32"/>
          <w:szCs w:val="32"/>
        </w:rPr>
      </w:pPr>
      <w:r>
        <w:rPr>
          <w:rFonts w:ascii="方正仿宋_GBK" w:eastAsia="方正仿宋_GBK"/>
          <w:b/>
          <w:sz w:val="32"/>
          <w:szCs w:val="32"/>
        </w:rPr>
        <w:t>3.结转结余情况。</w:t>
      </w:r>
      <w:r>
        <w:rPr>
          <w:rFonts w:ascii="方正仿宋_GBK" w:eastAsia="方正仿宋_GBK"/>
          <w:sz w:val="32"/>
          <w:szCs w:val="32"/>
        </w:rPr>
        <w:t>2023年度年末一般公共预算财政拨款结转和结余0万元，较上年决算数无增减，主要原因是本部门2022、2023年度均无一般公共预算财政拨款结转和结余。</w:t>
      </w:r>
    </w:p>
    <w:p>
      <w:pPr>
        <w:spacing w:line="560" w:lineRule="exact"/>
        <w:ind w:firstLine="643" w:firstLineChars="200"/>
        <w:rPr>
          <w:rFonts w:ascii="方正仿宋_GBK" w:eastAsia="方正仿宋_GBK"/>
          <w:sz w:val="32"/>
          <w:szCs w:val="32"/>
          <w:highlight w:val="cyan"/>
        </w:rPr>
      </w:pPr>
      <w:r>
        <w:rPr>
          <w:rFonts w:ascii="方正仿宋_GBK" w:eastAsia="方正仿宋_GBK"/>
          <w:b/>
          <w:sz w:val="32"/>
          <w:szCs w:val="32"/>
        </w:rPr>
        <w:t xml:space="preserve"> 4.比较情况。</w:t>
      </w:r>
      <w:r>
        <w:rPr>
          <w:rFonts w:ascii="方正仿宋_GBK" w:eastAsia="方正仿宋_GBK"/>
          <w:sz w:val="32"/>
          <w:szCs w:val="32"/>
        </w:rPr>
        <w:t>本部门2023年度一般公共预算财政拨款支出主要用于以下几个方面：</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（1）一般公共服务支出4.05万元，占0.02%，较年初预算数增加4.05万元，增长100.0%，主要原因是年中财政通过一般公共预算追加安排招商投资促进工作经费4.05万元。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（2）教育支出22.22万元，占0.1%，较年初预算数减少0.75万元，下降3.27%，主要原因是年终财政追减年初一般公共预算中未使用完的职工教育经费0.75万元。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（3）社会保障与就业支出2114.87万元，占9.68%，较年初预算数减少231.62万元，下降9.87%，主要原因是年终追减年初一般公共预算中未使用完的荣昌区五类人群城市公交乘坐补贴资金230.9万元。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（4）卫生健康支出263.07万元，占1.2%，较年初预算数减少6.2万元，下降2.3%，主要原因是年终追减年初一般公共预算中未使用完的基本医疗保险、大额医疗互助保险等人员经费7.3万元。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（5）节能环保支出425万元，占1.94%，较年初预算数增加425万元，增长100.0%，主要原因是年中财政通过一般公共预算追加安排昌元街道螺罐山至新峰桥段改建工程项目资金425万元。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（6）农林水支出242.56万元，占1.11%，较年初预算数增加242.56万元，增长100.0%，主要原因是年中财政通过一般公共预算追加安排昌州街道杜家坝至高升桥段改建工程项目资金242.56万元。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7）交通运输支出18620.38万元，占85.2%，较年初预算数增加2951.2万元，增长18.83%，主要原因是年中财政通过一般公共预算追加安排畜牧科技产业大道一期（S303城区至双河段新建工程一期）、G348荣昌区安富至四川界段改建工程等项目资金2100万元。</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（8）住房保障支出162.15万元，占0.74%，较年初预算数减少81.07万元，下降33.33%，主要原因是年终财政追减年初一般公共预算中未使用完的住房公积金人员经费81.07万元。</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（四）一般公共预算财政拨款基本支出决算情况说明</w:t>
      </w:r>
    </w:p>
    <w:p>
      <w:pPr>
        <w:spacing w:line="560" w:lineRule="exact"/>
        <w:ind w:firstLine="640" w:firstLineChars="200"/>
        <w:rPr>
          <w:rFonts w:ascii="方正仿宋_GBK" w:eastAsia="方正仿宋_GBK"/>
          <w:sz w:val="32"/>
          <w:szCs w:val="32"/>
        </w:rPr>
      </w:pPr>
      <w:r>
        <w:rPr>
          <w:rFonts w:eastAsia="方正仿宋_GBK"/>
          <w:sz w:val="32"/>
          <w:szCs w:val="32"/>
        </w:rPr>
        <w:t> </w:t>
      </w:r>
      <w:r>
        <w:rPr>
          <w:rFonts w:ascii="方正仿宋_GBK" w:eastAsia="方正仿宋_GBK"/>
          <w:sz w:val="32"/>
          <w:szCs w:val="32"/>
        </w:rPr>
        <w:t>2023年度一般公共财政拨款基本支出4911.45万元。其中：人员经费4065.17万元，较上年决算数增加10.74万元，增长0.26%，主要原因是职务职级变动造成的基本工资、规范津补贴、绩效工资、社会保障缴费、住房公积金等收支增加。人员经费用途主要包括基本工资、津贴补贴、奖金、绩效工资、社会保障缴费、住房公积金、医疗费、其他工资福利支出、生活补助、医疗费补助、奖励金、其他个人和家庭的补助支出。公用经费846.28万元，较上年决算数减少71.59万元，下降7.8%，主要原因是按照党中央、国务院、市委、市政府、区委、区政府关于党和政府带头过紧日子的精神要求，强化预算执行管理，压减一般性支出，减少了不必要的办公开支。公用经费用途主要包括办公费、印刷费、咨询费、水电费、邮电费、物业管理费、差旅费、维修（护）费、培训费、公务接待费、专用材料费、劳务费、工会经费、福利费、公务用车运行维护费、其他交通费用、其他商品和服务支出、办公设备购置费。</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（五）政府性基金预算收支决算情况说明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政府性基金预算财政拨款年初结转结余0万元，年末结转结余0万元。本年收入4656.30万元，较上年决算数增加3758.67万元，增长418.73%，主要原因是增加畜牧科技产业大道一期（S303城区至双河段新建工程一期）、G348荣昌区安富至四川界段改建工程等项目收入4321万元。本年支出4656.3万元，较上年决算数增加3758.67万元，增长418.73%，主要原因是增加畜牧科技产业大道一期（S303城区至双河段新建工程一期）、G348荣昌区安富至四川界段改建工程等项目支出4321万元。</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（六）国有资本经营预算财政拨款支出决算情况说明</w:t>
      </w:r>
    </w:p>
    <w:p>
      <w:pPr>
        <w:spacing w:line="560" w:lineRule="exact"/>
        <w:ind w:firstLine="640" w:firstLineChars="200"/>
        <w:rPr>
          <w:rFonts w:hint="default" w:ascii="方正仿宋_GBK" w:hAnsi="方正仿宋_GBK" w:eastAsia="方正仿宋_GBK" w:cs="方正仿宋_GBK"/>
        </w:rPr>
      </w:pPr>
      <w:r>
        <w:rPr>
          <w:rFonts w:eastAsia="方正仿宋_GBK"/>
          <w:sz w:val="32"/>
          <w:szCs w:val="32"/>
        </w:rPr>
        <w:t> </w:t>
      </w:r>
      <w:r>
        <w:rPr>
          <w:rFonts w:ascii="方正仿宋_GBK" w:eastAsia="方正仿宋_GBK"/>
          <w:sz w:val="32"/>
          <w:szCs w:val="32"/>
        </w:rPr>
        <w:t>本部门2023年度无国有资本经营预算财政拨款支出。</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三、“三公”经费情况说明</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（一）“三公”经费支出总体情况说明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三公”经费支出共计118.69万元，较年初预算数减少20.75万元，下降14.88%，主要原因是认真贯彻落实中央八项规定精神，按照只减不增的要求从严控制“三公”经费，全年实际支出数较预算数有所下降。较上年支出数减少20.24万元，下降14.57%，主要原因是本部门2023年度较上年度少购置公务用车1辆。</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（二）“三公”经费分项支出情况</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本部门因公出国（境）费用0万元。费用支出较年初预算数无增减，主要原因是本部门2023年度未发生因公出国（境）费用。较上年支出数无增减，主要原因是本部门2022、2023年度均未发生因公出国（境）费用。</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公务车购置费26.72万元，主要用于购置应急保障用车3辆。费用支出较年初预算数减少5.22万元，下降16.34%，主要原因是认真贯彻落实中央八项规定精神，严格控制公务用车购置成本，全年实际支出数较预算数有所下降。较上年支出数减少29.97万元，下降52.87%，主要原因是本部门2023年度较上年度少购置公务用车1辆。</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公务车运行维护费80.5万元，主要用于机要文件交换、市内因公出行、交通行政执法、国省县道公路养护巡查、农村公路设计检查、打击非法营运、交通重点项目建设协调管理、交通行业安全管理、向上争取资金、招商引资等工作所需车辆的燃料费、维修费、过桥过路费、保险费等。费用支出较年初预算数减少15.5万元，下降16.15%，主要原因是认真贯彻落实中央八项规定精神，按照只减不增的要求从严控制“三公”经费，全年实际支出数较预算数有所下降。较上年支出数增加8.93万元，增长12.48%，主要原因是部分公务车老旧，维修费用增加。</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公务接待费11.48万元，主要用于接待市内其他区县单位到我部门学习调研、接受市级部门检查指导、向上争取资金、交通重点项目建设协调管理、招商引资等发生的接待支出。费用支出较年初预算数减少0.02万元，下降0.17%，主要原因是认真贯彻落实中央八项规定精神，按照只减不增的要求从严控制“三公”经费，全年实际支出数较预算数有所下降。较上年支出数增加0.8万元，增长7.49%，主要原因是疫情政策调整后，招商引资等接待增加。</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（三）“三公”经费实物量情况</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本部门因公出国（境）共计0个团组，0人；公务用车购置3辆，公务车保有量为27辆；国内公务接待161批次1391人，其中：国内外事接待0批次，0人；国（境）外公务接待0批次，0人。2023年本部门人均接待费82.52元，车均购置费8.91万元，车均维护费2.98万元。</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四、其他需要说明的事项</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（一）财政拨款会议费和培训费情况说明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本年度会议费支出0万元，较上年决算数无增减，主要原因是本部门2022、2023年度均未发生会议费。本年度培训费支出23.97万元，较上年决算数增加1.84万元，增长8.31%，主要原因是增加交通行业企业主要负责人和安全管理人员安全培训费2.5万元。</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（二）机关运行经费情况说明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2023年度本部门机关运行经费支出438.11万元，机关运行经费主要用于开支办公</w:t>
      </w:r>
      <w:bookmarkStart w:id="0" w:name="_GoBack"/>
      <w:bookmarkEnd w:id="0"/>
      <w:r>
        <w:rPr>
          <w:rFonts w:ascii="方正仿宋_GBK" w:eastAsia="方正仿宋_GBK"/>
          <w:sz w:val="32"/>
          <w:szCs w:val="32"/>
        </w:rPr>
        <w:t>费、印刷费、咨询费、水电费、邮电费、物业管理费、差旅费、维修（护）费、租赁费、培训费、公务接待费、专用材料费、劳务费、工会经费、福利费、公务用车运行维护费、其他交通费用、其他商品和服务支出、办公设备购置费。机关运行经费较上年支出数减少24.05万元，下降5.2%，主要原因是按照党中央、国务院、市委、市政府、区委、区政府关于党和政府带头过紧日子的精神要求，强化预算执行管理，压减一般性支出，减少了不必要的办公开支。</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（三）国有资产占用情况说明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截至2023年12月31日，本部门共有车辆28辆，其中，副部（省）级及以上领导用车0辆、主要负责人用车0辆、机要通信用车0辆、应急保障用车17辆、执法执勤用车0辆，特种专业技术用车11辆，离退休干部用车0辆。单价100万元（含）以上专用设备1台（套）。</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（四）政府采购支出情况说明</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2023年度本部门政府采购支出总额20942.8万元，其中：政府采购货物支出0万元、政府采购工程支出20924万元、政府采购服务支出18.8万元。授予中小企业合同金额922.04万元，占政府采购支出总额的4.4%，其中：授予小微企业合同金额891.24万元，占政府采购支出总额的4.26 %。主要用于采购畜牧科技产业大道一期（S303城区至双河段新建工程一期）项目施工及监理服务、G348荣昌区安富至四川界段改建工程项目施工、荣昌区S546丁吴路（安富至荣隆段）预防性养护工程项目施工。</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五、预算绩效管理情况说明</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（一）部门自评情况</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根据预算绩效管理要求，我部门对部门整体和57个项目开展了绩效自评，涉及财政拨款项目支出资金21599.15万元。部门整体绩效自评情况，详见公开10表，项目绩效自评情况，详见本级及下属单位决算公开报告。</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（二）部门绩效评价情况</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我部门未组织开展绩效评价。</w:t>
      </w:r>
    </w:p>
    <w:p>
      <w:pPr>
        <w:spacing w:line="560" w:lineRule="exact"/>
        <w:ind w:firstLine="640" w:firstLineChars="200"/>
        <w:rPr>
          <w:rFonts w:ascii="方正楷体_GBK" w:eastAsia="方正楷体_GBK"/>
          <w:sz w:val="32"/>
          <w:szCs w:val="32"/>
        </w:rPr>
      </w:pPr>
      <w:r>
        <w:rPr>
          <w:rFonts w:ascii="方正楷体_GBK" w:eastAsia="方正楷体_GBK"/>
          <w:sz w:val="32"/>
          <w:szCs w:val="32"/>
        </w:rPr>
        <w:t>（三）财政绩效评价情况</w:t>
      </w:r>
    </w:p>
    <w:p>
      <w:pPr>
        <w:spacing w:line="560" w:lineRule="exact"/>
        <w:ind w:firstLine="640" w:firstLineChars="200"/>
        <w:rPr>
          <w:rFonts w:ascii="方正仿宋_GBK" w:hAnsi="方正仿宋_GBK" w:eastAsia="方正仿宋_GBK" w:cs="方正仿宋_GBK"/>
          <w:shd w:val="clear" w:color="auto" w:fill="FFFFFF"/>
        </w:rPr>
      </w:pPr>
      <w:r>
        <w:rPr>
          <w:rFonts w:ascii="方正仿宋_GBK" w:eastAsia="方正仿宋_GBK"/>
          <w:sz w:val="32"/>
          <w:szCs w:val="32"/>
        </w:rPr>
        <w:t>区财政局未委托第三方对我部门开展绩效评价。</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六、专业名词解释</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（一）财政拨款收入：</w:t>
      </w:r>
      <w:r>
        <w:rPr>
          <w:rFonts w:ascii="方正仿宋_GBK" w:eastAsia="方正仿宋_GBK"/>
          <w:sz w:val="32"/>
          <w:szCs w:val="32"/>
        </w:rPr>
        <w:t>指本年度从本级财政部门取得的财政拨款，包括一般公共预算财政拨款和政府性基金预算财政拨款。</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（三）经营收入：</w:t>
      </w:r>
      <w:r>
        <w:rPr>
          <w:rFonts w:ascii="方正仿宋_GBK" w:eastAsia="方正仿宋_GBK"/>
          <w:sz w:val="32"/>
          <w:szCs w:val="32"/>
        </w:rPr>
        <w:t>指事业单位在专业业务活动及其辅助活动之外开展非独立核算经营活动取得的现金流入。</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（六）年初结转和结余：</w:t>
      </w:r>
      <w:r>
        <w:rPr>
          <w:rFonts w:ascii="方正仿宋_GBK" w:eastAsia="方正仿宋_GBK"/>
          <w:sz w:val="32"/>
          <w:szCs w:val="32"/>
        </w:rPr>
        <w:t>指单位上年结转本年使用的基本支出结转、项目支出结转和结余、经营结余。</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（七）结余分配：</w:t>
      </w:r>
      <w:r>
        <w:rPr>
          <w:rFonts w:ascii="方正仿宋_GBK" w:eastAsia="方正仿宋_GBK"/>
          <w:sz w:val="32"/>
          <w:szCs w:val="32"/>
        </w:rPr>
        <w:t>指单位按照国家有关规定，缴纳所得税、提取专用基金、转入非财政拨款结余等当年结余的分配情况。</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（八）年末结转和结余：</w:t>
      </w:r>
      <w:r>
        <w:rPr>
          <w:rFonts w:ascii="方正仿宋_GBK" w:eastAsia="方正仿宋_GBK"/>
          <w:sz w:val="32"/>
          <w:szCs w:val="32"/>
        </w:rPr>
        <w:t>指单位结转下年的基本支出结转、项目支出结转和结余、经营结余。</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（十）项目支出：</w:t>
      </w:r>
      <w:r>
        <w:rPr>
          <w:rFonts w:ascii="方正仿宋_GBK" w:eastAsia="方正仿宋_GBK"/>
          <w:sz w:val="32"/>
          <w:szCs w:val="32"/>
        </w:rPr>
        <w:t>指在基本支出之外为完成特定行政任务和事业发展目标所发生的支出。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（十一）经营支出：</w:t>
      </w:r>
      <w:r>
        <w:rPr>
          <w:rFonts w:ascii="方正仿宋_GBK" w:eastAsia="方正仿宋_GBK"/>
          <w:sz w:val="32"/>
          <w:szCs w:val="32"/>
        </w:rPr>
        <w:t>指事业单位在专业业务活动及其辅助活动之外开展非独立核算经营活动发生的支出。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（十六）对个人和家庭的补助（支出经济分类科目类级）：</w:t>
      </w:r>
      <w:r>
        <w:rPr>
          <w:rFonts w:ascii="方正仿宋_GBK" w:eastAsia="方正仿宋_GBK"/>
          <w:sz w:val="32"/>
          <w:szCs w:val="32"/>
        </w:rPr>
        <w:t>反映用于对个人和家庭的补助支出。</w:t>
      </w:r>
    </w:p>
    <w:p>
      <w:pPr>
        <w:spacing w:line="560" w:lineRule="exact"/>
        <w:ind w:firstLine="640" w:firstLineChars="200"/>
        <w:rPr>
          <w:rFonts w:ascii="方正仿宋_GBK" w:eastAsia="方正仿宋_GBK"/>
          <w:sz w:val="32"/>
          <w:szCs w:val="32"/>
        </w:rPr>
      </w:pPr>
      <w:r>
        <w:rPr>
          <w:rFonts w:ascii="方正楷体_GBK" w:eastAsia="方正楷体_GBK"/>
          <w:sz w:val="32"/>
          <w:szCs w:val="32"/>
        </w:rPr>
        <w:t>（十七）其他资本性支出（支出经济分类科目类级）：</w:t>
      </w:r>
      <w:r>
        <w:rPr>
          <w:rFonts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spacing w:line="560" w:lineRule="exact"/>
        <w:ind w:firstLine="640" w:firstLineChars="200"/>
        <w:rPr>
          <w:rFonts w:ascii="方正黑体_GBK" w:eastAsia="方正黑体_GBK"/>
          <w:sz w:val="32"/>
          <w:szCs w:val="32"/>
        </w:rPr>
      </w:pPr>
      <w:r>
        <w:rPr>
          <w:rFonts w:ascii="方正黑体_GBK" w:eastAsia="方正黑体_GBK"/>
          <w:sz w:val="32"/>
          <w:szCs w:val="32"/>
        </w:rPr>
        <w:t>七、决算公开联系方式及信息反馈渠道</w:t>
      </w:r>
    </w:p>
    <w:p>
      <w:pPr>
        <w:spacing w:line="560" w:lineRule="exact"/>
        <w:ind w:firstLine="640" w:firstLineChars="200"/>
        <w:rPr>
          <w:rFonts w:ascii="方正仿宋_GBK" w:eastAsia="方正仿宋_GBK"/>
          <w:sz w:val="32"/>
          <w:szCs w:val="32"/>
        </w:rPr>
      </w:pPr>
      <w:r>
        <w:rPr>
          <w:rFonts w:ascii="方正仿宋_GBK" w:eastAsia="方正仿宋_GBK"/>
          <w:sz w:val="32"/>
          <w:szCs w:val="32"/>
        </w:rPr>
        <w:t>本单位决算公开信息反馈和联系方式：</w:t>
      </w:r>
    </w:p>
    <w:p>
      <w:pPr>
        <w:spacing w:line="560" w:lineRule="exact"/>
        <w:ind w:firstLine="640" w:firstLineChars="200"/>
        <w:rPr>
          <w:rFonts w:hint="default" w:ascii="方正仿宋_GBK" w:eastAsia="方正仿宋_GBK"/>
          <w:sz w:val="32"/>
          <w:szCs w:val="32"/>
        </w:rPr>
      </w:pPr>
      <w:r>
        <w:rPr>
          <w:rFonts w:ascii="方正仿宋_GBK" w:eastAsia="方正仿宋_GBK"/>
          <w:sz w:val="32"/>
          <w:szCs w:val="32"/>
        </w:rPr>
        <w:t>杨绪           023-46782252</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2098" w:right="1474" w:bottom="1985" w:left="1588" w:header="851" w:footer="992" w:gutter="0"/>
          <w:pgNumType w:fmt="numberInDash"/>
          <w:cols w:space="720" w:num="1"/>
          <w:docGrid w:type="lines" w:linePitch="312" w:charSpace="0"/>
        </w:sectPr>
      </w:pPr>
    </w:p>
    <w:p>
      <w:pPr>
        <w:rPr>
          <w:rFonts w:hint="default" w:cs="宋体"/>
          <w:sz w:val="21"/>
          <w:szCs w:val="21"/>
        </w:rPr>
      </w:pPr>
    </w:p>
    <w:tbl>
      <w:tblPr>
        <w:tblStyle w:val="7"/>
        <w:tblW w:w="10746" w:type="dxa"/>
        <w:tblInd w:w="0" w:type="dxa"/>
        <w:tblLayout w:type="fixed"/>
        <w:tblCellMar>
          <w:top w:w="0" w:type="dxa"/>
          <w:left w:w="0" w:type="dxa"/>
          <w:bottom w:w="0" w:type="dxa"/>
          <w:right w:w="0" w:type="dxa"/>
        </w:tblCellMar>
      </w:tblPr>
      <w:tblGrid>
        <w:gridCol w:w="3576"/>
        <w:gridCol w:w="1410"/>
        <w:gridCol w:w="3357"/>
        <w:gridCol w:w="2403"/>
      </w:tblGrid>
      <w:tr>
        <w:tblPrEx>
          <w:tblLayout w:type="fixed"/>
          <w:tblCellMar>
            <w:top w:w="0" w:type="dxa"/>
            <w:left w:w="0" w:type="dxa"/>
            <w:bottom w:w="0" w:type="dxa"/>
            <w:right w:w="0" w:type="dxa"/>
          </w:tblCellMar>
        </w:tblPrEx>
        <w:trPr>
          <w:trHeight w:val="232" w:hRule="atLeast"/>
        </w:trPr>
        <w:tc>
          <w:tcPr>
            <w:tcW w:w="10746"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5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5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0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4986"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重庆市荣昌区交通局</w:t>
            </w:r>
          </w:p>
        </w:tc>
        <w:tc>
          <w:tcPr>
            <w:tcW w:w="335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03"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9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6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21,854.30</w:t>
            </w: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4,656.30</w:t>
            </w: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2,114.87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263.07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4,656.30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242.56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18,874.75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162.15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color w:val="000000"/>
                <w:sz w:val="20"/>
                <w:szCs w:val="20"/>
              </w:rPr>
            </w:pP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26,510.60</w:t>
            </w: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26,764.97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3,090.17</w:t>
            </w:r>
            <w:r>
              <w:rPr>
                <w:color w:val="000000"/>
                <w:sz w:val="20"/>
              </w:rPr>
              <w:t xml:space="preserve"> </w:t>
            </w:r>
          </w:p>
        </w:tc>
        <w:tc>
          <w:tcPr>
            <w:tcW w:w="33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0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2,835.80</w:t>
            </w: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5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29,600.78</w:t>
            </w:r>
            <w:r>
              <w:rPr>
                <w:color w:val="000000"/>
                <w:sz w:val="20"/>
              </w:rPr>
              <w:t xml:space="preserve"> </w:t>
            </w:r>
          </w:p>
        </w:tc>
        <w:tc>
          <w:tcPr>
            <w:tcW w:w="3357"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0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29,600.78</w:t>
            </w:r>
            <w:r>
              <w:rPr>
                <w:color w:val="000000"/>
                <w:sz w:val="20"/>
              </w:rPr>
              <w:t xml:space="preserve"> </w:t>
            </w:r>
          </w:p>
        </w:tc>
      </w:tr>
    </w:tbl>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10746" w:type="dxa"/>
        <w:tblInd w:w="0" w:type="dxa"/>
        <w:tblLayout w:type="fixed"/>
        <w:tblCellMar>
          <w:top w:w="0" w:type="dxa"/>
          <w:left w:w="0" w:type="dxa"/>
          <w:bottom w:w="0" w:type="dxa"/>
          <w:right w:w="0" w:type="dxa"/>
        </w:tblCellMar>
      </w:tblPr>
      <w:tblGrid>
        <w:gridCol w:w="1637"/>
        <w:gridCol w:w="3630"/>
        <w:gridCol w:w="1038"/>
        <w:gridCol w:w="1038"/>
        <w:gridCol w:w="417"/>
        <w:gridCol w:w="417"/>
        <w:gridCol w:w="509"/>
        <w:gridCol w:w="468"/>
        <w:gridCol w:w="562"/>
        <w:gridCol w:w="1030"/>
      </w:tblGrid>
      <w:tr>
        <w:tblPrEx>
          <w:tblLayout w:type="fixed"/>
          <w:tblCellMar>
            <w:top w:w="0" w:type="dxa"/>
            <w:left w:w="0" w:type="dxa"/>
            <w:bottom w:w="0" w:type="dxa"/>
            <w:right w:w="0" w:type="dxa"/>
          </w:tblCellMar>
        </w:tblPrEx>
        <w:trPr>
          <w:trHeight w:val="641" w:hRule="atLeast"/>
        </w:trPr>
        <w:tc>
          <w:tcPr>
            <w:tcW w:w="10746"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30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重庆市荣昌区交通局</w:t>
            </w: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30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26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26,510.60</w:t>
            </w:r>
            <w:r>
              <w:rPr>
                <w:b/>
                <w:color w:val="000000"/>
                <w:sz w:val="20"/>
              </w:rPr>
              <w:t xml:space="preserve">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26,510.60</w:t>
            </w:r>
            <w:r>
              <w:rPr>
                <w:b/>
                <w:color w:val="000000"/>
                <w:sz w:val="20"/>
              </w:rPr>
              <w:t xml:space="preserve"> </w:t>
            </w:r>
          </w:p>
        </w:tc>
        <w:tc>
          <w:tcPr>
            <w:tcW w:w="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2,114.87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2,114.87</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1,099.27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1,099.27</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310.70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310.70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241.20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241.20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547.37</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547.37</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1,015.60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1,015.60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1,015.60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1,015.60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263.07</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203.07</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71.98</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71.98</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18,620.38</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18,620.38</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11,154.87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11,154.87</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1,507.03</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1,507.03</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4,912.22</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4,912.22</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111.30</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13.98</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13.98</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3,117.82</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3,117.82</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6,438.73</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6,438.73</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6,438.73</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6,438.73</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1,026.78</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1,026.78</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1,026.78</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1,026.78</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162.15</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162.15</w:t>
            </w: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0746" w:type="dxa"/>
        <w:tblInd w:w="0" w:type="dxa"/>
        <w:tblLayout w:type="fixed"/>
        <w:tblCellMar>
          <w:top w:w="0" w:type="dxa"/>
          <w:left w:w="0" w:type="dxa"/>
          <w:bottom w:w="0" w:type="dxa"/>
          <w:right w:w="0" w:type="dxa"/>
        </w:tblCellMar>
      </w:tblPr>
      <w:tblGrid>
        <w:gridCol w:w="1637"/>
        <w:gridCol w:w="3630"/>
        <w:gridCol w:w="1038"/>
        <w:gridCol w:w="937"/>
        <w:gridCol w:w="1038"/>
        <w:gridCol w:w="578"/>
        <w:gridCol w:w="858"/>
        <w:gridCol w:w="1030"/>
      </w:tblGrid>
      <w:tr>
        <w:tblPrEx>
          <w:tblLayout w:type="fixed"/>
          <w:tblCellMar>
            <w:top w:w="0" w:type="dxa"/>
            <w:left w:w="0" w:type="dxa"/>
            <w:bottom w:w="0" w:type="dxa"/>
            <w:right w:w="0" w:type="dxa"/>
          </w:tblCellMar>
        </w:tblPrEx>
        <w:trPr>
          <w:trHeight w:val="654" w:hRule="atLeast"/>
        </w:trPr>
        <w:tc>
          <w:tcPr>
            <w:tcW w:w="10746"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30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重庆市荣昌区交通局 </w:t>
            </w: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30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3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26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26,764.97</w:t>
            </w:r>
            <w:r>
              <w:rPr>
                <w:b/>
                <w:color w:val="000000"/>
                <w:sz w:val="20"/>
              </w:rPr>
              <w:t xml:space="preserve"> </w:t>
            </w:r>
          </w:p>
        </w:tc>
        <w:tc>
          <w:tcPr>
            <w:tcW w:w="9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4,911.45</w:t>
            </w:r>
            <w:r>
              <w:rPr>
                <w:b/>
                <w:color w:val="000000"/>
                <w:sz w:val="20"/>
              </w:rPr>
              <w:t xml:space="preserve"> </w:t>
            </w:r>
          </w:p>
        </w:tc>
        <w:tc>
          <w:tcPr>
            <w:tcW w:w="10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21,853.53</w:t>
            </w:r>
            <w:r>
              <w:rPr>
                <w:b/>
                <w:color w:val="000000"/>
                <w:sz w:val="20"/>
              </w:rPr>
              <w:t xml:space="preserve"> </w:t>
            </w:r>
          </w:p>
        </w:tc>
        <w:tc>
          <w:tcPr>
            <w:tcW w:w="5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8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22.22</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22.22</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2,114.87</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1,099.27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1,015.60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1,099.27</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1,099.27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310.70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310.70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241.20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241.20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547.37</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547.37</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1,015.60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1,015.60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1,015.60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1,015.60</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263.07</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203.07</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203.07</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52.05</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71.98</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71.98</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25.74</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53.30</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425.00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425.00</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4,656.30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335.30</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335.30</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242.56</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238.23</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238.23</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4.33</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4.33</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18,874.75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3,424.74</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15,450.02</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11,409.24</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3,424.74</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7,984.50</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1,507.03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1,507.03</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4,912.22</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4,912.22</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140.86</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140.86</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14.57</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3,342.05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1,917.71</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1,424.34</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6,438.73</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6,438.73</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6,438.73</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6,438.73</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1,026.78</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1,026.78</w:t>
            </w:r>
            <w:r>
              <w:rPr>
                <w:b/>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1,026.78</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1,026.78</w:t>
            </w: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162.15</w:t>
            </w:r>
            <w:r>
              <w:rPr>
                <w:b/>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162.15</w:t>
            </w:r>
            <w:r>
              <w:rPr>
                <w:color w:val="000000"/>
                <w:sz w:val="20"/>
              </w:rPr>
              <w:t xml:space="preserve"> </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162.15</w:t>
            </w:r>
            <w:r>
              <w:rPr>
                <w:color w:val="000000"/>
                <w:sz w:val="20"/>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0746" w:type="dxa"/>
        <w:tblInd w:w="0" w:type="dxa"/>
        <w:tblLayout w:type="fixed"/>
        <w:tblCellMar>
          <w:top w:w="0" w:type="dxa"/>
          <w:left w:w="0" w:type="dxa"/>
          <w:bottom w:w="0" w:type="dxa"/>
          <w:right w:w="0" w:type="dxa"/>
        </w:tblCellMar>
      </w:tblPr>
      <w:tblGrid>
        <w:gridCol w:w="2661"/>
        <w:gridCol w:w="971"/>
        <w:gridCol w:w="2850"/>
        <w:gridCol w:w="978"/>
        <w:gridCol w:w="1038"/>
        <w:gridCol w:w="1038"/>
        <w:gridCol w:w="1210"/>
      </w:tblGrid>
      <w:tr>
        <w:tblPrEx>
          <w:tblLayout w:type="fixed"/>
          <w:tblCellMar>
            <w:top w:w="0" w:type="dxa"/>
            <w:left w:w="0" w:type="dxa"/>
            <w:bottom w:w="0" w:type="dxa"/>
            <w:right w:w="0" w:type="dxa"/>
          </w:tblCellMar>
        </w:tblPrEx>
        <w:trPr>
          <w:trHeight w:val="90" w:hRule="atLeast"/>
        </w:trPr>
        <w:tc>
          <w:tcPr>
            <w:tcW w:w="10746"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482"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重庆市荣昌区交通局</w:t>
            </w:r>
          </w:p>
        </w:tc>
        <w:tc>
          <w:tcPr>
            <w:tcW w:w="9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0"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6482"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0"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63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114"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4264"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21,854.30</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4,656.30</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2,114.87</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2,114.87</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263.07</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263.07</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425.00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425.00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4,656.30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4,656.30</w:t>
            </w: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242.56</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242.56</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18,620.38</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18,620.38</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162.15</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162.15</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26,510.60</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26,510.60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21,854.30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4,656.30</w:t>
            </w: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26,510.60</w:t>
            </w:r>
            <w:r>
              <w:rPr>
                <w:color w:val="000000"/>
                <w:sz w:val="18"/>
              </w:rPr>
              <w:t xml:space="preserve"> </w:t>
            </w:r>
          </w:p>
        </w:tc>
        <w:tc>
          <w:tcPr>
            <w:tcW w:w="2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26,510.60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21,854.30</w:t>
            </w:r>
            <w:r>
              <w:rPr>
                <w:color w:val="000000"/>
                <w:sz w:val="18"/>
              </w:rPr>
              <w:t xml:space="preserve"> </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4,656.30</w:t>
            </w:r>
            <w:r>
              <w:rPr>
                <w:color w:val="000000"/>
                <w:sz w:val="18"/>
              </w:rPr>
              <w:t xml:space="preserve"> </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746" w:type="dxa"/>
        <w:tblInd w:w="0" w:type="dxa"/>
        <w:tblLayout w:type="fixed"/>
        <w:tblCellMar>
          <w:top w:w="0" w:type="dxa"/>
          <w:left w:w="0" w:type="dxa"/>
          <w:bottom w:w="0" w:type="dxa"/>
          <w:right w:w="0" w:type="dxa"/>
        </w:tblCellMar>
      </w:tblPr>
      <w:tblGrid>
        <w:gridCol w:w="1010"/>
        <w:gridCol w:w="3630"/>
        <w:gridCol w:w="2031"/>
        <w:gridCol w:w="2031"/>
        <w:gridCol w:w="2044"/>
      </w:tblGrid>
      <w:tr>
        <w:tblPrEx>
          <w:tblLayout w:type="fixed"/>
          <w:tblCellMar>
            <w:top w:w="0" w:type="dxa"/>
            <w:left w:w="0" w:type="dxa"/>
            <w:bottom w:w="0" w:type="dxa"/>
            <w:right w:w="0" w:type="dxa"/>
          </w:tblCellMar>
        </w:tblPrEx>
        <w:trPr>
          <w:trHeight w:val="510" w:hRule="atLeast"/>
        </w:trPr>
        <w:tc>
          <w:tcPr>
            <w:tcW w:w="10746"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6671"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重庆市荣昌区交通局</w:t>
            </w:r>
          </w:p>
        </w:tc>
        <w:tc>
          <w:tcPr>
            <w:tcW w:w="20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6671"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3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04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6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10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0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0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0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0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0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64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21,854.30</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4,911.45</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16,942.85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22.22</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22.22</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22.22</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22.22</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22.22</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22.22</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2,114.87</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1,099.27</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1,015.60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1,099.27</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1,099.27</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310.70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310.70</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241.20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241.20</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547.37</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547.37</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1,015.60</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1,015.60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1,015.60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1,015.60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263.07</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203.07</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203.07</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203.07</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52.05</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71.98</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71.98</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25.74</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25.74</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53.30</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425.00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425.00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425.00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242.56</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242.56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238.23</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238.23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238.23</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238.23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18,620.38</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3,424.74</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15,195.64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11,154.87</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3,424.74</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7,730.13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1,507.03</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1,507.03</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4,912.22</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4,912.22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111.30</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111.30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13.98</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3,117.82</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1,917.71</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1,200.11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6,438.73</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6,438.73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6,438.73</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6,438.73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1,026.78</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1,026.78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公共交通运营补助</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1,026.78</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1,026.78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162.15</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162.15</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162.15</w:t>
            </w:r>
            <w:r>
              <w:rPr>
                <w:b/>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162.15</w:t>
            </w:r>
            <w:r>
              <w:rPr>
                <w:b/>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0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162.15</w:t>
            </w:r>
            <w:r>
              <w:rPr>
                <w:color w:val="000000"/>
                <w:sz w:val="20"/>
              </w:rPr>
              <w:t xml:space="preserve"> </w:t>
            </w:r>
          </w:p>
        </w:tc>
        <w:tc>
          <w:tcPr>
            <w:tcW w:w="20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162.15</w:t>
            </w:r>
            <w:r>
              <w:rPr>
                <w:color w:val="000000"/>
                <w:sz w:val="20"/>
              </w:rPr>
              <w:t xml:space="preserve"> </w:t>
            </w:r>
          </w:p>
        </w:tc>
        <w:tc>
          <w:tcPr>
            <w:tcW w:w="20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733" w:type="dxa"/>
        <w:tblInd w:w="0" w:type="dxa"/>
        <w:tblLayout w:type="fixed"/>
        <w:tblCellMar>
          <w:top w:w="0" w:type="dxa"/>
          <w:left w:w="0" w:type="dxa"/>
          <w:bottom w:w="0" w:type="dxa"/>
          <w:right w:w="0" w:type="dxa"/>
        </w:tblCellMar>
      </w:tblPr>
      <w:tblGrid>
        <w:gridCol w:w="718"/>
        <w:gridCol w:w="1990"/>
        <w:gridCol w:w="992"/>
        <w:gridCol w:w="711"/>
        <w:gridCol w:w="816"/>
        <w:gridCol w:w="745"/>
        <w:gridCol w:w="412"/>
        <w:gridCol w:w="438"/>
        <w:gridCol w:w="127"/>
        <w:gridCol w:w="584"/>
        <w:gridCol w:w="2408"/>
        <w:gridCol w:w="792"/>
      </w:tblGrid>
      <w:tr>
        <w:tblPrEx>
          <w:tblLayout w:type="fixed"/>
          <w:tblCellMar>
            <w:top w:w="0" w:type="dxa"/>
            <w:left w:w="0" w:type="dxa"/>
            <w:bottom w:w="0" w:type="dxa"/>
            <w:right w:w="0" w:type="dxa"/>
          </w:tblCellMar>
        </w:tblPrEx>
        <w:trPr>
          <w:trHeight w:val="90" w:hRule="atLeast"/>
        </w:trPr>
        <w:tc>
          <w:tcPr>
            <w:tcW w:w="10733" w:type="dxa"/>
            <w:gridSpan w:val="12"/>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227"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重庆市荣昌区交通局</w:t>
            </w:r>
          </w:p>
        </w:tc>
        <w:tc>
          <w:tcPr>
            <w:tcW w:w="115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4" w:type="dxa"/>
            <w:gridSpan w:val="3"/>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227"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5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65"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84" w:type="dxa"/>
            <w:gridSpan w:val="3"/>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37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03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7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56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85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11"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7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9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6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85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11"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24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7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3,479.97</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846.28</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812.31</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15.38</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267.52</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477.47</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963.96</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310.70</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10.65</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241.20</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28.44</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124.03</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25.74</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34.59</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152.65</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162.15</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30.35</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29.96</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585.20</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7.48</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55.34</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461.00</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44.49</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157.38</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24.36</w:t>
            </w: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80.13</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70.50</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61.85</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206.05</w:t>
            </w: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56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2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color w:val="000000"/>
                <w:sz w:val="18"/>
                <w:szCs w:val="18"/>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70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9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4,065.17</w:t>
            </w:r>
            <w:r>
              <w:rPr>
                <w:color w:val="000000"/>
                <w:sz w:val="18"/>
              </w:rPr>
              <w:t xml:space="preserve"> </w:t>
            </w:r>
          </w:p>
        </w:tc>
        <w:tc>
          <w:tcPr>
            <w:tcW w:w="6241" w:type="dxa"/>
            <w:gridSpan w:val="8"/>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846.28</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746" w:type="dxa"/>
        <w:tblInd w:w="0" w:type="dxa"/>
        <w:tblLayout w:type="fixed"/>
        <w:tblCellMar>
          <w:top w:w="0" w:type="dxa"/>
          <w:left w:w="0" w:type="dxa"/>
          <w:bottom w:w="0" w:type="dxa"/>
          <w:right w:w="0" w:type="dxa"/>
        </w:tblCellMar>
      </w:tblPr>
      <w:tblGrid>
        <w:gridCol w:w="1086"/>
        <w:gridCol w:w="3631"/>
        <w:gridCol w:w="982"/>
        <w:gridCol w:w="982"/>
        <w:gridCol w:w="982"/>
        <w:gridCol w:w="982"/>
        <w:gridCol w:w="1029"/>
        <w:gridCol w:w="1072"/>
      </w:tblGrid>
      <w:tr>
        <w:tblPrEx>
          <w:tblLayout w:type="fixed"/>
          <w:tblCellMar>
            <w:top w:w="0" w:type="dxa"/>
            <w:left w:w="0" w:type="dxa"/>
            <w:bottom w:w="0" w:type="dxa"/>
            <w:right w:w="0" w:type="dxa"/>
          </w:tblCellMar>
        </w:tblPrEx>
        <w:trPr>
          <w:trHeight w:val="644" w:hRule="atLeast"/>
        </w:trPr>
        <w:tc>
          <w:tcPr>
            <w:tcW w:w="10746"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69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重庆市荣昌区交通局</w:t>
            </w: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69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8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7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9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7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4,656.30</w:t>
            </w:r>
            <w:r>
              <w:rPr>
                <w:b/>
                <w:color w:val="000000"/>
                <w:sz w:val="20"/>
              </w:rPr>
              <w:t xml:space="preserve"> </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4,656.30</w:t>
            </w:r>
            <w:r>
              <w:rPr>
                <w:b/>
                <w:color w:val="000000"/>
                <w:sz w:val="20"/>
              </w:rPr>
              <w:t xml:space="preserve"> </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rPr>
              <w:t xml:space="preserve"> </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0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335.30</w:t>
            </w: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335.30</w:t>
            </w:r>
            <w:r>
              <w:rPr>
                <w:color w:val="000000"/>
                <w:sz w:val="20"/>
              </w:rPr>
              <w:t xml:space="preserve"> </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335.30</w:t>
            </w:r>
            <w:r>
              <w:rPr>
                <w:color w:val="000000"/>
                <w:sz w:val="20"/>
              </w:rPr>
              <w:t xml:space="preserve"> </w:t>
            </w:r>
          </w:p>
        </w:tc>
        <w:tc>
          <w:tcPr>
            <w:tcW w:w="10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746" w:type="dxa"/>
        <w:tblInd w:w="0" w:type="dxa"/>
        <w:tblLayout w:type="fixed"/>
        <w:tblCellMar>
          <w:top w:w="0" w:type="dxa"/>
          <w:left w:w="0" w:type="dxa"/>
          <w:bottom w:w="0" w:type="dxa"/>
          <w:right w:w="0" w:type="dxa"/>
        </w:tblCellMar>
      </w:tblPr>
      <w:tblGrid>
        <w:gridCol w:w="1315"/>
        <w:gridCol w:w="2138"/>
        <w:gridCol w:w="2289"/>
        <w:gridCol w:w="140"/>
        <w:gridCol w:w="2429"/>
        <w:gridCol w:w="54"/>
        <w:gridCol w:w="2381"/>
      </w:tblGrid>
      <w:tr>
        <w:tblPrEx>
          <w:tblLayout w:type="fixed"/>
          <w:tblCellMar>
            <w:top w:w="0" w:type="dxa"/>
            <w:left w:w="0" w:type="dxa"/>
            <w:bottom w:w="0" w:type="dxa"/>
            <w:right w:w="0" w:type="dxa"/>
          </w:tblCellMar>
        </w:tblPrEx>
        <w:trPr>
          <w:trHeight w:val="650" w:hRule="atLeast"/>
        </w:trPr>
        <w:tc>
          <w:tcPr>
            <w:tcW w:w="10746"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74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重庆市荣昌区交通局</w:t>
            </w:r>
          </w:p>
        </w:tc>
        <w:tc>
          <w:tcPr>
            <w:tcW w:w="262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8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74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623"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8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29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3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3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29"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3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13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43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3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24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0746" w:type="dxa"/>
        <w:tblInd w:w="0" w:type="dxa"/>
        <w:tblLayout w:type="fixed"/>
        <w:tblCellMar>
          <w:top w:w="0" w:type="dxa"/>
          <w:left w:w="170" w:type="dxa"/>
          <w:bottom w:w="0" w:type="dxa"/>
          <w:right w:w="170" w:type="dxa"/>
        </w:tblCellMar>
      </w:tblPr>
      <w:tblGrid>
        <w:gridCol w:w="2910"/>
        <w:gridCol w:w="1390"/>
        <w:gridCol w:w="1352"/>
        <w:gridCol w:w="3710"/>
        <w:gridCol w:w="1384"/>
      </w:tblGrid>
      <w:tr>
        <w:tblPrEx>
          <w:tblLayout w:type="fixed"/>
          <w:tblCellMar>
            <w:top w:w="0" w:type="dxa"/>
            <w:left w:w="170" w:type="dxa"/>
            <w:bottom w:w="0" w:type="dxa"/>
            <w:right w:w="170" w:type="dxa"/>
          </w:tblCellMar>
        </w:tblPrEx>
        <w:trPr>
          <w:trHeight w:val="343" w:hRule="atLeast"/>
        </w:trPr>
        <w:tc>
          <w:tcPr>
            <w:tcW w:w="10746" w:type="dxa"/>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291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390" w:type="dxa"/>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1352" w:type="dxa"/>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10" w:type="dxa"/>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384" w:type="dxa"/>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430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重庆市荣昌区交通局</w:t>
            </w:r>
          </w:p>
        </w:tc>
        <w:tc>
          <w:tcPr>
            <w:tcW w:w="135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71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13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438.11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118.69</w:t>
            </w: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118.69</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68.57</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369.54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107.22</w:t>
            </w: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107.22</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26.72</w:t>
            </w: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26.72</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80.50</w:t>
            </w: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80.50</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w:t>
            </w:r>
            <w:r>
              <w:rPr>
                <w:color w:val="000000"/>
                <w:sz w:val="16"/>
              </w:rPr>
              <w:t xml:space="preserve"> </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27</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161</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20,942.80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1,391</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20,924.00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18.80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922.04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891.24</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kern w:val="2"/>
                <w:sz w:val="16"/>
                <w:szCs w:val="16"/>
              </w:rPr>
            </w:pP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29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13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35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23.97</w:t>
            </w:r>
            <w:r>
              <w:rPr>
                <w:color w:val="000000"/>
                <w:sz w:val="16"/>
              </w:rPr>
              <w:t xml:space="preserve"> </w:t>
            </w:r>
          </w:p>
        </w:tc>
        <w:tc>
          <w:tcPr>
            <w:tcW w:w="37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rPr>
                <w:rFonts w:hint="default" w:cs="宋体"/>
                <w:color w:val="000000"/>
                <w:kern w:val="2"/>
                <w:sz w:val="16"/>
                <w:szCs w:val="16"/>
              </w:rPr>
            </w:pPr>
          </w:p>
        </w:tc>
        <w:tc>
          <w:tcPr>
            <w:tcW w:w="13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
    <w:p/>
    <w:p/>
    <w:p/>
    <w:p/>
    <w:p/>
    <w:p/>
    <w:p/>
    <w:p/>
    <w:p/>
    <w:p/>
    <w:p/>
    <w:p/>
    <w:p/>
    <w:tbl>
      <w:tblPr>
        <w:tblStyle w:val="7"/>
        <w:tblW w:w="10932" w:type="dxa"/>
        <w:tblInd w:w="0" w:type="dxa"/>
        <w:tblLayout w:type="fixed"/>
        <w:tblCellMar>
          <w:top w:w="0" w:type="dxa"/>
          <w:left w:w="108" w:type="dxa"/>
          <w:bottom w:w="0" w:type="dxa"/>
          <w:right w:w="108" w:type="dxa"/>
        </w:tblCellMar>
      </w:tblPr>
      <w:tblGrid>
        <w:gridCol w:w="1566"/>
        <w:gridCol w:w="689"/>
        <w:gridCol w:w="689"/>
        <w:gridCol w:w="1185"/>
        <w:gridCol w:w="1041"/>
        <w:gridCol w:w="1156"/>
        <w:gridCol w:w="1110"/>
        <w:gridCol w:w="690"/>
        <w:gridCol w:w="690"/>
        <w:gridCol w:w="1020"/>
        <w:gridCol w:w="1096"/>
      </w:tblGrid>
      <w:tr>
        <w:tblPrEx>
          <w:tblLayout w:type="fixed"/>
          <w:tblCellMar>
            <w:top w:w="0" w:type="dxa"/>
            <w:left w:w="108" w:type="dxa"/>
            <w:bottom w:w="0" w:type="dxa"/>
            <w:right w:w="108" w:type="dxa"/>
          </w:tblCellMar>
        </w:tblPrEx>
        <w:trPr>
          <w:trHeight w:val="799" w:hRule="atLeast"/>
        </w:trPr>
        <w:tc>
          <w:tcPr>
            <w:tcW w:w="10932" w:type="dxa"/>
            <w:gridSpan w:val="11"/>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2023年度部门整体绩效自评表</w:t>
            </w:r>
          </w:p>
        </w:tc>
      </w:tr>
      <w:tr>
        <w:tblPrEx>
          <w:tblLayout w:type="fixed"/>
          <w:tblCellMar>
            <w:top w:w="0" w:type="dxa"/>
            <w:left w:w="108" w:type="dxa"/>
            <w:bottom w:w="0" w:type="dxa"/>
            <w:right w:w="108" w:type="dxa"/>
          </w:tblCellMar>
        </w:tblPrEx>
        <w:trPr>
          <w:trHeight w:val="390" w:hRule="atLeast"/>
        </w:trPr>
        <w:tc>
          <w:tcPr>
            <w:tcW w:w="1566"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689"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689"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1185"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1041"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1156"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1110"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690"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690" w:type="dxa"/>
            <w:tcBorders>
              <w:top w:val="nil"/>
              <w:left w:val="nil"/>
              <w:bottom w:val="nil"/>
              <w:right w:val="nil"/>
            </w:tcBorders>
            <w:shd w:val="clear" w:color="auto" w:fill="auto"/>
            <w:noWrap/>
            <w:vAlign w:val="center"/>
          </w:tcPr>
          <w:p>
            <w:pPr>
              <w:jc w:val="center"/>
              <w:rPr>
                <w:rFonts w:ascii="微软雅黑" w:hAnsi="微软雅黑" w:eastAsia="微软雅黑" w:cs="宋体"/>
                <w:b/>
                <w:bCs/>
                <w:color w:val="000000"/>
                <w:sz w:val="40"/>
                <w:szCs w:val="40"/>
              </w:rPr>
            </w:pPr>
          </w:p>
        </w:tc>
        <w:tc>
          <w:tcPr>
            <w:tcW w:w="2116" w:type="dxa"/>
            <w:gridSpan w:val="2"/>
            <w:tcBorders>
              <w:top w:val="nil"/>
              <w:left w:val="nil"/>
              <w:bottom w:val="single" w:color="auto" w:sz="4" w:space="0"/>
              <w:right w:val="nil"/>
            </w:tcBorders>
            <w:shd w:val="clear" w:color="auto" w:fill="auto"/>
            <w:noWrap/>
            <w:vAlign w:val="center"/>
          </w:tcPr>
          <w:p>
            <w:pPr>
              <w:jc w:val="center"/>
              <w:rPr>
                <w:rFonts w:cs="宋体"/>
                <w:color w:val="000000"/>
                <w:sz w:val="20"/>
                <w:szCs w:val="20"/>
              </w:rPr>
            </w:pPr>
            <w:r>
              <w:rPr>
                <w:rFonts w:cs="宋体"/>
                <w:color w:val="000000"/>
                <w:sz w:val="20"/>
                <w:szCs w:val="20"/>
              </w:rPr>
              <w:t>公开10表</w:t>
            </w:r>
          </w:p>
        </w:tc>
      </w:tr>
      <w:tr>
        <w:tblPrEx>
          <w:tblLayout w:type="fixed"/>
          <w:tblCellMar>
            <w:top w:w="0" w:type="dxa"/>
            <w:left w:w="108" w:type="dxa"/>
            <w:bottom w:w="0" w:type="dxa"/>
            <w:right w:w="108" w:type="dxa"/>
          </w:tblCellMar>
        </w:tblPrEx>
        <w:trPr>
          <w:trHeight w:val="270" w:hRule="atLeast"/>
        </w:trPr>
        <w:tc>
          <w:tcPr>
            <w:tcW w:w="15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项目名称：</w:t>
            </w:r>
          </w:p>
        </w:tc>
        <w:tc>
          <w:tcPr>
            <w:tcW w:w="13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重庆市荣昌区交通局整体自评</w:t>
            </w:r>
          </w:p>
        </w:tc>
        <w:tc>
          <w:tcPr>
            <w:tcW w:w="1185" w:type="dxa"/>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项目编码：</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50015300023P000025</w:t>
            </w:r>
          </w:p>
        </w:tc>
        <w:tc>
          <w:tcPr>
            <w:tcW w:w="1110" w:type="dxa"/>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自评总分：</w:t>
            </w:r>
          </w:p>
        </w:tc>
        <w:tc>
          <w:tcPr>
            <w:tcW w:w="3496"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99.604</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项目主管部门：</w:t>
            </w:r>
          </w:p>
        </w:tc>
        <w:tc>
          <w:tcPr>
            <w:tcW w:w="13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125-重庆市荣昌区交通局</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财政归口处室：</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005-经济建设科</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部门联系人：</w:t>
            </w:r>
          </w:p>
        </w:tc>
        <w:tc>
          <w:tcPr>
            <w:tcW w:w="138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杨绪</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联系电话：</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46782252</w:t>
            </w:r>
          </w:p>
        </w:tc>
      </w:tr>
      <w:tr>
        <w:tblPrEx>
          <w:tblLayout w:type="fixed"/>
          <w:tblCellMar>
            <w:top w:w="0" w:type="dxa"/>
            <w:left w:w="108" w:type="dxa"/>
            <w:bottom w:w="0" w:type="dxa"/>
            <w:right w:w="108" w:type="dxa"/>
          </w:tblCellMar>
        </w:tblPrEx>
        <w:trPr>
          <w:trHeight w:val="420" w:hRule="atLeast"/>
        </w:trPr>
        <w:tc>
          <w:tcPr>
            <w:tcW w:w="1093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tblPrEx>
          <w:tblLayout w:type="fixed"/>
          <w:tblCellMar>
            <w:top w:w="0" w:type="dxa"/>
            <w:left w:w="108" w:type="dxa"/>
            <w:bottom w:w="0" w:type="dxa"/>
            <w:right w:w="108" w:type="dxa"/>
          </w:tblCellMar>
        </w:tblPrEx>
        <w:trPr>
          <w:trHeight w:val="270" w:hRule="atLeast"/>
        </w:trPr>
        <w:tc>
          <w:tcPr>
            <w:tcW w:w="2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c>
          <w:tcPr>
            <w:tcW w:w="187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年初预算数</w:t>
            </w:r>
          </w:p>
        </w:tc>
        <w:tc>
          <w:tcPr>
            <w:tcW w:w="219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全年（调整）预算数</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全年执行数</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执行率</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执行率权重</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270" w:hRule="atLeast"/>
        </w:trPr>
        <w:tc>
          <w:tcPr>
            <w:tcW w:w="22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年度总金额</w:t>
            </w:r>
          </w:p>
        </w:tc>
        <w:tc>
          <w:tcPr>
            <w:tcW w:w="187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225381228.4</w:t>
            </w:r>
          </w:p>
        </w:tc>
        <w:tc>
          <w:tcPr>
            <w:tcW w:w="2197"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265106011.4</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265106011.4</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270" w:hRule="atLeast"/>
        </w:trPr>
        <w:tc>
          <w:tcPr>
            <w:tcW w:w="22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其中：财政拨款</w:t>
            </w:r>
          </w:p>
        </w:tc>
        <w:tc>
          <w:tcPr>
            <w:tcW w:w="187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225381228.4</w:t>
            </w:r>
          </w:p>
        </w:tc>
        <w:tc>
          <w:tcPr>
            <w:tcW w:w="2197"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265106011.4</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265106011.4</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10.00</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trHeight w:val="270" w:hRule="atLeast"/>
        </w:trPr>
        <w:tc>
          <w:tcPr>
            <w:tcW w:w="225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一般公共预算</w:t>
            </w:r>
          </w:p>
        </w:tc>
        <w:tc>
          <w:tcPr>
            <w:tcW w:w="187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211190794.9</w:t>
            </w:r>
          </w:p>
        </w:tc>
        <w:tc>
          <w:tcPr>
            <w:tcW w:w="2197"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218542986.2</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cs="宋体"/>
                <w:color w:val="000000"/>
                <w:sz w:val="22"/>
                <w:szCs w:val="22"/>
              </w:rPr>
            </w:pPr>
            <w:r>
              <w:rPr>
                <w:rFonts w:cs="宋体"/>
                <w:color w:val="000000"/>
                <w:sz w:val="22"/>
                <w:szCs w:val="22"/>
              </w:rPr>
              <w:t>218542986.2</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420" w:hRule="atLeast"/>
        </w:trPr>
        <w:tc>
          <w:tcPr>
            <w:tcW w:w="1093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tblPrEx>
          <w:tblLayout w:type="fixed"/>
          <w:tblCellMar>
            <w:top w:w="0" w:type="dxa"/>
            <w:left w:w="108" w:type="dxa"/>
            <w:bottom w:w="0" w:type="dxa"/>
            <w:right w:w="108" w:type="dxa"/>
          </w:tblCellMar>
        </w:tblPrEx>
        <w:trPr>
          <w:trHeight w:val="270" w:hRule="atLeast"/>
        </w:trPr>
        <w:tc>
          <w:tcPr>
            <w:tcW w:w="41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年初绩效目标</w:t>
            </w:r>
          </w:p>
        </w:tc>
        <w:tc>
          <w:tcPr>
            <w:tcW w:w="399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全年（调整）绩效目标</w:t>
            </w:r>
          </w:p>
        </w:tc>
        <w:tc>
          <w:tcPr>
            <w:tcW w:w="28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4065" w:hRule="atLeast"/>
        </w:trPr>
        <w:tc>
          <w:tcPr>
            <w:tcW w:w="41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抢抓新时代西部大开发、成渝地区双城经济圈建设、交通强国建设等多重战略机遇，深入落实区委、区政府决策部署，大力抓好交通建设和管理工作。1、完成交通固定资产总投资20.36亿元，开工建设成渝高速扩能荣昌段等4条高速公路，新（改）建国省道16公里、农村公路150公里，进一步优化全区公路网建设；2、做好全区国省县道公路养护并指导乡镇做好乡村道公路养护工作，保证公路路况良好，通车安全；3、开展3次交通执法专项行动，严厉打击各类交通违法行为；4、做好公交及农村客运管理工作，及时发放对7家企业的补贴，确保公交及农村客运正常运转；5、建设普通道路货物运输安全监管平台，创新数字化监管，提升管理能力；6、做好单位内部管理，确保各科室、各单位正常运转。</w:t>
            </w:r>
          </w:p>
        </w:tc>
        <w:tc>
          <w:tcPr>
            <w:tcW w:w="399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c>
          <w:tcPr>
            <w:tcW w:w="280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完成交通固定资产总投资20.36亿元，开工建设成渝高速扩能荣昌段等4条高速公路，新（改）建国省道16公里、农村公路150公里，进一步优化全区公路网建设；2、做好全区国省县道公路养护并指导乡镇做好乡村道公路养护工作，保证公路路况良好，通车安全；3、开展3次交通执法专项行动，严厉打击各类交通违法行为；4、做好公交及农村客运管理工作，及时发放对7家企业的补贴，确保公交及农村客运正常运转；5、建设普通道路货物运输安全监管平台，创新数字化监管，提升管理能力；6、做好单位内部管理，确保各科室、各单位正常运转。</w:t>
            </w:r>
          </w:p>
        </w:tc>
      </w:tr>
      <w:tr>
        <w:tblPrEx>
          <w:tblLayout w:type="fixed"/>
          <w:tblCellMar>
            <w:top w:w="0" w:type="dxa"/>
            <w:left w:w="108" w:type="dxa"/>
            <w:bottom w:w="0" w:type="dxa"/>
            <w:right w:w="108" w:type="dxa"/>
          </w:tblCellMar>
        </w:tblPrEx>
        <w:trPr>
          <w:trHeight w:val="420" w:hRule="atLeast"/>
        </w:trPr>
        <w:tc>
          <w:tcPr>
            <w:tcW w:w="1093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指标名称</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计量单位</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指标性质</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指标值</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全年完成值</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偏离度（%）</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得分系数（%）</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指标权重</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指标得分</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是否核心指标</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54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交通固定资产投资计划完成率</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4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开展交通执法专项行动次数</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次</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桥隧定检数量</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座</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82</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82</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完成国省道改造里程</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公里</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16</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16</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完成农村公路建设里程</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公里</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150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150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养护公路里程数</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公里</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370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366.75</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0.88</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91.2</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4.56</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项目验收合格率</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95</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5.26</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项目完成及时率</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年货运量</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万吨</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1400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1480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5.71</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年客运量</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万人</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740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740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单位正常运转天数</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天</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365</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365</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受益群体满意度</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90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11.11</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5</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否</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270" w:hRule="atLeast"/>
        </w:trPr>
        <w:tc>
          <w:tcPr>
            <w:tcW w:w="1566" w:type="dxa"/>
            <w:tcBorders>
              <w:top w:val="nil"/>
              <w:left w:val="single" w:color="auto" w:sz="4" w:space="0"/>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预算执行率</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689"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w:t>
            </w:r>
          </w:p>
        </w:tc>
        <w:tc>
          <w:tcPr>
            <w:tcW w:w="1185"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041"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115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0</w:t>
            </w:r>
          </w:p>
        </w:tc>
        <w:tc>
          <w:tcPr>
            <w:tcW w:w="111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69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10</w:t>
            </w:r>
          </w:p>
        </w:tc>
        <w:tc>
          <w:tcPr>
            <w:tcW w:w="1020"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是</w:t>
            </w:r>
          </w:p>
        </w:tc>
        <w:tc>
          <w:tcPr>
            <w:tcW w:w="1096" w:type="dxa"/>
            <w:tcBorders>
              <w:top w:val="nil"/>
              <w:left w:val="nil"/>
              <w:bottom w:val="single" w:color="auto" w:sz="4" w:space="0"/>
              <w:right w:val="single" w:color="auto" w:sz="4" w:space="0"/>
            </w:tcBorders>
            <w:shd w:val="clear" w:color="auto" w:fill="auto"/>
            <w:vAlign w:val="center"/>
          </w:tcPr>
          <w:p>
            <w:pPr>
              <w:jc w:val="center"/>
              <w:rPr>
                <w:rFonts w:cs="宋体"/>
                <w:color w:val="000000"/>
                <w:sz w:val="22"/>
                <w:szCs w:val="22"/>
              </w:rPr>
            </w:pPr>
            <w:r>
              <w:rPr>
                <w:rFonts w:cs="宋体"/>
                <w:color w:val="000000"/>
                <w:sz w:val="22"/>
                <w:szCs w:val="22"/>
              </w:rPr>
              <w:t>　</w:t>
            </w:r>
          </w:p>
        </w:tc>
      </w:tr>
    </w:tbl>
    <w:p>
      <w:pPr>
        <w:rPr>
          <w:rFonts w:hint="default"/>
        </w:rPr>
      </w:pPr>
    </w:p>
    <w:sectPr>
      <w:headerReference r:id="rId4" w:type="default"/>
      <w:footerReference r:id="rId5" w:type="default"/>
      <w:pgSz w:w="11850" w:h="16783"/>
      <w:pgMar w:top="1037" w:right="567" w:bottom="454"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66193"/>
    <w:rsid w:val="000C01CC"/>
    <w:rsid w:val="000C6BA5"/>
    <w:rsid w:val="000D7702"/>
    <w:rsid w:val="00283499"/>
    <w:rsid w:val="002D0E5A"/>
    <w:rsid w:val="002D35DC"/>
    <w:rsid w:val="002E5443"/>
    <w:rsid w:val="00327561"/>
    <w:rsid w:val="003B0206"/>
    <w:rsid w:val="004069B8"/>
    <w:rsid w:val="004C12FF"/>
    <w:rsid w:val="00550ABE"/>
    <w:rsid w:val="00564E12"/>
    <w:rsid w:val="005B023C"/>
    <w:rsid w:val="006137D7"/>
    <w:rsid w:val="00634FA8"/>
    <w:rsid w:val="0063613A"/>
    <w:rsid w:val="006379FF"/>
    <w:rsid w:val="00743B18"/>
    <w:rsid w:val="00792285"/>
    <w:rsid w:val="007A0D2E"/>
    <w:rsid w:val="007A3314"/>
    <w:rsid w:val="007B419D"/>
    <w:rsid w:val="00810A78"/>
    <w:rsid w:val="00810F13"/>
    <w:rsid w:val="00860345"/>
    <w:rsid w:val="00944711"/>
    <w:rsid w:val="009750AA"/>
    <w:rsid w:val="00984852"/>
    <w:rsid w:val="009B67B8"/>
    <w:rsid w:val="009C0BDD"/>
    <w:rsid w:val="009E0573"/>
    <w:rsid w:val="00A03B1E"/>
    <w:rsid w:val="00A63C78"/>
    <w:rsid w:val="00A67739"/>
    <w:rsid w:val="00A812B1"/>
    <w:rsid w:val="00A820B7"/>
    <w:rsid w:val="00AC5566"/>
    <w:rsid w:val="00B03CCD"/>
    <w:rsid w:val="00B40138"/>
    <w:rsid w:val="00BD298A"/>
    <w:rsid w:val="00BE51E4"/>
    <w:rsid w:val="00BF5A85"/>
    <w:rsid w:val="00C307F6"/>
    <w:rsid w:val="00C96B11"/>
    <w:rsid w:val="00CC5969"/>
    <w:rsid w:val="00CC6B99"/>
    <w:rsid w:val="00DF7706"/>
    <w:rsid w:val="00E05175"/>
    <w:rsid w:val="00E654E2"/>
    <w:rsid w:val="00E76362"/>
    <w:rsid w:val="00EA0F58"/>
    <w:rsid w:val="00F137D3"/>
    <w:rsid w:val="00F13C36"/>
    <w:rsid w:val="00F23C68"/>
    <w:rsid w:val="00F32C53"/>
    <w:rsid w:val="00F73F90"/>
    <w:rsid w:val="00F7623D"/>
    <w:rsid w:val="00F80040"/>
    <w:rsid w:val="00F8598B"/>
    <w:rsid w:val="00FC39C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5E16DF0"/>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FF7669"/>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页脚 Char"/>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3207</Words>
  <Characters>18286</Characters>
  <Lines>152</Lines>
  <Paragraphs>42</Paragraphs>
  <TotalTime>282</TotalTime>
  <ScaleCrop>false</ScaleCrop>
  <LinksUpToDate>false</LinksUpToDate>
  <CharactersWithSpaces>21451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2024-10-09T01:24:02Z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