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default" w:ascii="方正小标宋_GBK" w:eastAsia="方正小标宋_GBK"/>
          <w:sz w:val="44"/>
          <w:szCs w:val="44"/>
        </w:rPr>
      </w:pPr>
      <w:r>
        <w:rPr>
          <w:rFonts w:ascii="方正小标宋_GBK" w:eastAsia="方正小标宋_GBK"/>
          <w:sz w:val="44"/>
          <w:szCs w:val="44"/>
        </w:rPr>
        <w:t>重庆市荣昌区交通局（本级）</w:t>
      </w:r>
    </w:p>
    <w:p>
      <w:pPr>
        <w:spacing w:line="720" w:lineRule="exact"/>
        <w:jc w:val="center"/>
        <w:rPr>
          <w:rFonts w:hint="default" w:ascii="方正小标宋_GBK" w:eastAsia="方正小标宋_GBK"/>
          <w:sz w:val="44"/>
          <w:szCs w:val="44"/>
        </w:rPr>
      </w:pPr>
      <w:r>
        <w:rPr>
          <w:rFonts w:ascii="方正小标宋_GBK" w:eastAsia="方正小标宋_GBK"/>
          <w:sz w:val="44"/>
          <w:szCs w:val="44"/>
        </w:rPr>
        <w:t>2023年度部门决算公开报告</w:t>
      </w:r>
    </w:p>
    <w:p>
      <w:pPr>
        <w:spacing w:line="540" w:lineRule="exact"/>
        <w:ind w:firstLine="640" w:firstLineChars="200"/>
        <w:rPr>
          <w:rFonts w:hint="default" w:ascii="方正仿宋_GBK" w:eastAsia="方正仿宋_GBK"/>
          <w:sz w:val="32"/>
          <w:szCs w:val="32"/>
        </w:rPr>
      </w:pPr>
    </w:p>
    <w:p>
      <w:pPr>
        <w:spacing w:line="540" w:lineRule="exact"/>
        <w:ind w:firstLine="640" w:firstLineChars="200"/>
        <w:rPr>
          <w:rFonts w:hint="default" w:ascii="方正黑体_GBK" w:eastAsia="方正黑体_GBK"/>
          <w:sz w:val="32"/>
          <w:szCs w:val="32"/>
        </w:rPr>
      </w:pPr>
      <w:r>
        <w:rPr>
          <w:rFonts w:ascii="方正黑体_GBK" w:eastAsia="方正黑体_GBK"/>
          <w:sz w:val="32"/>
          <w:szCs w:val="32"/>
        </w:rPr>
        <w:t>一、单位基本情况</w:t>
      </w:r>
    </w:p>
    <w:p>
      <w:pPr>
        <w:spacing w:line="540" w:lineRule="exact"/>
        <w:ind w:firstLine="640" w:firstLineChars="200"/>
        <w:rPr>
          <w:rFonts w:hint="default" w:ascii="方正楷体_GBK" w:eastAsia="方正楷体_GBK"/>
          <w:sz w:val="32"/>
          <w:szCs w:val="32"/>
        </w:rPr>
      </w:pPr>
      <w:r>
        <w:rPr>
          <w:rFonts w:ascii="方正楷体_GBK" w:eastAsia="方正楷体_GBK"/>
          <w:sz w:val="32"/>
          <w:szCs w:val="32"/>
        </w:rPr>
        <w:t>（一）职能职责</w:t>
      </w:r>
    </w:p>
    <w:p>
      <w:pPr>
        <w:spacing w:line="540" w:lineRule="exact"/>
        <w:ind w:firstLine="640" w:firstLineChars="200"/>
        <w:rPr>
          <w:rFonts w:hint="default" w:ascii="方正仿宋_GBK" w:eastAsia="方正仿宋_GBK"/>
          <w:sz w:val="32"/>
          <w:szCs w:val="32"/>
        </w:rPr>
      </w:pPr>
      <w:r>
        <w:rPr>
          <w:rFonts w:ascii="方正仿宋_GBK" w:eastAsia="方正仿宋_GBK"/>
          <w:sz w:val="32"/>
          <w:szCs w:val="32"/>
        </w:rPr>
        <w:t>本单位是主管我区客、货运输交通及公路、水路交通行政管理和行业管理的区政府组成部门。主要职能职责为贯彻执行交通运输法律、法规、规章和方针政策；负责拟定全区交通行业发展战略和规章制度、发展规划、中长期计划、年度计划、交通主枢纽发展规划、综合交通运输发展战略和政策、综合交通运输标准；参与拟订物流发展规划、铁路投融资体制和有关政策；负责推进综合交通运输体系建设；负责提出铁路、公路、水路、民航、邮政固定资产投资规模和方向、财政性资金安排意见；负责全区交通运输经济运行监测和应急处置协调工作；负责全区交通道路、水路运输行业管理，综合平衡全区交通运力；负责依法开展水上交通安全监督、运输船舶检验、港航设施建设工作；负责全区交通战备事业的长远发展规划和交通战备工作；负责全区公路、水路建设市场的监管，公路、航道建设工程质量和安全生产监督管理工作；负责交通综合行政执法管理工作的组织、指导、协调和监督；负责局属行政事业单位的人事、财务审计管理工作、国有资产的监督管理；负责交通行业精神文明建设和宣传工作；承办区政府交办的其他事项。</w:t>
      </w:r>
    </w:p>
    <w:p>
      <w:pPr>
        <w:spacing w:line="540" w:lineRule="exact"/>
        <w:ind w:firstLine="640" w:firstLineChars="200"/>
        <w:rPr>
          <w:rFonts w:hint="default" w:ascii="方正楷体_GBK" w:eastAsia="方正楷体_GBK"/>
          <w:sz w:val="32"/>
          <w:szCs w:val="32"/>
        </w:rPr>
      </w:pPr>
      <w:r>
        <w:rPr>
          <w:rFonts w:ascii="方正楷体_GBK" w:eastAsia="方正楷体_GBK"/>
          <w:sz w:val="32"/>
          <w:szCs w:val="32"/>
        </w:rPr>
        <w:t>（二）机构设置</w:t>
      </w:r>
    </w:p>
    <w:p>
      <w:pPr>
        <w:spacing w:line="540" w:lineRule="exact"/>
        <w:ind w:firstLine="640" w:firstLineChars="200"/>
        <w:rPr>
          <w:rFonts w:hint="default" w:ascii="方正仿宋_GBK" w:hAnsi="方正仿宋_GBK" w:eastAsia="方正仿宋_GBK" w:cs="方正仿宋_GBK"/>
        </w:rPr>
      </w:pPr>
      <w:r>
        <w:rPr>
          <w:rFonts w:ascii="方正仿宋_GBK" w:eastAsia="方正仿宋_GBK"/>
          <w:sz w:val="32"/>
          <w:szCs w:val="32"/>
        </w:rPr>
        <w:t>本单位设6个内设机构，分别为办公室（审计科）、建设质量管理科、法规与行政审批科、安全稳定科、规划财务科、综合运输管理科。</w:t>
      </w:r>
    </w:p>
    <w:p>
      <w:pPr>
        <w:spacing w:line="540" w:lineRule="exact"/>
        <w:ind w:firstLine="640" w:firstLineChars="200"/>
        <w:rPr>
          <w:rFonts w:hint="default" w:ascii="方正黑体_GBK" w:eastAsia="方正黑体_GBK"/>
          <w:sz w:val="32"/>
          <w:szCs w:val="32"/>
        </w:rPr>
      </w:pPr>
      <w:r>
        <w:rPr>
          <w:rFonts w:ascii="方正黑体_GBK" w:eastAsia="方正黑体_GBK"/>
          <w:sz w:val="32"/>
          <w:szCs w:val="32"/>
        </w:rPr>
        <w:t>二、单位决算情况说明</w:t>
      </w:r>
    </w:p>
    <w:p>
      <w:pPr>
        <w:spacing w:line="540" w:lineRule="exact"/>
        <w:ind w:firstLine="640" w:firstLineChars="200"/>
        <w:rPr>
          <w:rFonts w:hint="default" w:ascii="方正楷体_GBK" w:eastAsia="方正楷体_GBK"/>
          <w:sz w:val="32"/>
          <w:szCs w:val="32"/>
        </w:rPr>
      </w:pPr>
      <w:r>
        <w:rPr>
          <w:rFonts w:ascii="方正楷体_GBK" w:eastAsia="方正楷体_GBK"/>
          <w:sz w:val="32"/>
          <w:szCs w:val="32"/>
        </w:rPr>
        <w:t>（一）收入支出决算总体情况说明</w:t>
      </w:r>
    </w:p>
    <w:p>
      <w:pPr>
        <w:spacing w:line="540" w:lineRule="exact"/>
        <w:ind w:firstLine="643" w:firstLineChars="200"/>
        <w:rPr>
          <w:rFonts w:hint="default" w:ascii="方正仿宋_GBK" w:eastAsia="方正仿宋_GBK"/>
          <w:sz w:val="32"/>
          <w:szCs w:val="32"/>
        </w:rPr>
      </w:pPr>
      <w:r>
        <w:rPr>
          <w:rFonts w:ascii="方正仿宋_GBK" w:eastAsia="方正仿宋_GBK"/>
          <w:b/>
          <w:sz w:val="32"/>
          <w:szCs w:val="32"/>
        </w:rPr>
        <w:t>1.总体情况。</w:t>
      </w:r>
      <w:r>
        <w:rPr>
          <w:rFonts w:ascii="方正仿宋_GBK" w:eastAsia="方正仿宋_GBK"/>
          <w:sz w:val="32"/>
          <w:szCs w:val="32"/>
        </w:rPr>
        <w:t>2023年度收入总计10632.93万元，支出总计10632.93万元。收支较上年决算数增加2141.01万元，增长25.21%，主要原因是增加车辆购置税收入补助地方等项目收入支出2631万元。</w:t>
      </w:r>
    </w:p>
    <w:p>
      <w:pPr>
        <w:spacing w:line="540" w:lineRule="exact"/>
        <w:ind w:firstLine="643" w:firstLineChars="200"/>
        <w:rPr>
          <w:rFonts w:hint="default" w:ascii="方正仿宋_GBK" w:eastAsia="方正仿宋_GBK"/>
          <w:sz w:val="32"/>
          <w:szCs w:val="32"/>
        </w:rPr>
      </w:pPr>
      <w:r>
        <w:rPr>
          <w:rFonts w:ascii="方正仿宋_GBK" w:eastAsia="方正仿宋_GBK"/>
          <w:b/>
          <w:sz w:val="32"/>
          <w:szCs w:val="32"/>
        </w:rPr>
        <w:t>2.收入情况。</w:t>
      </w:r>
      <w:r>
        <w:rPr>
          <w:rFonts w:ascii="方正仿宋_GBK" w:eastAsia="方正仿宋_GBK"/>
          <w:sz w:val="32"/>
          <w:szCs w:val="32"/>
        </w:rPr>
        <w:t>2023年度收入合计9050.39万元，较上年决算数增加4707.62万元，增长108.4%，主要原因是增加车辆购置税收入补助地方等项目收入6020万元，减少S546吴家至盘龙升级改造项目三期等项目收入541万元。其中：财政拨款收入9050.39万元，占100.0%；事业收入0万元，占0.0%；经营收入0万元，占0.0%；其他收入0万元，占0.0%。此外，使用非财政拨款结余和专用结余0万元，年初结转和结余1582.53万元。</w:t>
      </w:r>
    </w:p>
    <w:p>
      <w:pPr>
        <w:spacing w:line="540" w:lineRule="exact"/>
        <w:ind w:firstLine="643" w:firstLineChars="200"/>
        <w:rPr>
          <w:rFonts w:hint="default" w:ascii="方正仿宋_GBK" w:eastAsia="方正仿宋_GBK"/>
          <w:sz w:val="32"/>
          <w:szCs w:val="32"/>
        </w:rPr>
      </w:pPr>
      <w:r>
        <w:rPr>
          <w:rFonts w:ascii="方正仿宋_GBK" w:eastAsia="方正仿宋_GBK"/>
          <w:b/>
          <w:sz w:val="32"/>
          <w:szCs w:val="32"/>
        </w:rPr>
        <w:t>3.支出情况。</w:t>
      </w:r>
      <w:r>
        <w:rPr>
          <w:rFonts w:ascii="方正仿宋_GBK" w:eastAsia="方正仿宋_GBK"/>
          <w:sz w:val="32"/>
          <w:szCs w:val="32"/>
        </w:rPr>
        <w:t>2023年度支出合计9260.88万元，较上年决算数增加2351.49万元，增长34.03%，主要原因是增加车辆购置税收入补助地方等项目支出2631万元。其中：基本支出414.09万元，占4.47%；项目支出8846.8万元，占95.53%；经营支出0万元，占0</w:t>
      </w:r>
      <w:r>
        <w:rPr>
          <w:rFonts w:hint="eastAsia" w:ascii="方正仿宋_GBK" w:eastAsia="方正仿宋_GBK"/>
          <w:sz w:val="32"/>
          <w:szCs w:val="32"/>
          <w:lang w:val="en-US" w:eastAsia="zh-CN"/>
        </w:rPr>
        <w:t>.0</w:t>
      </w:r>
      <w:r>
        <w:rPr>
          <w:rFonts w:ascii="方正仿宋_GBK" w:eastAsia="方正仿宋_GBK"/>
          <w:sz w:val="32"/>
          <w:szCs w:val="32"/>
        </w:rPr>
        <w:t>%。此外，结余分配0万元。</w:t>
      </w:r>
    </w:p>
    <w:p>
      <w:pPr>
        <w:spacing w:line="540" w:lineRule="exact"/>
        <w:ind w:firstLine="643" w:firstLineChars="200"/>
        <w:rPr>
          <w:rFonts w:hint="default" w:ascii="方正仿宋_GBK" w:eastAsia="方正仿宋_GBK"/>
          <w:sz w:val="32"/>
          <w:szCs w:val="32"/>
        </w:rPr>
      </w:pPr>
      <w:r>
        <w:rPr>
          <w:rFonts w:ascii="方正仿宋_GBK" w:eastAsia="方正仿宋_GBK"/>
          <w:b/>
          <w:sz w:val="32"/>
          <w:szCs w:val="32"/>
        </w:rPr>
        <w:t>4.结转结余情况。</w:t>
      </w:r>
      <w:r>
        <w:rPr>
          <w:rFonts w:ascii="方正仿宋_GBK" w:eastAsia="方正仿宋_GBK"/>
          <w:sz w:val="32"/>
          <w:szCs w:val="32"/>
        </w:rPr>
        <w:t>2023年度年末结转和结余1372.04万元，较上年决算数减少210.49万元，下降13.3%，主要原因是支付螺罐山至新峰桥段改建工程进度款202万元。</w:t>
      </w:r>
    </w:p>
    <w:p>
      <w:pPr>
        <w:spacing w:line="540" w:lineRule="exact"/>
        <w:ind w:firstLine="640" w:firstLineChars="200"/>
        <w:rPr>
          <w:rFonts w:hint="default" w:ascii="方正楷体_GBK" w:eastAsia="方正楷体_GBK"/>
          <w:sz w:val="32"/>
          <w:szCs w:val="32"/>
        </w:rPr>
      </w:pPr>
      <w:r>
        <w:rPr>
          <w:rFonts w:ascii="方正楷体_GBK" w:eastAsia="方正楷体_GBK"/>
          <w:sz w:val="32"/>
          <w:szCs w:val="32"/>
        </w:rPr>
        <w:t>（二）财政拨款收入支出决算总体情况说明</w:t>
      </w:r>
    </w:p>
    <w:p>
      <w:pPr>
        <w:spacing w:line="540" w:lineRule="exact"/>
        <w:ind w:firstLine="640" w:firstLineChars="200"/>
        <w:rPr>
          <w:rFonts w:hint="default" w:ascii="方正仿宋_GBK" w:eastAsia="方正仿宋_GBK"/>
          <w:sz w:val="32"/>
          <w:szCs w:val="32"/>
        </w:rPr>
      </w:pPr>
      <w:r>
        <w:rPr>
          <w:rFonts w:ascii="方正仿宋_GBK" w:eastAsia="方正仿宋_GBK"/>
          <w:sz w:val="32"/>
          <w:szCs w:val="32"/>
        </w:rPr>
        <w:t>2023年度财政拨款收、支总计9050.39万元。与2022年相比，财政拨款收、支总计各增加2460.82万元，增长37.34%。主要原因是增加车辆购置税收入补助地方等项目收入支出2631万元。</w:t>
      </w:r>
    </w:p>
    <w:p>
      <w:pPr>
        <w:spacing w:line="540" w:lineRule="exact"/>
        <w:ind w:firstLine="640" w:firstLineChars="200"/>
        <w:rPr>
          <w:rFonts w:hint="default" w:ascii="方正楷体_GBK" w:eastAsia="方正楷体_GBK"/>
          <w:sz w:val="32"/>
          <w:szCs w:val="32"/>
        </w:rPr>
      </w:pPr>
      <w:r>
        <w:rPr>
          <w:rFonts w:ascii="方正楷体_GBK" w:eastAsia="方正楷体_GBK"/>
          <w:sz w:val="32"/>
          <w:szCs w:val="32"/>
        </w:rPr>
        <w:t>（三）一般公共预算财政拨款收入支出决算情况说明</w:t>
      </w:r>
    </w:p>
    <w:p>
      <w:pPr>
        <w:spacing w:line="540" w:lineRule="exact"/>
        <w:ind w:firstLine="643" w:firstLineChars="200"/>
        <w:rPr>
          <w:rFonts w:hint="default" w:ascii="方正仿宋_GBK" w:eastAsia="方正仿宋_GBK"/>
          <w:sz w:val="32"/>
          <w:szCs w:val="32"/>
        </w:rPr>
      </w:pPr>
      <w:r>
        <w:rPr>
          <w:rFonts w:ascii="方正仿宋_GBK" w:eastAsia="方正仿宋_GBK"/>
          <w:b/>
          <w:sz w:val="32"/>
          <w:szCs w:val="32"/>
        </w:rPr>
        <w:t>1.收入情况。</w:t>
      </w:r>
      <w:r>
        <w:rPr>
          <w:rFonts w:ascii="方正仿宋_GBK" w:eastAsia="方正仿宋_GBK"/>
          <w:sz w:val="32"/>
          <w:szCs w:val="32"/>
        </w:rPr>
        <w:t>2023年度一般公共预算财政拨款收入8748.51万元，较上年决算数增加5730.37万元，增长189.86%。主要原因是增加车辆购置税收入补助地方等项目收入6020万元。较年初预算数增加340.56万元，增长4.05%。主要原因是年中财政通过一般公共预算追加安排昌元街道螺罐山至新峰桥段改建工程项目资金425万元。此外，年初财政拨款结转和结余0万元。</w:t>
      </w:r>
    </w:p>
    <w:p>
      <w:pPr>
        <w:spacing w:line="540" w:lineRule="exact"/>
        <w:ind w:firstLine="643" w:firstLineChars="200"/>
        <w:rPr>
          <w:rFonts w:hint="default" w:ascii="方正仿宋_GBK" w:eastAsia="方正仿宋_GBK"/>
          <w:sz w:val="32"/>
          <w:szCs w:val="32"/>
        </w:rPr>
      </w:pPr>
      <w:r>
        <w:rPr>
          <w:rFonts w:ascii="方正仿宋_GBK" w:eastAsia="方正仿宋_GBK"/>
          <w:b/>
          <w:sz w:val="32"/>
          <w:szCs w:val="32"/>
        </w:rPr>
        <w:t>2.支出情况。</w:t>
      </w:r>
      <w:r>
        <w:rPr>
          <w:rFonts w:ascii="方正仿宋_GBK" w:eastAsia="方正仿宋_GBK"/>
          <w:sz w:val="32"/>
          <w:szCs w:val="32"/>
        </w:rPr>
        <w:t>2023年度一般公共预算财政拨款支出8748.51万元，较上年决算数增加2983.57万元，增长51.75%。主要原因是增加车辆购置税收入补助地方等项目支出2631万元。较年初预算数增加340.56万元，增长4.05%。主要原因是年中财政通过一般公共预算追加安排昌元街道螺罐山至新峰桥段改建工程项目资金425万元。</w:t>
      </w:r>
    </w:p>
    <w:p>
      <w:pPr>
        <w:spacing w:line="540" w:lineRule="exact"/>
        <w:ind w:firstLine="643" w:firstLineChars="200"/>
        <w:rPr>
          <w:rFonts w:hint="default" w:ascii="方正仿宋_GBK" w:eastAsia="方正仿宋_GBK"/>
          <w:sz w:val="32"/>
          <w:szCs w:val="32"/>
        </w:rPr>
      </w:pPr>
      <w:r>
        <w:rPr>
          <w:rFonts w:ascii="方正仿宋_GBK" w:eastAsia="方正仿宋_GBK"/>
          <w:b/>
          <w:sz w:val="32"/>
          <w:szCs w:val="32"/>
        </w:rPr>
        <w:t>3.结转结余情况。</w:t>
      </w:r>
      <w:r>
        <w:rPr>
          <w:rFonts w:ascii="方正仿宋_GBK" w:eastAsia="方正仿宋_GBK"/>
          <w:sz w:val="32"/>
          <w:szCs w:val="32"/>
        </w:rPr>
        <w:t>2023年度年末一般公共预算财政拨款结转和结余0万元，较上年决算数无增减，主要原因是本单位2022、2023年度均无一般公共预算财政拨款结转和结余。</w:t>
      </w:r>
    </w:p>
    <w:p>
      <w:pPr>
        <w:spacing w:line="540" w:lineRule="exact"/>
        <w:ind w:firstLine="640" w:firstLineChars="200"/>
        <w:rPr>
          <w:rFonts w:hint="default" w:ascii="方正仿宋_GBK" w:eastAsia="方正仿宋_GBK"/>
          <w:sz w:val="32"/>
          <w:szCs w:val="32"/>
          <w:highlight w:val="cyan"/>
        </w:rPr>
      </w:pPr>
      <w:r>
        <w:rPr>
          <w:rFonts w:ascii="方正仿宋_GBK" w:eastAsia="方正仿宋_GBK"/>
          <w:sz w:val="32"/>
          <w:szCs w:val="32"/>
        </w:rPr>
        <w:t xml:space="preserve"> </w:t>
      </w:r>
      <w:r>
        <w:rPr>
          <w:rFonts w:ascii="方正仿宋_GBK" w:eastAsia="方正仿宋_GBK"/>
          <w:b/>
          <w:sz w:val="32"/>
          <w:szCs w:val="32"/>
        </w:rPr>
        <w:t>4.比较情况。</w:t>
      </w:r>
      <w:r>
        <w:rPr>
          <w:rFonts w:ascii="方正仿宋_GBK" w:eastAsia="方正仿宋_GBK"/>
          <w:sz w:val="32"/>
          <w:szCs w:val="32"/>
        </w:rPr>
        <w:t>本单位2023年度一般公共预算财政拨款支出主要用于以下几个方面：</w:t>
      </w:r>
    </w:p>
    <w:p>
      <w:pPr>
        <w:spacing w:line="540" w:lineRule="exact"/>
        <w:ind w:firstLine="640" w:firstLineChars="200"/>
        <w:rPr>
          <w:rFonts w:hint="default" w:ascii="方正仿宋_GBK" w:eastAsia="方正仿宋_GBK"/>
          <w:sz w:val="32"/>
          <w:szCs w:val="32"/>
        </w:rPr>
      </w:pPr>
      <w:r>
        <w:rPr>
          <w:rFonts w:ascii="方正仿宋_GBK" w:eastAsia="方正仿宋_GBK"/>
          <w:sz w:val="32"/>
          <w:szCs w:val="32"/>
        </w:rPr>
        <w:t>（1）一般公共服务支出4.05万元，占0.05%，较年初预算数增加4.05万元，增长100.0%，主要原因是年中财政通过一般公共预算追加安排招商投资促进工作经费4.05万元。</w:t>
      </w:r>
    </w:p>
    <w:p>
      <w:pPr>
        <w:spacing w:line="540" w:lineRule="exact"/>
        <w:ind w:firstLine="640" w:firstLineChars="200"/>
        <w:rPr>
          <w:rFonts w:hint="default" w:ascii="方正仿宋_GBK" w:eastAsia="方正仿宋_GBK"/>
          <w:sz w:val="32"/>
          <w:szCs w:val="32"/>
        </w:rPr>
      </w:pPr>
      <w:r>
        <w:rPr>
          <w:rFonts w:ascii="方正仿宋_GBK" w:eastAsia="方正仿宋_GBK"/>
          <w:sz w:val="32"/>
          <w:szCs w:val="32"/>
        </w:rPr>
        <w:t>（2）教育支出1.69万元，占0.02%，较年初预算数无增减。</w:t>
      </w:r>
    </w:p>
    <w:p>
      <w:pPr>
        <w:spacing w:line="540" w:lineRule="exact"/>
        <w:ind w:firstLine="640" w:firstLineChars="200"/>
        <w:rPr>
          <w:rFonts w:hint="default" w:ascii="方正仿宋_GBK" w:eastAsia="方正仿宋_GBK"/>
          <w:sz w:val="32"/>
          <w:szCs w:val="32"/>
        </w:rPr>
      </w:pPr>
      <w:r>
        <w:rPr>
          <w:rFonts w:ascii="方正仿宋_GBK" w:eastAsia="方正仿宋_GBK"/>
          <w:sz w:val="32"/>
          <w:szCs w:val="32"/>
        </w:rPr>
        <w:t>（3）社会保障与就业支出124.7万元，占1.43%，较年初预算数减少3.27万元，下降2.56%，主要原因是年终财政追减年初一般公共预算中未使用完的荣昌区原公社邮递员、乡办邮政人员医疗补助资金12.37万元。</w:t>
      </w:r>
    </w:p>
    <w:p>
      <w:pPr>
        <w:spacing w:line="540" w:lineRule="exact"/>
        <w:ind w:firstLine="640" w:firstLineChars="200"/>
        <w:rPr>
          <w:rFonts w:hint="default" w:ascii="方正仿宋_GBK" w:eastAsia="方正仿宋_GBK"/>
          <w:sz w:val="32"/>
          <w:szCs w:val="32"/>
        </w:rPr>
      </w:pPr>
      <w:r>
        <w:rPr>
          <w:rFonts w:ascii="方正仿宋_GBK" w:eastAsia="方正仿宋_GBK"/>
          <w:sz w:val="32"/>
          <w:szCs w:val="32"/>
        </w:rPr>
        <w:t>（4）卫生健康支出77.73万元，占0.89%，较年初预算数增加0.08万元，增长0.1%，主要原因是年中财政通过一般公共预算追加安排基本医疗保险、大额医疗互助保险等人员经费0.15万元。</w:t>
      </w:r>
    </w:p>
    <w:p>
      <w:pPr>
        <w:spacing w:line="540" w:lineRule="exact"/>
        <w:ind w:firstLine="640" w:firstLineChars="200"/>
        <w:rPr>
          <w:rFonts w:hint="default" w:ascii="方正仿宋_GBK" w:eastAsia="方正仿宋_GBK"/>
          <w:sz w:val="32"/>
          <w:szCs w:val="32"/>
        </w:rPr>
      </w:pPr>
      <w:r>
        <w:rPr>
          <w:rFonts w:ascii="方正仿宋_GBK" w:eastAsia="方正仿宋_GBK"/>
          <w:sz w:val="32"/>
          <w:szCs w:val="32"/>
        </w:rPr>
        <w:t>（5）节能环保支出425万元，占4.86%，较年初预算数增加425万元，增长100.0%，主要原因是年中财政通过一般公共预算追加安排昌元街道螺罐山至新峰桥段改建工程项目资金425万元。</w:t>
      </w:r>
    </w:p>
    <w:p>
      <w:pPr>
        <w:spacing w:line="540" w:lineRule="exact"/>
        <w:ind w:firstLine="640" w:firstLineChars="200"/>
        <w:rPr>
          <w:rFonts w:hint="default" w:ascii="方正仿宋_GBK" w:eastAsia="方正仿宋_GBK"/>
          <w:sz w:val="32"/>
          <w:szCs w:val="32"/>
        </w:rPr>
      </w:pPr>
      <w:r>
        <w:rPr>
          <w:rFonts w:ascii="方正仿宋_GBK" w:eastAsia="方正仿宋_GBK"/>
          <w:sz w:val="32"/>
          <w:szCs w:val="32"/>
        </w:rPr>
        <w:t>（6）农林水支出242.56万元，占2.77%，较年初预算数增加242.56万元，增长100.0%，主要原因是年中财政通过一般公共预算追加安排昌州街道杜家坝至高升桥段改建工程项目资金242.56万元。</w:t>
      </w:r>
    </w:p>
    <w:p>
      <w:pPr>
        <w:spacing w:line="540" w:lineRule="exact"/>
        <w:ind w:firstLine="640" w:firstLineChars="200"/>
        <w:rPr>
          <w:rFonts w:hint="default" w:ascii="方正仿宋_GBK" w:eastAsia="方正仿宋_GBK"/>
          <w:sz w:val="32"/>
          <w:szCs w:val="32"/>
        </w:rPr>
      </w:pPr>
      <w:r>
        <w:rPr>
          <w:rFonts w:ascii="方正仿宋_GBK" w:eastAsia="方正仿宋_GBK"/>
          <w:sz w:val="32"/>
          <w:szCs w:val="32"/>
        </w:rPr>
        <w:t>（7）交通运输支出7862.86万元，占89.88%，较年初预算数减少313.8万元，下降3.84%，主要原因是年中财政追减年初一般公共预算中安排的荣昌区国省道及农村公路养护工程资金532.88万元。</w:t>
      </w:r>
    </w:p>
    <w:p>
      <w:pPr>
        <w:spacing w:line="540" w:lineRule="exact"/>
        <w:ind w:firstLine="640" w:firstLineChars="200"/>
        <w:rPr>
          <w:rFonts w:hint="default" w:ascii="方正仿宋_GBK" w:eastAsia="方正仿宋_GBK"/>
          <w:sz w:val="32"/>
          <w:szCs w:val="32"/>
        </w:rPr>
      </w:pPr>
      <w:r>
        <w:rPr>
          <w:rFonts w:ascii="方正仿宋_GBK" w:eastAsia="方正仿宋_GBK"/>
          <w:sz w:val="32"/>
          <w:szCs w:val="32"/>
        </w:rPr>
        <w:t>（8）住房保障支出9.94万元，占0.11%，较年初预算数减少14.04万元，下降58.55%，主要原因是年终财政追减年初一般公共预算中未使用完的住房公积金人员经费14.04万元。</w:t>
      </w:r>
    </w:p>
    <w:p>
      <w:pPr>
        <w:spacing w:line="540" w:lineRule="exact"/>
        <w:ind w:firstLine="640" w:firstLineChars="200"/>
        <w:rPr>
          <w:rFonts w:hint="default" w:ascii="方正楷体_GBK" w:eastAsia="方正楷体_GBK"/>
          <w:sz w:val="32"/>
          <w:szCs w:val="32"/>
        </w:rPr>
      </w:pPr>
      <w:r>
        <w:rPr>
          <w:rFonts w:ascii="方正楷体_GBK" w:eastAsia="方正楷体_GBK"/>
          <w:sz w:val="32"/>
          <w:szCs w:val="32"/>
        </w:rPr>
        <w:t>（四）一般公共预算财政拨款基本支出决算情况说明</w:t>
      </w:r>
    </w:p>
    <w:p>
      <w:pPr>
        <w:spacing w:line="540" w:lineRule="exact"/>
        <w:ind w:firstLine="640" w:firstLineChars="200"/>
        <w:rPr>
          <w:rFonts w:hint="default" w:ascii="方正仿宋_GBK" w:eastAsia="方正仿宋_GBK"/>
          <w:sz w:val="32"/>
          <w:szCs w:val="32"/>
        </w:rPr>
      </w:pPr>
      <w:r>
        <w:rPr>
          <w:rFonts w:ascii="方正仿宋_GBK" w:eastAsia="方正仿宋_GBK"/>
          <w:sz w:val="32"/>
          <w:szCs w:val="32"/>
        </w:rPr>
        <w:t>2023年度一般公共财政拨款基本支出414.09万元。其中：人员经费345.52万元，较上年决算数增加26.6万元，增长8.34%，主要原因是职务职级变动造成的基本工资、规范津补贴、绩效工资、社会保障缴费、住房公积金等收支增加。人员经费用途主要包括基本工资、津贴补贴、奖金、社会保障缴费、住房公积金、医疗费、其他工资福利支出、生活补助、医疗费补助、奖励金、其他个人和家庭的补助支出。公用经费68.57万元，较上年决算数增加4万元，增长6.19%，主要原因是增加退休人员福利费支出3.4万元。公用经费用途主要包括办公费、印刷费、咨询费、水电费、邮电费、物业管理费、差旅费、维修（护）费、培训费、公务接待费、专用材料费、劳务费、工会经费、福利费、公务用车运行维护费、其他交通费用、其他商品和服务支出、办公设备购置费。</w:t>
      </w:r>
    </w:p>
    <w:p>
      <w:pPr>
        <w:spacing w:line="540" w:lineRule="exact"/>
        <w:ind w:firstLine="640" w:firstLineChars="200"/>
        <w:rPr>
          <w:rFonts w:hint="default" w:ascii="方正楷体_GBK" w:eastAsia="方正楷体_GBK"/>
          <w:sz w:val="32"/>
          <w:szCs w:val="32"/>
        </w:rPr>
      </w:pPr>
      <w:r>
        <w:rPr>
          <w:rFonts w:ascii="方正楷体_GBK" w:eastAsia="方正楷体_GBK"/>
          <w:sz w:val="32"/>
          <w:szCs w:val="32"/>
        </w:rPr>
        <w:t>（五）政府性基金预算收支决算情况说明</w:t>
      </w:r>
    </w:p>
    <w:p>
      <w:pPr>
        <w:spacing w:line="540" w:lineRule="exact"/>
        <w:ind w:firstLine="640" w:firstLineChars="200"/>
        <w:rPr>
          <w:rFonts w:hint="default" w:ascii="方正仿宋_GBK" w:eastAsia="方正仿宋_GBK"/>
          <w:sz w:val="32"/>
          <w:szCs w:val="32"/>
        </w:rPr>
      </w:pPr>
      <w:r>
        <w:rPr>
          <w:rFonts w:ascii="方正仿宋_GBK" w:eastAsia="方正仿宋_GBK"/>
          <w:sz w:val="32"/>
          <w:szCs w:val="32"/>
        </w:rPr>
        <w:t>2023年度政府性基金预算财政拨款年初结转结余0万元，年末结转结余0万元。本年收入301.88万元，较上年决算数减少522.75万元，下降63.39%，主要原因是减少S546吴家至盘龙升级改造项目三期等项目收入541万元。本年支出301.88万元，较上年决算数减少522.75万元，下降63.39%，主要原因是减少S546吴家至盘龙升级改造项目三期等项目支出541万元。</w:t>
      </w:r>
    </w:p>
    <w:p>
      <w:pPr>
        <w:spacing w:line="540" w:lineRule="exact"/>
        <w:ind w:firstLine="640" w:firstLineChars="200"/>
        <w:rPr>
          <w:rFonts w:hint="default" w:ascii="方正楷体_GBK" w:eastAsia="方正楷体_GBK"/>
          <w:sz w:val="32"/>
          <w:szCs w:val="32"/>
        </w:rPr>
      </w:pPr>
      <w:r>
        <w:rPr>
          <w:rFonts w:ascii="方正楷体_GBK" w:eastAsia="方正楷体_GBK"/>
          <w:sz w:val="32"/>
          <w:szCs w:val="32"/>
        </w:rPr>
        <w:t>（六）国有资本经营预算财政拨款支出决算情况说明</w:t>
      </w:r>
    </w:p>
    <w:p>
      <w:pPr>
        <w:spacing w:line="540" w:lineRule="exact"/>
        <w:ind w:firstLine="640" w:firstLineChars="200"/>
        <w:rPr>
          <w:rFonts w:hint="default" w:ascii="方正仿宋_GBK" w:eastAsia="方正仿宋_GBK"/>
          <w:sz w:val="32"/>
          <w:szCs w:val="32"/>
        </w:rPr>
      </w:pPr>
      <w:r>
        <w:rPr>
          <w:rFonts w:eastAsia="方正仿宋_GBK"/>
          <w:sz w:val="32"/>
          <w:szCs w:val="32"/>
        </w:rPr>
        <w:t> </w:t>
      </w:r>
      <w:r>
        <w:rPr>
          <w:rFonts w:ascii="方正仿宋_GBK" w:eastAsia="方正仿宋_GBK"/>
          <w:sz w:val="32"/>
          <w:szCs w:val="32"/>
        </w:rPr>
        <w:t>本单位2023年度无国有资本经营预算财政拨款支出。</w:t>
      </w:r>
    </w:p>
    <w:p>
      <w:pPr>
        <w:spacing w:line="540" w:lineRule="exact"/>
        <w:ind w:firstLine="640" w:firstLineChars="200"/>
        <w:rPr>
          <w:rFonts w:hint="default" w:ascii="方正黑体_GBK" w:eastAsia="方正黑体_GBK"/>
          <w:sz w:val="32"/>
          <w:szCs w:val="32"/>
        </w:rPr>
      </w:pPr>
      <w:r>
        <w:rPr>
          <w:rFonts w:ascii="方正黑体_GBK" w:eastAsia="方正黑体_GBK"/>
          <w:sz w:val="32"/>
          <w:szCs w:val="32"/>
        </w:rPr>
        <w:t>三、“三公”经费情况说明</w:t>
      </w:r>
    </w:p>
    <w:p>
      <w:pPr>
        <w:spacing w:line="540" w:lineRule="exact"/>
        <w:ind w:firstLine="640" w:firstLineChars="200"/>
        <w:rPr>
          <w:rFonts w:hint="default" w:ascii="方正楷体_GBK" w:eastAsia="方正楷体_GBK"/>
          <w:sz w:val="32"/>
          <w:szCs w:val="32"/>
        </w:rPr>
      </w:pPr>
      <w:r>
        <w:rPr>
          <w:rFonts w:ascii="方正楷体_GBK" w:eastAsia="方正楷体_GBK"/>
          <w:sz w:val="32"/>
          <w:szCs w:val="32"/>
        </w:rPr>
        <w:t>（一）“三公”经费支出总体情况说明</w:t>
      </w:r>
    </w:p>
    <w:p>
      <w:pPr>
        <w:spacing w:line="540" w:lineRule="exact"/>
        <w:ind w:firstLine="640" w:firstLineChars="200"/>
        <w:rPr>
          <w:rFonts w:hint="default" w:ascii="方正仿宋_GBK" w:eastAsia="方正仿宋_GBK"/>
          <w:sz w:val="32"/>
          <w:szCs w:val="32"/>
        </w:rPr>
      </w:pPr>
      <w:r>
        <w:rPr>
          <w:rFonts w:ascii="方正仿宋_GBK" w:eastAsia="方正仿宋_GBK"/>
          <w:sz w:val="32"/>
          <w:szCs w:val="32"/>
        </w:rPr>
        <w:t>2023年度“三公”经费支出共计11.98万元，较年初预算数减少0.02万元，下降0.17%，主要原因是认真贯彻落实中央八项规定精神，按照只减不增的要求从严控制“三公”经费，全年实际支出数较预算数有所下降。较上年支出数增加0.84万元，增长7.54%，主要原因一是公务车老旧，维修费用增加，2023年更换2个轮胎，二是疫情政策调整后，招商引资等接待增加。</w:t>
      </w:r>
    </w:p>
    <w:p>
      <w:pPr>
        <w:spacing w:line="540" w:lineRule="exact"/>
        <w:ind w:firstLine="640" w:firstLineChars="200"/>
        <w:rPr>
          <w:rFonts w:hint="default" w:ascii="方正楷体_GBK" w:eastAsia="方正楷体_GBK"/>
          <w:sz w:val="32"/>
          <w:szCs w:val="32"/>
        </w:rPr>
      </w:pPr>
      <w:r>
        <w:rPr>
          <w:rFonts w:ascii="方正楷体_GBK" w:eastAsia="方正楷体_GBK"/>
          <w:sz w:val="32"/>
          <w:szCs w:val="32"/>
        </w:rPr>
        <w:t>（二）“三公”经费分项支出情况</w:t>
      </w:r>
    </w:p>
    <w:p>
      <w:pPr>
        <w:spacing w:line="540" w:lineRule="exact"/>
        <w:ind w:firstLine="640" w:firstLineChars="200"/>
        <w:rPr>
          <w:rFonts w:hint="default" w:ascii="方正仿宋_GBK" w:eastAsia="方正仿宋_GBK"/>
          <w:sz w:val="32"/>
          <w:szCs w:val="32"/>
        </w:rPr>
      </w:pPr>
      <w:r>
        <w:rPr>
          <w:rFonts w:ascii="方正仿宋_GBK" w:eastAsia="方正仿宋_GBK"/>
          <w:sz w:val="32"/>
          <w:szCs w:val="32"/>
        </w:rPr>
        <w:t>2023年度本单位因公出国（境）费用0万元。费用支出较年初预算数无增减，主要原因是本单位2023年度未发生因公出国（境）费用。较上年支出数无增减，主要原因是本单位2022、2023年度均未发生因公出国（境）费用。</w:t>
      </w:r>
    </w:p>
    <w:p>
      <w:pPr>
        <w:spacing w:line="540" w:lineRule="exact"/>
        <w:ind w:firstLine="640" w:firstLineChars="200"/>
        <w:rPr>
          <w:rFonts w:hint="default" w:ascii="方正仿宋_GBK" w:eastAsia="方正仿宋_GBK"/>
          <w:sz w:val="32"/>
          <w:szCs w:val="32"/>
        </w:rPr>
      </w:pPr>
      <w:r>
        <w:rPr>
          <w:rFonts w:ascii="方正仿宋_GBK" w:eastAsia="方正仿宋_GBK"/>
          <w:sz w:val="32"/>
          <w:szCs w:val="32"/>
        </w:rPr>
        <w:t>公务车购置费0万元。费用支出较年初预算数无增减，主要原因是本单位2023年度未发生公务车购置费。较上年支出数无增减，主要原因是本单位2022、2023年度均未发生公务车购置费。</w:t>
      </w:r>
    </w:p>
    <w:p>
      <w:pPr>
        <w:spacing w:line="540" w:lineRule="exact"/>
        <w:ind w:firstLine="640" w:firstLineChars="200"/>
        <w:rPr>
          <w:rFonts w:hint="default" w:ascii="方正仿宋_GBK" w:eastAsia="方正仿宋_GBK"/>
          <w:sz w:val="32"/>
          <w:szCs w:val="32"/>
        </w:rPr>
      </w:pPr>
      <w:r>
        <w:rPr>
          <w:rFonts w:ascii="方正仿宋_GBK" w:eastAsia="方正仿宋_GBK"/>
          <w:sz w:val="32"/>
          <w:szCs w:val="32"/>
        </w:rPr>
        <w:t>公务车运行维护费2.98万元，主要用于机要文件交换、市内因公出行、交通重点项目建设协调管理、交通行业安全管理、向上争取资金、招商引资等工作所需车辆的燃料费、维修费、过桥过路费、保险费等。费用支出较年初预算数减少0.02万元，下降0.67%，主要原因是认真贯彻落实中央八项规定精神，按照只减不增的要求从严控制“三公”经费，全年实际支出数较预算数有所下降。较上年支出数增加0.81万元，增长37.33%，主要原因是公务车老旧，维修费用增加，2023年更换2个轮胎。</w:t>
      </w:r>
    </w:p>
    <w:p>
      <w:pPr>
        <w:spacing w:line="540" w:lineRule="exact"/>
        <w:ind w:firstLine="640" w:firstLineChars="200"/>
        <w:rPr>
          <w:rFonts w:hint="default" w:ascii="方正仿宋_GBK" w:eastAsia="方正仿宋_GBK"/>
          <w:sz w:val="32"/>
          <w:szCs w:val="32"/>
        </w:rPr>
      </w:pPr>
      <w:r>
        <w:rPr>
          <w:rFonts w:ascii="方正仿宋_GBK" w:eastAsia="方正仿宋_GBK"/>
          <w:sz w:val="32"/>
          <w:szCs w:val="32"/>
        </w:rPr>
        <w:t>公务接待费9万元，主要用于接待市内其他区县单位到我单位学习调研、接受市级部门检查指导、向上争取资金、交通重点项目建设协调管理、招商引资等发生的接待</w:t>
      </w:r>
      <w:bookmarkStart w:id="0" w:name="_GoBack"/>
      <w:bookmarkEnd w:id="0"/>
      <w:r>
        <w:rPr>
          <w:rFonts w:ascii="方正仿宋_GBK" w:eastAsia="方正仿宋_GBK"/>
          <w:sz w:val="32"/>
          <w:szCs w:val="32"/>
        </w:rPr>
        <w:t>支出。费用支出较年初预算数无增减。较上年支出数增加0.03万元，增长0.33%，主要原因是疫情政策调整后，招商引资等接待增加。</w:t>
      </w:r>
    </w:p>
    <w:p>
      <w:pPr>
        <w:spacing w:line="540" w:lineRule="exact"/>
        <w:ind w:firstLine="640" w:firstLineChars="200"/>
        <w:rPr>
          <w:rFonts w:hint="default" w:ascii="方正仿宋_GBK" w:eastAsia="方正仿宋_GBK"/>
          <w:sz w:val="32"/>
          <w:szCs w:val="32"/>
        </w:rPr>
      </w:pPr>
      <w:r>
        <w:rPr>
          <w:rFonts w:ascii="方正楷体_GBK" w:eastAsia="方正楷体_GBK"/>
          <w:sz w:val="32"/>
          <w:szCs w:val="32"/>
        </w:rPr>
        <w:t>（三）“三公”经费实物量情况</w:t>
      </w:r>
    </w:p>
    <w:p>
      <w:pPr>
        <w:spacing w:line="540" w:lineRule="exact"/>
        <w:ind w:firstLine="640" w:firstLineChars="200"/>
        <w:rPr>
          <w:rFonts w:hint="default" w:ascii="方正仿宋_GBK" w:eastAsia="方正仿宋_GBK"/>
          <w:sz w:val="32"/>
          <w:szCs w:val="32"/>
        </w:rPr>
      </w:pPr>
      <w:r>
        <w:rPr>
          <w:rFonts w:ascii="方正仿宋_GBK" w:eastAsia="方正仿宋_GBK"/>
          <w:sz w:val="32"/>
          <w:szCs w:val="32"/>
        </w:rPr>
        <w:t>2023年度本单位因公出国（境）共计0个团组，0人；公务用车购置0辆，公务车保有量为1辆；国内公务接待143批次1135人，其中：国内外事接待0批次，0人；国（境）外公务接待0批次，0人。2023年本单位人均接待费79.3元，车均购置费0万元，车均维护费2.98万元。</w:t>
      </w:r>
    </w:p>
    <w:p>
      <w:pPr>
        <w:spacing w:line="540" w:lineRule="exact"/>
        <w:ind w:firstLine="640" w:firstLineChars="200"/>
        <w:rPr>
          <w:rFonts w:hint="default" w:ascii="方正黑体_GBK" w:eastAsia="方正黑体_GBK"/>
          <w:sz w:val="32"/>
          <w:szCs w:val="32"/>
        </w:rPr>
      </w:pPr>
      <w:r>
        <w:rPr>
          <w:rFonts w:ascii="方正黑体_GBK" w:eastAsia="方正黑体_GBK"/>
          <w:sz w:val="32"/>
          <w:szCs w:val="32"/>
        </w:rPr>
        <w:t>四、其他需要说明的事项</w:t>
      </w:r>
    </w:p>
    <w:p>
      <w:pPr>
        <w:spacing w:line="540" w:lineRule="exact"/>
        <w:ind w:firstLine="640" w:firstLineChars="200"/>
        <w:rPr>
          <w:rFonts w:hint="default" w:ascii="方正楷体_GBK" w:eastAsia="方正楷体_GBK"/>
          <w:sz w:val="32"/>
          <w:szCs w:val="32"/>
        </w:rPr>
      </w:pPr>
      <w:r>
        <w:rPr>
          <w:rFonts w:ascii="方正楷体_GBK" w:eastAsia="方正楷体_GBK"/>
          <w:sz w:val="32"/>
          <w:szCs w:val="32"/>
        </w:rPr>
        <w:t>（一）财政拨款会议费和培训费情况说明</w:t>
      </w:r>
    </w:p>
    <w:p>
      <w:pPr>
        <w:spacing w:line="540" w:lineRule="exact"/>
        <w:ind w:firstLine="640" w:firstLineChars="200"/>
        <w:rPr>
          <w:rFonts w:hint="default" w:ascii="方正仿宋_GBK" w:eastAsia="方正仿宋_GBK"/>
          <w:sz w:val="32"/>
          <w:szCs w:val="32"/>
        </w:rPr>
      </w:pPr>
      <w:r>
        <w:rPr>
          <w:rFonts w:ascii="方正仿宋_GBK" w:eastAsia="方正仿宋_GBK"/>
          <w:sz w:val="32"/>
          <w:szCs w:val="32"/>
        </w:rPr>
        <w:t>本年度会议费支出0万元，较上年决算数无增减，主要原因是本单位2022、2023年度均未发生会议费。本年度培训费支出3.44万元，较上年决算数增加1.29万元，增长60.0%，主要原因是增加交通行业企业主要负责人和安全管理人员安全培训费2.5万元。</w:t>
      </w:r>
    </w:p>
    <w:p>
      <w:pPr>
        <w:spacing w:line="540" w:lineRule="exact"/>
        <w:ind w:firstLine="640" w:firstLineChars="200"/>
        <w:rPr>
          <w:rFonts w:hint="default" w:ascii="方正楷体_GBK" w:eastAsia="方正楷体_GBK"/>
          <w:sz w:val="32"/>
          <w:szCs w:val="32"/>
        </w:rPr>
      </w:pPr>
      <w:r>
        <w:rPr>
          <w:rFonts w:ascii="方正楷体_GBK" w:eastAsia="方正楷体_GBK"/>
          <w:sz w:val="32"/>
          <w:szCs w:val="32"/>
        </w:rPr>
        <w:t>（二）机关运行经费情况说明</w:t>
      </w:r>
    </w:p>
    <w:p>
      <w:pPr>
        <w:spacing w:line="540" w:lineRule="exact"/>
        <w:ind w:firstLine="640" w:firstLineChars="200"/>
        <w:rPr>
          <w:rFonts w:hint="default" w:ascii="方正仿宋_GBK" w:eastAsia="方正仿宋_GBK"/>
          <w:sz w:val="32"/>
          <w:szCs w:val="32"/>
        </w:rPr>
      </w:pPr>
      <w:r>
        <w:rPr>
          <w:rFonts w:ascii="方正仿宋_GBK" w:eastAsia="方正仿宋_GBK"/>
          <w:sz w:val="32"/>
          <w:szCs w:val="32"/>
        </w:rPr>
        <w:t>2023年度本单位机关运行经费支出68.57万元，机关运行经费主要用于开支办公费、印刷费、咨询费、水电费、邮电费、物业管理费、差旅费、维修（护）费、租赁费、培训费、公务接待费、专用材料费、劳务费、工会经费、福利费、公务用车运行维护费、其他交通费用、其他商品和服务支出、办公设备购置费。机关运行经费较上年支出数增加4万元，增长6.19%，主要原因是增加退休人员福利费支出3.4万元。</w:t>
      </w:r>
    </w:p>
    <w:p>
      <w:pPr>
        <w:spacing w:line="540" w:lineRule="exact"/>
        <w:ind w:firstLine="640" w:firstLineChars="200"/>
        <w:rPr>
          <w:rFonts w:hint="default" w:ascii="方正楷体_GBK" w:eastAsia="方正楷体_GBK"/>
          <w:sz w:val="32"/>
          <w:szCs w:val="32"/>
        </w:rPr>
      </w:pPr>
      <w:r>
        <w:rPr>
          <w:rFonts w:ascii="方正楷体_GBK" w:eastAsia="方正楷体_GBK"/>
          <w:sz w:val="32"/>
          <w:szCs w:val="32"/>
        </w:rPr>
        <w:t>（三）国有资产占用情况说明</w:t>
      </w:r>
    </w:p>
    <w:p>
      <w:pPr>
        <w:spacing w:line="540" w:lineRule="exact"/>
        <w:ind w:firstLine="640" w:firstLineChars="200"/>
        <w:rPr>
          <w:rFonts w:hint="default" w:ascii="方正仿宋_GBK" w:eastAsia="方正仿宋_GBK"/>
          <w:sz w:val="32"/>
          <w:szCs w:val="32"/>
        </w:rPr>
      </w:pPr>
      <w:r>
        <w:rPr>
          <w:rFonts w:ascii="方正仿宋_GBK" w:eastAsia="方正仿宋_GBK"/>
          <w:sz w:val="32"/>
          <w:szCs w:val="32"/>
        </w:rPr>
        <w:t>截至2023年12月31日，本单位共有车辆1辆，其中，副部（省）级及以上领导用车0辆、主要负责人用车0辆、机要通信用车0辆、应急保障用车1辆、执法执勤用车0辆，特种专业技术用车0辆，离退休干部用车0辆。单价100万元（含）以上专用设备0台（套）。</w:t>
      </w:r>
    </w:p>
    <w:p>
      <w:pPr>
        <w:spacing w:line="540" w:lineRule="exact"/>
        <w:ind w:firstLine="640" w:firstLineChars="200"/>
        <w:rPr>
          <w:rFonts w:hint="default" w:ascii="方正楷体_GBK" w:eastAsia="方正楷体_GBK"/>
          <w:sz w:val="32"/>
          <w:szCs w:val="32"/>
        </w:rPr>
      </w:pPr>
      <w:r>
        <w:rPr>
          <w:rFonts w:ascii="方正楷体_GBK" w:eastAsia="方正楷体_GBK"/>
          <w:sz w:val="32"/>
          <w:szCs w:val="32"/>
        </w:rPr>
        <w:t>（四）政府采购支出情况说明</w:t>
      </w:r>
    </w:p>
    <w:p>
      <w:pPr>
        <w:spacing w:line="540" w:lineRule="exact"/>
        <w:ind w:firstLine="640" w:firstLineChars="200"/>
        <w:rPr>
          <w:rFonts w:hint="default" w:ascii="方正仿宋_GBK" w:eastAsia="方正仿宋_GBK"/>
          <w:sz w:val="32"/>
          <w:szCs w:val="32"/>
        </w:rPr>
      </w:pPr>
      <w:r>
        <w:rPr>
          <w:rFonts w:ascii="方正仿宋_GBK" w:eastAsia="方正仿宋_GBK"/>
          <w:sz w:val="32"/>
          <w:szCs w:val="32"/>
        </w:rPr>
        <w:t>2023年度本单位政府采购支出总额5338.4万元，其中：政府采购货物支出0万元、政府采购工程支出5338.4万元、政府采购服务支出0万元。授予中小企业合同金额0万元，占政府采购支出总额的0.0%，其中：授予小微企业合同金额0万元，占政府采购支出总额的0.0 %。主要用于采购G348荣昌区安富至四川界段改建工程项目施工。</w:t>
      </w:r>
    </w:p>
    <w:p>
      <w:pPr>
        <w:spacing w:line="540" w:lineRule="exact"/>
        <w:ind w:firstLine="640" w:firstLineChars="200"/>
        <w:rPr>
          <w:rFonts w:hint="default" w:ascii="方正黑体_GBK" w:eastAsia="方正黑体_GBK"/>
          <w:sz w:val="32"/>
          <w:szCs w:val="32"/>
        </w:rPr>
      </w:pPr>
      <w:r>
        <w:rPr>
          <w:rFonts w:ascii="方正黑体_GBK" w:eastAsia="方正黑体_GBK"/>
          <w:sz w:val="32"/>
          <w:szCs w:val="32"/>
        </w:rPr>
        <w:t>五、预算绩效管理情况说明</w:t>
      </w:r>
    </w:p>
    <w:p>
      <w:pPr>
        <w:spacing w:line="540" w:lineRule="exact"/>
        <w:ind w:firstLine="640" w:firstLineChars="200"/>
        <w:rPr>
          <w:rFonts w:hint="default" w:ascii="方正楷体_GBK" w:eastAsia="方正楷体_GBK"/>
          <w:sz w:val="32"/>
          <w:szCs w:val="32"/>
        </w:rPr>
      </w:pPr>
      <w:r>
        <w:rPr>
          <w:rFonts w:ascii="方正楷体_GBK" w:eastAsia="方正楷体_GBK"/>
          <w:sz w:val="32"/>
          <w:szCs w:val="32"/>
        </w:rPr>
        <w:t>（一）单位自评情况</w:t>
      </w:r>
    </w:p>
    <w:p>
      <w:pPr>
        <w:spacing w:line="540" w:lineRule="exact"/>
        <w:ind w:firstLine="640" w:firstLineChars="200"/>
        <w:rPr>
          <w:rFonts w:hint="default" w:ascii="方正仿宋_GBK" w:eastAsia="方正仿宋_GBK"/>
          <w:sz w:val="32"/>
          <w:szCs w:val="32"/>
        </w:rPr>
      </w:pPr>
      <w:r>
        <w:rPr>
          <w:rFonts w:ascii="方正仿宋_GBK" w:eastAsia="方正仿宋_GBK"/>
          <w:sz w:val="32"/>
          <w:szCs w:val="32"/>
        </w:rPr>
        <w:t>根据预算绩效管理要求，我单位对26个项目开展了绩效自评，涉及财政拨款项目支出资金8636.3万元，项目绩效自评表见附件。</w:t>
      </w:r>
    </w:p>
    <w:p>
      <w:pPr>
        <w:spacing w:line="540" w:lineRule="exact"/>
        <w:ind w:firstLine="640" w:firstLineChars="200"/>
        <w:rPr>
          <w:rFonts w:hint="default" w:ascii="方正楷体_GBK" w:eastAsia="方正楷体_GBK"/>
          <w:sz w:val="32"/>
          <w:szCs w:val="32"/>
        </w:rPr>
      </w:pPr>
      <w:r>
        <w:rPr>
          <w:rFonts w:ascii="方正楷体_GBK" w:eastAsia="方正楷体_GBK"/>
          <w:sz w:val="32"/>
          <w:szCs w:val="32"/>
        </w:rPr>
        <w:t>（二）单位绩效评价情况</w:t>
      </w:r>
    </w:p>
    <w:p>
      <w:pPr>
        <w:spacing w:line="540" w:lineRule="exact"/>
        <w:ind w:firstLine="640" w:firstLineChars="200"/>
        <w:rPr>
          <w:rFonts w:hint="default" w:ascii="方正仿宋_GBK" w:eastAsia="方正仿宋_GBK"/>
          <w:sz w:val="32"/>
          <w:szCs w:val="32"/>
        </w:rPr>
      </w:pPr>
      <w:r>
        <w:rPr>
          <w:rFonts w:ascii="方正仿宋_GBK" w:eastAsia="方正仿宋_GBK"/>
          <w:sz w:val="32"/>
          <w:szCs w:val="32"/>
        </w:rPr>
        <w:t>我单位未组织开展绩效评价。</w:t>
      </w:r>
    </w:p>
    <w:p>
      <w:pPr>
        <w:spacing w:line="540" w:lineRule="exact"/>
        <w:ind w:firstLine="640" w:firstLineChars="200"/>
        <w:rPr>
          <w:rFonts w:hint="default" w:ascii="方正黑体_GBK" w:eastAsia="方正黑体_GBK"/>
          <w:sz w:val="32"/>
          <w:szCs w:val="32"/>
        </w:rPr>
      </w:pPr>
      <w:r>
        <w:rPr>
          <w:rFonts w:ascii="方正黑体_GBK" w:eastAsia="方正黑体_GBK"/>
          <w:sz w:val="32"/>
          <w:szCs w:val="32"/>
        </w:rPr>
        <w:t>六、专业名词解释</w:t>
      </w:r>
    </w:p>
    <w:p>
      <w:pPr>
        <w:spacing w:line="540" w:lineRule="exact"/>
        <w:ind w:firstLine="640" w:firstLineChars="200"/>
        <w:rPr>
          <w:rFonts w:hint="default" w:ascii="方正仿宋_GBK" w:eastAsia="方正仿宋_GBK"/>
          <w:sz w:val="32"/>
          <w:szCs w:val="32"/>
        </w:rPr>
      </w:pPr>
      <w:r>
        <w:rPr>
          <w:rFonts w:ascii="方正楷体_GBK" w:eastAsia="方正楷体_GBK"/>
          <w:sz w:val="32"/>
          <w:szCs w:val="32"/>
        </w:rPr>
        <w:t>（一）财政拨款收入：</w:t>
      </w:r>
      <w:r>
        <w:rPr>
          <w:rFonts w:ascii="方正仿宋_GBK" w:eastAsia="方正仿宋_GBK"/>
          <w:sz w:val="32"/>
          <w:szCs w:val="32"/>
        </w:rPr>
        <w:t>指本年度从本级财政部门取得的财政拨款，包括一般公共预算财政拨款和政府性基金预算财政拨款。</w:t>
      </w:r>
    </w:p>
    <w:p>
      <w:pPr>
        <w:spacing w:line="540" w:lineRule="exact"/>
        <w:ind w:firstLine="640" w:firstLineChars="200"/>
        <w:rPr>
          <w:rFonts w:hint="default" w:ascii="方正仿宋_GBK" w:eastAsia="方正仿宋_GBK"/>
          <w:sz w:val="32"/>
          <w:szCs w:val="32"/>
        </w:rPr>
      </w:pPr>
      <w:r>
        <w:rPr>
          <w:rFonts w:ascii="方正楷体_GBK" w:eastAsia="方正楷体_GBK"/>
          <w:sz w:val="32"/>
          <w:szCs w:val="32"/>
        </w:rPr>
        <w:t>（二）事业收入：</w:t>
      </w:r>
      <w:r>
        <w:rPr>
          <w:rFonts w:ascii="方正仿宋_GBK" w:eastAsia="方正仿宋_GBK"/>
          <w:sz w:val="32"/>
          <w:szCs w:val="32"/>
        </w:rPr>
        <w:t>指事业单位开展专业业务活动及其辅助活动取得的现金流入；事业单位收到的财政专户实际核拨的教育收费等资金在此反映。</w:t>
      </w:r>
    </w:p>
    <w:p>
      <w:pPr>
        <w:spacing w:line="540" w:lineRule="exact"/>
        <w:ind w:firstLine="640" w:firstLineChars="200"/>
        <w:rPr>
          <w:rFonts w:hint="default" w:ascii="方正仿宋_GBK" w:eastAsia="方正仿宋_GBK"/>
          <w:sz w:val="32"/>
          <w:szCs w:val="32"/>
        </w:rPr>
      </w:pPr>
      <w:r>
        <w:rPr>
          <w:rFonts w:ascii="方正楷体_GBK" w:eastAsia="方正楷体_GBK"/>
          <w:sz w:val="32"/>
          <w:szCs w:val="32"/>
        </w:rPr>
        <w:t>（三）经营收入：</w:t>
      </w:r>
      <w:r>
        <w:rPr>
          <w:rFonts w:ascii="方正仿宋_GBK" w:eastAsia="方正仿宋_GBK"/>
          <w:sz w:val="32"/>
          <w:szCs w:val="32"/>
        </w:rPr>
        <w:t>指事业单位在专业业务活动及其辅助活动之外开展非独立核算经营活动取得的现金流入。</w:t>
      </w:r>
    </w:p>
    <w:p>
      <w:pPr>
        <w:spacing w:line="540" w:lineRule="exact"/>
        <w:ind w:firstLine="640" w:firstLineChars="200"/>
        <w:rPr>
          <w:rFonts w:hint="default" w:ascii="方正仿宋_GBK" w:eastAsia="方正仿宋_GBK"/>
          <w:sz w:val="32"/>
          <w:szCs w:val="32"/>
        </w:rPr>
      </w:pPr>
      <w:r>
        <w:rPr>
          <w:rFonts w:ascii="方正楷体_GBK" w:eastAsia="方正楷体_GBK"/>
          <w:sz w:val="32"/>
          <w:szCs w:val="32"/>
        </w:rPr>
        <w:t>（四）其他收入：</w:t>
      </w:r>
      <w:r>
        <w:rPr>
          <w:rFonts w:ascii="方正仿宋_GBK" w:eastAsia="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spacing w:line="540" w:lineRule="exact"/>
        <w:ind w:firstLine="640" w:firstLineChars="200"/>
        <w:rPr>
          <w:rFonts w:hint="default" w:ascii="方正仿宋_GBK" w:eastAsia="方正仿宋_GBK"/>
          <w:sz w:val="32"/>
          <w:szCs w:val="32"/>
        </w:rPr>
      </w:pPr>
      <w:r>
        <w:rPr>
          <w:rFonts w:ascii="方正楷体_GBK" w:eastAsia="方正楷体_GBK"/>
          <w:sz w:val="32"/>
          <w:szCs w:val="32"/>
        </w:rPr>
        <w:t>（五）使用非财政拨款结余：</w:t>
      </w:r>
      <w:r>
        <w:rPr>
          <w:rFonts w:ascii="方正仿宋_GBK" w:eastAsia="方正仿宋_GBK"/>
          <w:sz w:val="32"/>
          <w:szCs w:val="32"/>
        </w:rPr>
        <w:t>指单位在当年的“财政拨款收入”、“事业收入”、“经营收入”、“其他收入”等不足以安排当年支出的情况下，使用以前年度积累的非财政拨款结余弥补本年度收支缺口的资金。</w:t>
      </w:r>
    </w:p>
    <w:p>
      <w:pPr>
        <w:spacing w:line="540" w:lineRule="exact"/>
        <w:ind w:firstLine="640" w:firstLineChars="200"/>
        <w:rPr>
          <w:rFonts w:hint="default" w:ascii="方正仿宋_GBK" w:eastAsia="方正仿宋_GBK"/>
          <w:sz w:val="32"/>
          <w:szCs w:val="32"/>
        </w:rPr>
      </w:pPr>
      <w:r>
        <w:rPr>
          <w:rFonts w:ascii="方正楷体_GBK" w:eastAsia="方正楷体_GBK"/>
          <w:sz w:val="32"/>
          <w:szCs w:val="32"/>
        </w:rPr>
        <w:t>（六）年初结转和结余：</w:t>
      </w:r>
      <w:r>
        <w:rPr>
          <w:rFonts w:ascii="方正仿宋_GBK" w:eastAsia="方正仿宋_GBK"/>
          <w:sz w:val="32"/>
          <w:szCs w:val="32"/>
        </w:rPr>
        <w:t>指单位上年结转本年使用的基本支出结转、项目支出结转和结余、经营结余。</w:t>
      </w:r>
    </w:p>
    <w:p>
      <w:pPr>
        <w:spacing w:line="540" w:lineRule="exact"/>
        <w:ind w:firstLine="640" w:firstLineChars="200"/>
        <w:rPr>
          <w:rFonts w:hint="default" w:ascii="方正仿宋_GBK" w:eastAsia="方正仿宋_GBK"/>
          <w:sz w:val="32"/>
          <w:szCs w:val="32"/>
        </w:rPr>
      </w:pPr>
      <w:r>
        <w:rPr>
          <w:rFonts w:ascii="方正楷体_GBK" w:eastAsia="方正楷体_GBK"/>
          <w:sz w:val="32"/>
          <w:szCs w:val="32"/>
        </w:rPr>
        <w:t>（七）结余分配：</w:t>
      </w:r>
      <w:r>
        <w:rPr>
          <w:rFonts w:ascii="方正仿宋_GBK" w:eastAsia="方正仿宋_GBK"/>
          <w:sz w:val="32"/>
          <w:szCs w:val="32"/>
        </w:rPr>
        <w:t>指单位按照国家有关规定，缴纳所得税、提取专用基金、转入非财政拨款结余等当年结余的分配情况。</w:t>
      </w:r>
    </w:p>
    <w:p>
      <w:pPr>
        <w:spacing w:line="540" w:lineRule="exact"/>
        <w:ind w:firstLine="640" w:firstLineChars="200"/>
        <w:rPr>
          <w:rFonts w:hint="default" w:ascii="方正仿宋_GBK" w:eastAsia="方正仿宋_GBK"/>
          <w:sz w:val="32"/>
          <w:szCs w:val="32"/>
        </w:rPr>
      </w:pPr>
      <w:r>
        <w:rPr>
          <w:rFonts w:ascii="方正楷体_GBK" w:eastAsia="方正楷体_GBK"/>
          <w:sz w:val="32"/>
          <w:szCs w:val="32"/>
        </w:rPr>
        <w:t>（八）年末结转和结余：</w:t>
      </w:r>
      <w:r>
        <w:rPr>
          <w:rFonts w:ascii="方正仿宋_GBK" w:eastAsia="方正仿宋_GBK"/>
          <w:sz w:val="32"/>
          <w:szCs w:val="32"/>
        </w:rPr>
        <w:t>指单位结转下年的基本支出结转、项目支出结转和结余、经营结余。</w:t>
      </w:r>
    </w:p>
    <w:p>
      <w:pPr>
        <w:spacing w:line="540" w:lineRule="exact"/>
        <w:ind w:firstLine="640" w:firstLineChars="200"/>
        <w:rPr>
          <w:rFonts w:hint="default" w:ascii="方正仿宋_GBK" w:eastAsia="方正仿宋_GBK"/>
          <w:sz w:val="32"/>
          <w:szCs w:val="32"/>
        </w:rPr>
      </w:pPr>
      <w:r>
        <w:rPr>
          <w:rFonts w:ascii="方正楷体_GBK" w:eastAsia="方正楷体_GBK"/>
          <w:sz w:val="32"/>
          <w:szCs w:val="32"/>
        </w:rPr>
        <w:t>（九）基本支出：</w:t>
      </w:r>
      <w:r>
        <w:rPr>
          <w:rFonts w:ascii="方正仿宋_GBK"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540" w:lineRule="exact"/>
        <w:ind w:firstLine="640" w:firstLineChars="200"/>
        <w:rPr>
          <w:rFonts w:hint="default" w:ascii="方正仿宋_GBK" w:eastAsia="方正仿宋_GBK"/>
          <w:sz w:val="32"/>
          <w:szCs w:val="32"/>
        </w:rPr>
      </w:pPr>
      <w:r>
        <w:rPr>
          <w:rFonts w:ascii="方正楷体_GBK" w:eastAsia="方正楷体_GBK"/>
          <w:sz w:val="32"/>
          <w:szCs w:val="32"/>
        </w:rPr>
        <w:t>（十）项目支出：</w:t>
      </w:r>
      <w:r>
        <w:rPr>
          <w:rFonts w:ascii="方正仿宋_GBK" w:eastAsia="方正仿宋_GBK"/>
          <w:sz w:val="32"/>
          <w:szCs w:val="32"/>
        </w:rPr>
        <w:t>指在基本支出之外为完成特定行政任务和事业发展目标所发生的支出。</w:t>
      </w:r>
    </w:p>
    <w:p>
      <w:pPr>
        <w:spacing w:line="540" w:lineRule="exact"/>
        <w:ind w:firstLine="640" w:firstLineChars="200"/>
        <w:rPr>
          <w:rFonts w:hint="default" w:ascii="方正仿宋_GBK" w:eastAsia="方正仿宋_GBK"/>
          <w:sz w:val="32"/>
          <w:szCs w:val="32"/>
        </w:rPr>
      </w:pPr>
      <w:r>
        <w:rPr>
          <w:rFonts w:ascii="方正楷体_GBK" w:eastAsia="方正楷体_GBK"/>
          <w:sz w:val="32"/>
          <w:szCs w:val="32"/>
        </w:rPr>
        <w:t>（十一）经营支出：</w:t>
      </w:r>
      <w:r>
        <w:rPr>
          <w:rFonts w:ascii="方正仿宋_GBK" w:eastAsia="方正仿宋_GBK"/>
          <w:sz w:val="32"/>
          <w:szCs w:val="32"/>
        </w:rPr>
        <w:t>指事业单位在专业业务活动及其辅助活动之外开展非独立核算经营活动发生的支出。</w:t>
      </w:r>
    </w:p>
    <w:p>
      <w:pPr>
        <w:spacing w:line="540" w:lineRule="exact"/>
        <w:ind w:firstLine="640" w:firstLineChars="200"/>
        <w:rPr>
          <w:rFonts w:hint="default" w:ascii="方正仿宋_GBK" w:eastAsia="方正仿宋_GBK"/>
          <w:sz w:val="32"/>
          <w:szCs w:val="32"/>
        </w:rPr>
      </w:pPr>
      <w:r>
        <w:rPr>
          <w:rFonts w:ascii="方正楷体_GBK" w:eastAsia="方正楷体_GBK"/>
          <w:sz w:val="32"/>
          <w:szCs w:val="32"/>
        </w:rPr>
        <w:t>（十二）“三公”经费：</w:t>
      </w:r>
      <w:r>
        <w:rPr>
          <w:rFonts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40" w:lineRule="exact"/>
        <w:ind w:firstLine="640" w:firstLineChars="200"/>
        <w:rPr>
          <w:rFonts w:hint="default" w:ascii="方正仿宋_GBK" w:eastAsia="方正仿宋_GBK"/>
          <w:sz w:val="32"/>
          <w:szCs w:val="32"/>
        </w:rPr>
      </w:pPr>
      <w:r>
        <w:rPr>
          <w:rFonts w:ascii="方正楷体_GBK" w:eastAsia="方正楷体_GBK"/>
          <w:sz w:val="32"/>
          <w:szCs w:val="32"/>
        </w:rPr>
        <w:t>（十三）机关运行经费：</w:t>
      </w:r>
      <w:r>
        <w:rPr>
          <w:rFonts w:ascii="方正仿宋_GBK"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line="540" w:lineRule="exact"/>
        <w:ind w:firstLine="640" w:firstLineChars="200"/>
        <w:rPr>
          <w:rFonts w:hint="default" w:ascii="方正仿宋_GBK" w:eastAsia="方正仿宋_GBK"/>
          <w:sz w:val="32"/>
          <w:szCs w:val="32"/>
        </w:rPr>
      </w:pPr>
      <w:r>
        <w:rPr>
          <w:rFonts w:ascii="方正楷体_GBK" w:eastAsia="方正楷体_GBK"/>
          <w:sz w:val="32"/>
          <w:szCs w:val="32"/>
        </w:rPr>
        <w:t>（十四）工资福利支出（支出经济分类科目类级）：</w:t>
      </w:r>
      <w:r>
        <w:rPr>
          <w:rFonts w:ascii="方正仿宋_GBK" w:eastAsia="方正仿宋_GBK"/>
          <w:sz w:val="32"/>
          <w:szCs w:val="32"/>
        </w:rPr>
        <w:t>反映单位开支的在职职工和编制外长期聘用人员的各类劳动报酬，以及为上述人员缴纳的各项社会保险费等。</w:t>
      </w:r>
    </w:p>
    <w:p>
      <w:pPr>
        <w:spacing w:line="540" w:lineRule="exact"/>
        <w:ind w:firstLine="640" w:firstLineChars="200"/>
        <w:rPr>
          <w:rFonts w:hint="default" w:ascii="方正仿宋_GBK" w:eastAsia="方正仿宋_GBK"/>
          <w:sz w:val="32"/>
          <w:szCs w:val="32"/>
        </w:rPr>
      </w:pPr>
      <w:r>
        <w:rPr>
          <w:rFonts w:ascii="方正楷体_GBK" w:eastAsia="方正楷体_GBK"/>
          <w:sz w:val="32"/>
          <w:szCs w:val="32"/>
        </w:rPr>
        <w:t>（十五）商品和服务支出（支出经济分类科目类级）：</w:t>
      </w:r>
      <w:r>
        <w:rPr>
          <w:rFonts w:ascii="方正仿宋_GBK" w:eastAsia="方正仿宋_GBK"/>
          <w:sz w:val="32"/>
          <w:szCs w:val="32"/>
        </w:rPr>
        <w:t>反映单位购买商品和服务的支出（不包括用于购置固定资产的支出、战略性和应急储备支出）。</w:t>
      </w:r>
    </w:p>
    <w:p>
      <w:pPr>
        <w:spacing w:line="540" w:lineRule="exact"/>
        <w:ind w:firstLine="640" w:firstLineChars="200"/>
        <w:rPr>
          <w:rFonts w:hint="default" w:ascii="方正仿宋_GBK" w:eastAsia="方正仿宋_GBK"/>
          <w:sz w:val="32"/>
          <w:szCs w:val="32"/>
        </w:rPr>
      </w:pPr>
      <w:r>
        <w:rPr>
          <w:rFonts w:ascii="方正楷体_GBK" w:eastAsia="方正楷体_GBK"/>
          <w:sz w:val="32"/>
          <w:szCs w:val="32"/>
        </w:rPr>
        <w:t>（十六）对个人和家庭的补助（支出经济分类科目类级）：</w:t>
      </w:r>
      <w:r>
        <w:rPr>
          <w:rFonts w:ascii="方正仿宋_GBK" w:eastAsia="方正仿宋_GBK"/>
          <w:sz w:val="32"/>
          <w:szCs w:val="32"/>
        </w:rPr>
        <w:t>反映用于对个人和家庭的补助支出。</w:t>
      </w:r>
    </w:p>
    <w:p>
      <w:pPr>
        <w:spacing w:line="540" w:lineRule="exact"/>
        <w:ind w:firstLine="640" w:firstLineChars="200"/>
        <w:rPr>
          <w:rFonts w:hint="default" w:ascii="方正仿宋_GBK" w:eastAsia="方正仿宋_GBK"/>
          <w:sz w:val="32"/>
          <w:szCs w:val="32"/>
        </w:rPr>
      </w:pPr>
      <w:r>
        <w:rPr>
          <w:rFonts w:ascii="方正楷体_GBK" w:eastAsia="方正楷体_GBK"/>
          <w:sz w:val="32"/>
          <w:szCs w:val="32"/>
        </w:rPr>
        <w:t>（十七）其他资本性支出（支出经济分类科目类级）：</w:t>
      </w:r>
      <w:r>
        <w:rPr>
          <w:rFonts w:ascii="方正仿宋_GBK" w:eastAsia="方正仿宋_GBK"/>
          <w:sz w:val="32"/>
          <w:szCs w:val="32"/>
        </w:rPr>
        <w:t>反映非各级发展与改革部门集中安排的用于购置固定资产、战略性和应急性储备、土地和无形资产，以及构建基础设施、大型修缮和财政支持企业更新改造所发生的支出。</w:t>
      </w:r>
    </w:p>
    <w:p>
      <w:pPr>
        <w:spacing w:line="540" w:lineRule="exact"/>
        <w:ind w:firstLine="640" w:firstLineChars="200"/>
        <w:rPr>
          <w:rFonts w:hint="default" w:ascii="方正黑体_GBK" w:eastAsia="方正黑体_GBK"/>
          <w:sz w:val="32"/>
          <w:szCs w:val="32"/>
        </w:rPr>
      </w:pPr>
      <w:r>
        <w:rPr>
          <w:rFonts w:ascii="方正黑体_GBK" w:eastAsia="方正黑体_GBK"/>
          <w:sz w:val="32"/>
          <w:szCs w:val="32"/>
        </w:rPr>
        <w:t>七、决算公开联系方式及信息反馈渠道</w:t>
      </w:r>
    </w:p>
    <w:p>
      <w:pPr>
        <w:spacing w:line="540" w:lineRule="exact"/>
        <w:ind w:firstLine="640" w:firstLineChars="200"/>
        <w:rPr>
          <w:rFonts w:hint="default" w:ascii="方正仿宋_GBK" w:eastAsia="方正仿宋_GBK"/>
          <w:sz w:val="32"/>
          <w:szCs w:val="32"/>
        </w:rPr>
      </w:pPr>
      <w:r>
        <w:rPr>
          <w:rFonts w:ascii="方正仿宋_GBK" w:eastAsia="方正仿宋_GBK"/>
          <w:sz w:val="32"/>
          <w:szCs w:val="32"/>
        </w:rPr>
        <w:t>本单位决算公开信息反馈和联系方式：</w:t>
      </w:r>
    </w:p>
    <w:p>
      <w:pPr>
        <w:spacing w:line="540" w:lineRule="exact"/>
        <w:ind w:firstLine="640" w:firstLineChars="200"/>
        <w:rPr>
          <w:rFonts w:hint="default" w:ascii="方正仿宋_GBK" w:eastAsia="方正仿宋_GBK"/>
          <w:sz w:val="32"/>
          <w:szCs w:val="32"/>
        </w:rPr>
      </w:pPr>
      <w:r>
        <w:rPr>
          <w:rFonts w:ascii="方正仿宋_GBK" w:eastAsia="方正仿宋_GBK"/>
          <w:sz w:val="32"/>
          <w:szCs w:val="32"/>
        </w:rPr>
        <w:t>杨绪        023-46782252</w:t>
      </w:r>
    </w:p>
    <w:p>
      <w:pPr>
        <w:spacing w:line="540" w:lineRule="exact"/>
        <w:ind w:firstLine="640" w:firstLineChars="200"/>
        <w:rPr>
          <w:rFonts w:hint="default" w:ascii="方正仿宋_GBK" w:eastAsia="方正仿宋_GBK"/>
          <w:sz w:val="32"/>
          <w:szCs w:val="32"/>
        </w:rPr>
      </w:pPr>
    </w:p>
    <w:p>
      <w:pPr>
        <w:spacing w:line="540" w:lineRule="exact"/>
        <w:ind w:firstLine="640" w:firstLineChars="200"/>
        <w:rPr>
          <w:rFonts w:hint="default" w:ascii="方正仿宋_GBK" w:eastAsia="方正仿宋_GBK"/>
          <w:sz w:val="32"/>
          <w:szCs w:val="32"/>
        </w:rPr>
      </w:pPr>
      <w:r>
        <w:rPr>
          <w:rFonts w:ascii="方正仿宋_GBK" w:eastAsia="方正仿宋_GBK"/>
          <w:sz w:val="32"/>
          <w:szCs w:val="32"/>
        </w:rPr>
        <w:t>附件：重庆市荣昌区交通局（本级）</w:t>
      </w:r>
      <w:r>
        <w:rPr>
          <w:rFonts w:hint="default" w:ascii="方正仿宋_GBK" w:eastAsia="方正仿宋_GBK"/>
          <w:sz w:val="32"/>
          <w:szCs w:val="32"/>
        </w:rPr>
        <w:t>2023年度部门决算项目绩效自评表</w:t>
      </w:r>
    </w:p>
    <w:p>
      <w:pPr>
        <w:pStyle w:val="11"/>
        <w:autoSpaceDE w:val="0"/>
        <w:spacing w:line="560" w:lineRule="exact"/>
        <w:ind w:firstLine="643"/>
        <w:rPr>
          <w:rStyle w:val="10"/>
          <w:rFonts w:ascii="方正仿宋_GBK" w:hAnsi="方正仿宋_GBK" w:eastAsia="方正仿宋_GBK" w:cs="方正仿宋_GBK"/>
          <w:sz w:val="32"/>
          <w:szCs w:val="32"/>
          <w:shd w:val="clear" w:color="auto" w:fill="FFFF00"/>
        </w:rPr>
        <w:sectPr>
          <w:footerReference r:id="rId3" w:type="default"/>
          <w:pgSz w:w="11915" w:h="16840"/>
          <w:pgMar w:top="2098" w:right="1474" w:bottom="1985" w:left="1588" w:header="851" w:footer="992" w:gutter="0"/>
          <w:pgNumType w:fmt="numberInDash"/>
          <w:cols w:space="720" w:num="1"/>
          <w:docGrid w:type="lines" w:linePitch="312" w:charSpace="0"/>
        </w:sectPr>
      </w:pPr>
    </w:p>
    <w:p>
      <w:pPr>
        <w:rPr>
          <w:rFonts w:hint="default" w:cs="宋体"/>
          <w:sz w:val="21"/>
          <w:szCs w:val="21"/>
        </w:rPr>
      </w:pPr>
    </w:p>
    <w:tbl>
      <w:tblPr>
        <w:tblStyle w:val="7"/>
        <w:tblW w:w="10803" w:type="dxa"/>
        <w:tblInd w:w="0" w:type="dxa"/>
        <w:tblLayout w:type="fixed"/>
        <w:tblCellMar>
          <w:top w:w="0" w:type="dxa"/>
          <w:left w:w="0" w:type="dxa"/>
          <w:bottom w:w="0" w:type="dxa"/>
          <w:right w:w="0" w:type="dxa"/>
        </w:tblCellMar>
      </w:tblPr>
      <w:tblGrid>
        <w:gridCol w:w="3595"/>
        <w:gridCol w:w="1417"/>
        <w:gridCol w:w="3375"/>
        <w:gridCol w:w="2416"/>
      </w:tblGrid>
      <w:tr>
        <w:tblPrEx>
          <w:tblLayout w:type="fixed"/>
          <w:tblCellMar>
            <w:top w:w="0" w:type="dxa"/>
            <w:left w:w="0" w:type="dxa"/>
            <w:bottom w:w="0" w:type="dxa"/>
            <w:right w:w="0" w:type="dxa"/>
          </w:tblCellMar>
        </w:tblPrEx>
        <w:trPr>
          <w:trHeight w:val="232" w:hRule="atLeast"/>
        </w:trPr>
        <w:tc>
          <w:tcPr>
            <w:tcW w:w="1080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359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337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41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501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重庆市荣昌区交通局（本级）</w:t>
            </w:r>
          </w:p>
        </w:tc>
        <w:tc>
          <w:tcPr>
            <w:tcW w:w="337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41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50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579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8,748.51</w:t>
            </w:r>
            <w:r>
              <w:rPr>
                <w:color w:val="000000"/>
                <w:sz w:val="20"/>
              </w:rPr>
              <w:t xml:space="preserve"> </w:t>
            </w: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4.05</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301.88</w:t>
            </w:r>
            <w:r>
              <w:rPr>
                <w:color w:val="000000"/>
                <w:sz w:val="20"/>
              </w:rPr>
              <w:t xml:space="preserve"> </w:t>
            </w: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1.69</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1417"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124.70</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77.73</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425.00</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301.88</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242.56</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8,073.35</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9.94</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color w:val="000000"/>
                <w:sz w:val="20"/>
                <w:szCs w:val="20"/>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9,050.39</w:t>
            </w:r>
            <w:r>
              <w:rPr>
                <w:color w:val="000000"/>
                <w:sz w:val="20"/>
              </w:rPr>
              <w:t xml:space="preserve"> </w:t>
            </w: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9,260.88</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1,582.53</w:t>
            </w:r>
            <w:r>
              <w:rPr>
                <w:color w:val="000000"/>
                <w:sz w:val="20"/>
              </w:rPr>
              <w:t xml:space="preserve"> </w:t>
            </w: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2416"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1,372.04</w:t>
            </w:r>
            <w:r>
              <w:rPr>
                <w:color w:val="000000"/>
                <w:sz w:val="20"/>
              </w:rPr>
              <w:t xml:space="preserve"> </w:t>
            </w:r>
          </w:p>
        </w:tc>
      </w:tr>
      <w:tr>
        <w:tblPrEx>
          <w:tblLayout w:type="fixed"/>
          <w:tblCellMar>
            <w:top w:w="0" w:type="dxa"/>
            <w:left w:w="0" w:type="dxa"/>
            <w:bottom w:w="0" w:type="dxa"/>
            <w:right w:w="0" w:type="dxa"/>
          </w:tblCellMar>
        </w:tblPrEx>
        <w:trPr>
          <w:trHeight w:val="25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10,632.93</w:t>
            </w:r>
            <w:r>
              <w:rPr>
                <w:color w:val="000000"/>
                <w:sz w:val="20"/>
              </w:rPr>
              <w:t xml:space="preserve"> </w:t>
            </w:r>
          </w:p>
        </w:tc>
        <w:tc>
          <w:tcPr>
            <w:tcW w:w="3375"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10,632.93</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spacing w:line="240" w:lineRule="exact"/>
        <w:rPr>
          <w:rFonts w:hint="default" w:cs="宋体"/>
          <w:sz w:val="20"/>
          <w:szCs w:val="20"/>
        </w:rPr>
      </w:pPr>
    </w:p>
    <w:p>
      <w:pPr>
        <w:spacing w:line="240" w:lineRule="exact"/>
        <w:rPr>
          <w:rFonts w:hint="default" w:cs="宋体"/>
          <w:sz w:val="20"/>
          <w:szCs w:val="20"/>
        </w:rPr>
      </w:pPr>
    </w:p>
    <w:p>
      <w:pPr>
        <w:spacing w:line="240" w:lineRule="exact"/>
        <w:rPr>
          <w:rFonts w:hint="default" w:cs="宋体"/>
          <w:sz w:val="20"/>
          <w:szCs w:val="20"/>
        </w:rPr>
      </w:pPr>
    </w:p>
    <w:p>
      <w:pPr>
        <w:spacing w:line="240" w:lineRule="exact"/>
        <w:rPr>
          <w:rFonts w:hint="default" w:cs="宋体"/>
          <w:sz w:val="20"/>
          <w:szCs w:val="20"/>
        </w:rPr>
      </w:pPr>
    </w:p>
    <w:p>
      <w:pPr>
        <w:spacing w:line="240" w:lineRule="exact"/>
        <w:rPr>
          <w:rFonts w:hint="default" w:cs="宋体"/>
          <w:sz w:val="20"/>
          <w:szCs w:val="20"/>
        </w:rPr>
      </w:pPr>
    </w:p>
    <w:p>
      <w:pPr>
        <w:spacing w:line="240" w:lineRule="exact"/>
        <w:rPr>
          <w:rFonts w:hint="default" w:cs="宋体"/>
          <w:sz w:val="20"/>
          <w:szCs w:val="20"/>
        </w:rPr>
      </w:pPr>
    </w:p>
    <w:p>
      <w:pPr>
        <w:spacing w:line="240" w:lineRule="exact"/>
        <w:rPr>
          <w:rFonts w:hint="default" w:cs="宋体"/>
          <w:sz w:val="20"/>
          <w:szCs w:val="20"/>
        </w:rPr>
      </w:pPr>
    </w:p>
    <w:p>
      <w:pPr>
        <w:spacing w:line="240" w:lineRule="exact"/>
        <w:rPr>
          <w:rFonts w:hint="default" w:cs="宋体"/>
          <w:sz w:val="20"/>
          <w:szCs w:val="20"/>
        </w:rPr>
      </w:pPr>
    </w:p>
    <w:p>
      <w:pPr>
        <w:spacing w:line="240" w:lineRule="exact"/>
        <w:rPr>
          <w:rFonts w:hint="default" w:cs="宋体"/>
          <w:sz w:val="20"/>
          <w:szCs w:val="20"/>
        </w:rPr>
      </w:pPr>
    </w:p>
    <w:p>
      <w:pPr>
        <w:spacing w:line="240" w:lineRule="exact"/>
        <w:rPr>
          <w:rFonts w:hint="default" w:cs="宋体"/>
          <w:sz w:val="20"/>
          <w:szCs w:val="20"/>
        </w:rPr>
      </w:pPr>
    </w:p>
    <w:p>
      <w:pPr>
        <w:spacing w:line="240" w:lineRule="exact"/>
        <w:rPr>
          <w:rFonts w:hint="default" w:cs="宋体"/>
          <w:sz w:val="20"/>
          <w:szCs w:val="20"/>
        </w:rPr>
      </w:pPr>
    </w:p>
    <w:p>
      <w:pPr>
        <w:spacing w:line="240" w:lineRule="exact"/>
        <w:rPr>
          <w:rFonts w:hint="default" w:cs="宋体"/>
          <w:sz w:val="20"/>
          <w:szCs w:val="20"/>
        </w:rPr>
      </w:pPr>
    </w:p>
    <w:p>
      <w:pPr>
        <w:spacing w:line="240" w:lineRule="exact"/>
        <w:rPr>
          <w:rFonts w:hint="default" w:cs="宋体"/>
          <w:sz w:val="20"/>
          <w:szCs w:val="20"/>
        </w:rPr>
      </w:pPr>
    </w:p>
    <w:p>
      <w:pPr>
        <w:spacing w:line="240" w:lineRule="exact"/>
        <w:rPr>
          <w:rFonts w:hint="default" w:cs="宋体"/>
          <w:sz w:val="20"/>
          <w:szCs w:val="20"/>
        </w:rPr>
      </w:pPr>
    </w:p>
    <w:p>
      <w:pPr>
        <w:spacing w:line="240" w:lineRule="exact"/>
        <w:rPr>
          <w:rFonts w:hint="default" w:cs="宋体"/>
          <w:sz w:val="20"/>
          <w:szCs w:val="20"/>
        </w:rPr>
      </w:pPr>
    </w:p>
    <w:p>
      <w:pPr>
        <w:spacing w:line="240" w:lineRule="exact"/>
        <w:rPr>
          <w:rFonts w:hint="default" w:cs="宋体"/>
          <w:sz w:val="20"/>
          <w:szCs w:val="20"/>
        </w:rPr>
      </w:pPr>
    </w:p>
    <w:p>
      <w:pPr>
        <w:spacing w:line="240" w:lineRule="exact"/>
        <w:rPr>
          <w:rFonts w:hint="default" w:cs="宋体"/>
          <w:sz w:val="20"/>
          <w:szCs w:val="20"/>
        </w:rPr>
      </w:pPr>
    </w:p>
    <w:tbl>
      <w:tblPr>
        <w:tblStyle w:val="7"/>
        <w:tblW w:w="10803" w:type="dxa"/>
        <w:tblInd w:w="0" w:type="dxa"/>
        <w:tblLayout w:type="fixed"/>
        <w:tblCellMar>
          <w:top w:w="0" w:type="dxa"/>
          <w:left w:w="0" w:type="dxa"/>
          <w:bottom w:w="0" w:type="dxa"/>
          <w:right w:w="0" w:type="dxa"/>
        </w:tblCellMar>
      </w:tblPr>
      <w:tblGrid>
        <w:gridCol w:w="1637"/>
        <w:gridCol w:w="3630"/>
        <w:gridCol w:w="937"/>
        <w:gridCol w:w="937"/>
        <w:gridCol w:w="468"/>
        <w:gridCol w:w="468"/>
        <w:gridCol w:w="561"/>
        <w:gridCol w:w="521"/>
        <w:gridCol w:w="614"/>
        <w:gridCol w:w="1030"/>
      </w:tblGrid>
      <w:tr>
        <w:tblPrEx>
          <w:tblLayout w:type="fixed"/>
          <w:tblCellMar>
            <w:top w:w="0" w:type="dxa"/>
            <w:left w:w="0" w:type="dxa"/>
            <w:bottom w:w="0" w:type="dxa"/>
            <w:right w:w="0" w:type="dxa"/>
          </w:tblCellMar>
        </w:tblPrEx>
        <w:trPr>
          <w:trHeight w:val="641" w:hRule="atLeast"/>
        </w:trPr>
        <w:tc>
          <w:tcPr>
            <w:tcW w:w="108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204"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重庆市荣昌区交通局（本级）</w:t>
            </w:r>
          </w:p>
        </w:tc>
        <w:tc>
          <w:tcPr>
            <w:tcW w:w="93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1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3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20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3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1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3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52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5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52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9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9,050.39</w:t>
            </w:r>
            <w:r>
              <w:rPr>
                <w:b/>
                <w:color w:val="000000"/>
                <w:sz w:val="20"/>
              </w:rPr>
              <w:t xml:space="preserve"> </w:t>
            </w:r>
          </w:p>
        </w:tc>
        <w:tc>
          <w:tcPr>
            <w:tcW w:w="9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9,050.39</w:t>
            </w:r>
            <w:r>
              <w:rPr>
                <w:b/>
                <w:color w:val="000000"/>
                <w:sz w:val="20"/>
              </w:rPr>
              <w:t xml:space="preserve"> </w:t>
            </w:r>
          </w:p>
        </w:tc>
        <w:tc>
          <w:tcPr>
            <w:tcW w:w="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6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4.05</w:t>
            </w:r>
            <w:r>
              <w:rPr>
                <w:b/>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4.05</w:t>
            </w:r>
            <w:r>
              <w:rPr>
                <w:b/>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4.05</w:t>
            </w:r>
            <w:r>
              <w:rPr>
                <w:b/>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4.05</w:t>
            </w:r>
            <w:r>
              <w:rPr>
                <w:b/>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4.05</w:t>
            </w:r>
            <w:r>
              <w:rPr>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4.05</w:t>
            </w: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1.69</w:t>
            </w:r>
            <w:r>
              <w:rPr>
                <w:b/>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1.69</w:t>
            </w:r>
            <w:r>
              <w:rPr>
                <w:b/>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1.69</w:t>
            </w:r>
            <w:r>
              <w:rPr>
                <w:b/>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1.69</w:t>
            </w:r>
            <w:r>
              <w:rPr>
                <w:b/>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1.69</w:t>
            </w:r>
            <w:r>
              <w:rPr>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1.69</w:t>
            </w: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124.70</w:t>
            </w:r>
            <w:r>
              <w:rPr>
                <w:b/>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124.70</w:t>
            </w:r>
            <w:r>
              <w:rPr>
                <w:b/>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124.70</w:t>
            </w:r>
            <w:r>
              <w:rPr>
                <w:b/>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124.70</w:t>
            </w:r>
            <w:r>
              <w:rPr>
                <w:b/>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35.84</w:t>
            </w:r>
            <w:r>
              <w:rPr>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35.84</w:t>
            </w: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32.97</w:t>
            </w:r>
            <w:r>
              <w:rPr>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32.97</w:t>
            </w: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55.88</w:t>
            </w:r>
            <w:r>
              <w:rPr>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55.88</w:t>
            </w: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77.73</w:t>
            </w:r>
            <w:r>
              <w:rPr>
                <w:b/>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77.73</w:t>
            </w:r>
            <w:r>
              <w:rPr>
                <w:b/>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60.00</w:t>
            </w:r>
            <w:r>
              <w:rPr>
                <w:b/>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60.00</w:t>
            </w:r>
            <w:r>
              <w:rPr>
                <w:b/>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60.00</w:t>
            </w:r>
            <w:r>
              <w:rPr>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60.00</w:t>
            </w: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17.73</w:t>
            </w:r>
            <w:r>
              <w:rPr>
                <w:b/>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17.73</w:t>
            </w:r>
            <w:r>
              <w:rPr>
                <w:b/>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9.55</w:t>
            </w:r>
            <w:r>
              <w:rPr>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9.55</w:t>
            </w: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4.50</w:t>
            </w:r>
            <w:r>
              <w:rPr>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4.50</w:t>
            </w: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3.68</w:t>
            </w:r>
            <w:r>
              <w:rPr>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3.68</w:t>
            </w: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425.00</w:t>
            </w:r>
            <w:r>
              <w:rPr>
                <w:b/>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425.00</w:t>
            </w:r>
            <w:r>
              <w:rPr>
                <w:b/>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其他节能环保支出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425.00</w:t>
            </w:r>
            <w:r>
              <w:rPr>
                <w:b/>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425.00</w:t>
            </w:r>
            <w:r>
              <w:rPr>
                <w:b/>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2119999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其他节能环保支出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425.00</w:t>
            </w:r>
            <w:r>
              <w:rPr>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425.00</w:t>
            </w: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301.88</w:t>
            </w:r>
            <w:r>
              <w:rPr>
                <w:b/>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301.88</w:t>
            </w:r>
            <w:r>
              <w:rPr>
                <w:b/>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301.88</w:t>
            </w:r>
            <w:r>
              <w:rPr>
                <w:b/>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301.88</w:t>
            </w:r>
            <w:r>
              <w:rPr>
                <w:b/>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301.88</w:t>
            </w:r>
            <w:r>
              <w:rPr>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301.88</w:t>
            </w: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242.56</w:t>
            </w:r>
            <w:r>
              <w:rPr>
                <w:b/>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242.56</w:t>
            </w:r>
            <w:r>
              <w:rPr>
                <w:b/>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238.23</w:t>
            </w:r>
            <w:r>
              <w:rPr>
                <w:b/>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238.23</w:t>
            </w:r>
            <w:r>
              <w:rPr>
                <w:b/>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水利工程建设</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238.23</w:t>
            </w:r>
            <w:r>
              <w:rPr>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238.23</w:t>
            </w: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4.33</w:t>
            </w:r>
            <w:r>
              <w:rPr>
                <w:b/>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4.33</w:t>
            </w:r>
            <w:r>
              <w:rPr>
                <w:b/>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4.33</w:t>
            </w:r>
            <w:r>
              <w:rPr>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4.33</w:t>
            </w: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7,862.86</w:t>
            </w:r>
            <w:r>
              <w:rPr>
                <w:b/>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7,862.86</w:t>
            </w:r>
            <w:r>
              <w:rPr>
                <w:b/>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2,564.12</w:t>
            </w:r>
            <w:r>
              <w:rPr>
                <w:b/>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2,564.12</w:t>
            </w:r>
            <w:r>
              <w:rPr>
                <w:b/>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260.04</w:t>
            </w:r>
            <w:r>
              <w:rPr>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260.04</w:t>
            </w: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1,922.23</w:t>
            </w:r>
            <w:r>
              <w:rPr>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1,922.23</w:t>
            </w: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公路运输管理</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50.56</w:t>
            </w:r>
            <w:r>
              <w:rPr>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50.56</w:t>
            </w: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331.30</w:t>
            </w:r>
            <w:r>
              <w:rPr>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331.30</w:t>
            </w: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5,261.32</w:t>
            </w:r>
            <w:r>
              <w:rPr>
                <w:b/>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5,261.32</w:t>
            </w:r>
            <w:r>
              <w:rPr>
                <w:b/>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5,261.32</w:t>
            </w:r>
            <w:r>
              <w:rPr>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5,261.32</w:t>
            </w: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其他交通运输支出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37.42</w:t>
            </w:r>
            <w:r>
              <w:rPr>
                <w:b/>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37.42</w:t>
            </w:r>
            <w:r>
              <w:rPr>
                <w:b/>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2149901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公共交通运营补助</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37.42</w:t>
            </w:r>
            <w:r>
              <w:rPr>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37.42</w:t>
            </w: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9.94</w:t>
            </w:r>
            <w:r>
              <w:rPr>
                <w:b/>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9.94</w:t>
            </w:r>
            <w:r>
              <w:rPr>
                <w:b/>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9.94</w:t>
            </w:r>
            <w:r>
              <w:rPr>
                <w:b/>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9.94</w:t>
            </w:r>
            <w:r>
              <w:rPr>
                <w:b/>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9.94</w:t>
            </w:r>
            <w:r>
              <w:rPr>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9.94</w:t>
            </w: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page"/>
      </w:r>
    </w:p>
    <w:tbl>
      <w:tblPr>
        <w:tblStyle w:val="7"/>
        <w:tblW w:w="10803" w:type="dxa"/>
        <w:tblInd w:w="0" w:type="dxa"/>
        <w:tblLayout w:type="fixed"/>
        <w:tblCellMar>
          <w:top w:w="0" w:type="dxa"/>
          <w:left w:w="0" w:type="dxa"/>
          <w:bottom w:w="0" w:type="dxa"/>
          <w:right w:w="0" w:type="dxa"/>
        </w:tblCellMar>
      </w:tblPr>
      <w:tblGrid>
        <w:gridCol w:w="1637"/>
        <w:gridCol w:w="3630"/>
        <w:gridCol w:w="937"/>
        <w:gridCol w:w="879"/>
        <w:gridCol w:w="938"/>
        <w:gridCol w:w="866"/>
        <w:gridCol w:w="886"/>
        <w:gridCol w:w="1030"/>
      </w:tblGrid>
      <w:tr>
        <w:tblPrEx>
          <w:tblLayout w:type="fixed"/>
          <w:tblCellMar>
            <w:top w:w="0" w:type="dxa"/>
            <w:left w:w="0" w:type="dxa"/>
            <w:bottom w:w="0" w:type="dxa"/>
            <w:right w:w="0" w:type="dxa"/>
          </w:tblCellMar>
        </w:tblPrEx>
        <w:trPr>
          <w:trHeight w:val="654" w:hRule="atLeast"/>
        </w:trPr>
        <w:tc>
          <w:tcPr>
            <w:tcW w:w="10803"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204"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重庆市荣昌区交通局（本级） </w:t>
            </w:r>
          </w:p>
        </w:tc>
        <w:tc>
          <w:tcPr>
            <w:tcW w:w="8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3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8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3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20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3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8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3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2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0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701"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3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2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9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9,260.88</w:t>
            </w:r>
            <w:r>
              <w:rPr>
                <w:b/>
                <w:color w:val="000000"/>
                <w:sz w:val="20"/>
              </w:rPr>
              <w:t xml:space="preserve"> </w:t>
            </w:r>
          </w:p>
        </w:tc>
        <w:tc>
          <w:tcPr>
            <w:tcW w:w="8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414.09</w:t>
            </w:r>
            <w:r>
              <w:rPr>
                <w:b/>
                <w:color w:val="000000"/>
                <w:sz w:val="20"/>
              </w:rPr>
              <w:t xml:space="preserve"> </w:t>
            </w:r>
          </w:p>
        </w:tc>
        <w:tc>
          <w:tcPr>
            <w:tcW w:w="9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8,846.80</w:t>
            </w:r>
            <w:r>
              <w:rPr>
                <w:b/>
                <w:color w:val="000000"/>
                <w:sz w:val="20"/>
              </w:rPr>
              <w:t xml:space="preserve"> </w:t>
            </w:r>
          </w:p>
        </w:tc>
        <w:tc>
          <w:tcPr>
            <w:tcW w:w="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8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4.05</w:t>
            </w:r>
            <w:r>
              <w:rPr>
                <w:b/>
                <w:color w:val="000000"/>
                <w:sz w:val="20"/>
              </w:rPr>
              <w:t xml:space="preserve"> </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4.05</w:t>
            </w:r>
            <w:r>
              <w:rPr>
                <w:b/>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4.05</w:t>
            </w:r>
            <w:r>
              <w:rPr>
                <w:b/>
                <w:color w:val="000000"/>
                <w:sz w:val="20"/>
              </w:rPr>
              <w:t xml:space="preserve"> </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4.05</w:t>
            </w:r>
            <w:r>
              <w:rPr>
                <w:b/>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4.05</w:t>
            </w:r>
            <w:r>
              <w:rPr>
                <w:color w:val="000000"/>
                <w:sz w:val="20"/>
              </w:rPr>
              <w:t xml:space="preserve"> </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4.05</w:t>
            </w: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1.69</w:t>
            </w:r>
            <w:r>
              <w:rPr>
                <w:b/>
                <w:color w:val="000000"/>
                <w:sz w:val="20"/>
              </w:rPr>
              <w:t xml:space="preserve"> </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1.69</w:t>
            </w:r>
            <w:r>
              <w:rPr>
                <w:b/>
                <w:color w:val="000000"/>
                <w:sz w:val="20"/>
              </w:rPr>
              <w:t xml:space="preserve">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1.69</w:t>
            </w:r>
            <w:r>
              <w:rPr>
                <w:b/>
                <w:color w:val="000000"/>
                <w:sz w:val="20"/>
              </w:rPr>
              <w:t xml:space="preserve"> </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1.69</w:t>
            </w:r>
            <w:r>
              <w:rPr>
                <w:b/>
                <w:color w:val="000000"/>
                <w:sz w:val="20"/>
              </w:rPr>
              <w:t xml:space="preserve">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1.69</w:t>
            </w:r>
            <w:r>
              <w:rPr>
                <w:color w:val="000000"/>
                <w:sz w:val="20"/>
              </w:rPr>
              <w:t xml:space="preserve"> </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1.69</w:t>
            </w:r>
            <w:r>
              <w:rPr>
                <w:color w:val="000000"/>
                <w:sz w:val="20"/>
              </w:rPr>
              <w:t xml:space="preserve">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124.70</w:t>
            </w:r>
            <w:r>
              <w:rPr>
                <w:b/>
                <w:color w:val="000000"/>
                <w:sz w:val="20"/>
              </w:rPr>
              <w:t xml:space="preserve"> </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124.70</w:t>
            </w:r>
            <w:r>
              <w:rPr>
                <w:b/>
                <w:color w:val="000000"/>
                <w:sz w:val="20"/>
              </w:rPr>
              <w:t xml:space="preserve">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124.70</w:t>
            </w:r>
            <w:r>
              <w:rPr>
                <w:b/>
                <w:color w:val="000000"/>
                <w:sz w:val="20"/>
              </w:rPr>
              <w:t xml:space="preserve"> </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124.70</w:t>
            </w:r>
            <w:r>
              <w:rPr>
                <w:b/>
                <w:color w:val="000000"/>
                <w:sz w:val="20"/>
              </w:rPr>
              <w:t xml:space="preserve">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35.84</w:t>
            </w:r>
            <w:r>
              <w:rPr>
                <w:color w:val="000000"/>
                <w:sz w:val="20"/>
              </w:rPr>
              <w:t xml:space="preserve"> </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35.84</w:t>
            </w:r>
            <w:r>
              <w:rPr>
                <w:color w:val="000000"/>
                <w:sz w:val="20"/>
              </w:rPr>
              <w:t xml:space="preserve">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32.97</w:t>
            </w:r>
            <w:r>
              <w:rPr>
                <w:color w:val="000000"/>
                <w:sz w:val="20"/>
              </w:rPr>
              <w:t xml:space="preserve"> </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32.97</w:t>
            </w:r>
            <w:r>
              <w:rPr>
                <w:color w:val="000000"/>
                <w:sz w:val="20"/>
              </w:rPr>
              <w:t xml:space="preserve">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55.88</w:t>
            </w:r>
            <w:r>
              <w:rPr>
                <w:color w:val="000000"/>
                <w:sz w:val="20"/>
              </w:rPr>
              <w:t xml:space="preserve"> </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55.88</w:t>
            </w:r>
            <w:r>
              <w:rPr>
                <w:color w:val="000000"/>
                <w:sz w:val="20"/>
              </w:rPr>
              <w:t xml:space="preserve">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77.73</w:t>
            </w:r>
            <w:r>
              <w:rPr>
                <w:b/>
                <w:color w:val="000000"/>
                <w:sz w:val="20"/>
              </w:rPr>
              <w:t xml:space="preserve"> </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17.73</w:t>
            </w:r>
            <w:r>
              <w:rPr>
                <w:b/>
                <w:color w:val="000000"/>
                <w:sz w:val="20"/>
              </w:rPr>
              <w:t xml:space="preserve">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60.00</w:t>
            </w:r>
            <w:r>
              <w:rPr>
                <w:b/>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60.00</w:t>
            </w:r>
            <w:r>
              <w:rPr>
                <w:b/>
                <w:color w:val="000000"/>
                <w:sz w:val="20"/>
              </w:rPr>
              <w:t xml:space="preserve"> </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60.00</w:t>
            </w:r>
            <w:r>
              <w:rPr>
                <w:b/>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60.00</w:t>
            </w:r>
            <w:r>
              <w:rPr>
                <w:color w:val="000000"/>
                <w:sz w:val="20"/>
              </w:rPr>
              <w:t xml:space="preserve"> </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60.00</w:t>
            </w: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17.73</w:t>
            </w:r>
            <w:r>
              <w:rPr>
                <w:b/>
                <w:color w:val="000000"/>
                <w:sz w:val="20"/>
              </w:rPr>
              <w:t xml:space="preserve"> </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17.73</w:t>
            </w:r>
            <w:r>
              <w:rPr>
                <w:b/>
                <w:color w:val="000000"/>
                <w:sz w:val="20"/>
              </w:rPr>
              <w:t xml:space="preserve">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9.55</w:t>
            </w:r>
            <w:r>
              <w:rPr>
                <w:color w:val="000000"/>
                <w:sz w:val="20"/>
              </w:rPr>
              <w:t xml:space="preserve"> </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9.55</w:t>
            </w:r>
            <w:r>
              <w:rPr>
                <w:color w:val="000000"/>
                <w:sz w:val="20"/>
              </w:rPr>
              <w:t xml:space="preserve">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4.50</w:t>
            </w:r>
            <w:r>
              <w:rPr>
                <w:color w:val="000000"/>
                <w:sz w:val="20"/>
              </w:rPr>
              <w:t xml:space="preserve"> </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4.50</w:t>
            </w:r>
            <w:r>
              <w:rPr>
                <w:color w:val="000000"/>
                <w:sz w:val="20"/>
              </w:rPr>
              <w:t xml:space="preserve">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3.68</w:t>
            </w:r>
            <w:r>
              <w:rPr>
                <w:color w:val="000000"/>
                <w:sz w:val="20"/>
              </w:rPr>
              <w:t xml:space="preserve"> </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3.68</w:t>
            </w:r>
            <w:r>
              <w:rPr>
                <w:color w:val="000000"/>
                <w:sz w:val="20"/>
              </w:rPr>
              <w:t xml:space="preserve">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425.00</w:t>
            </w:r>
            <w:r>
              <w:rPr>
                <w:b/>
                <w:color w:val="000000"/>
                <w:sz w:val="20"/>
              </w:rPr>
              <w:t xml:space="preserve"> </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425.00</w:t>
            </w:r>
            <w:r>
              <w:rPr>
                <w:b/>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其他节能环保支出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425.00</w:t>
            </w:r>
            <w:r>
              <w:rPr>
                <w:b/>
                <w:color w:val="000000"/>
                <w:sz w:val="20"/>
              </w:rPr>
              <w:t xml:space="preserve"> </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425.00</w:t>
            </w:r>
            <w:r>
              <w:rPr>
                <w:b/>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2119999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其他节能环保支出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425.00</w:t>
            </w:r>
            <w:r>
              <w:rPr>
                <w:color w:val="000000"/>
                <w:sz w:val="20"/>
              </w:rPr>
              <w:t xml:space="preserve"> </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425.00</w:t>
            </w: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301.88</w:t>
            </w:r>
            <w:r>
              <w:rPr>
                <w:b/>
                <w:color w:val="000000"/>
                <w:sz w:val="20"/>
              </w:rPr>
              <w:t xml:space="preserve"> </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301.88</w:t>
            </w:r>
            <w:r>
              <w:rPr>
                <w:b/>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301.88</w:t>
            </w:r>
            <w:r>
              <w:rPr>
                <w:b/>
                <w:color w:val="000000"/>
                <w:sz w:val="20"/>
              </w:rPr>
              <w:t xml:space="preserve"> </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301.88</w:t>
            </w:r>
            <w:r>
              <w:rPr>
                <w:b/>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301.88</w:t>
            </w:r>
            <w:r>
              <w:rPr>
                <w:color w:val="000000"/>
                <w:sz w:val="20"/>
              </w:rPr>
              <w:t xml:space="preserve"> </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301.88</w:t>
            </w: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242.56</w:t>
            </w:r>
            <w:r>
              <w:rPr>
                <w:b/>
                <w:color w:val="000000"/>
                <w:sz w:val="20"/>
              </w:rPr>
              <w:t xml:space="preserve"> </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242.56</w:t>
            </w:r>
            <w:r>
              <w:rPr>
                <w:b/>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238.23</w:t>
            </w:r>
            <w:r>
              <w:rPr>
                <w:b/>
                <w:color w:val="000000"/>
                <w:sz w:val="20"/>
              </w:rPr>
              <w:t xml:space="preserve"> </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238.23</w:t>
            </w:r>
            <w:r>
              <w:rPr>
                <w:b/>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水利工程建设</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238.23</w:t>
            </w:r>
            <w:r>
              <w:rPr>
                <w:color w:val="000000"/>
                <w:sz w:val="20"/>
              </w:rPr>
              <w:t xml:space="preserve"> </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238.23</w:t>
            </w: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4.33</w:t>
            </w:r>
            <w:r>
              <w:rPr>
                <w:b/>
                <w:color w:val="000000"/>
                <w:sz w:val="20"/>
              </w:rPr>
              <w:t xml:space="preserve"> </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4.33</w:t>
            </w:r>
            <w:r>
              <w:rPr>
                <w:b/>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4.33</w:t>
            </w:r>
            <w:r>
              <w:rPr>
                <w:color w:val="000000"/>
                <w:sz w:val="20"/>
              </w:rPr>
              <w:t xml:space="preserve"> </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4.33</w:t>
            </w: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8,073.35</w:t>
            </w:r>
            <w:r>
              <w:rPr>
                <w:b/>
                <w:color w:val="000000"/>
                <w:sz w:val="20"/>
              </w:rPr>
              <w:t xml:space="preserve"> </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260.04</w:t>
            </w:r>
            <w:r>
              <w:rPr>
                <w:b/>
                <w:color w:val="000000"/>
                <w:sz w:val="20"/>
              </w:rPr>
              <w:t xml:space="preserve">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7,813.31</w:t>
            </w:r>
            <w:r>
              <w:rPr>
                <w:b/>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2,774.61</w:t>
            </w:r>
            <w:r>
              <w:rPr>
                <w:b/>
                <w:color w:val="000000"/>
                <w:sz w:val="20"/>
              </w:rPr>
              <w:t xml:space="preserve"> </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260.04</w:t>
            </w:r>
            <w:r>
              <w:rPr>
                <w:b/>
                <w:color w:val="000000"/>
                <w:sz w:val="20"/>
              </w:rPr>
              <w:t xml:space="preserve">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2,514.57</w:t>
            </w:r>
            <w:r>
              <w:rPr>
                <w:b/>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260.04</w:t>
            </w:r>
            <w:r>
              <w:rPr>
                <w:color w:val="000000"/>
                <w:sz w:val="20"/>
              </w:rPr>
              <w:t xml:space="preserve"> </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260.04</w:t>
            </w:r>
            <w:r>
              <w:rPr>
                <w:color w:val="000000"/>
                <w:sz w:val="20"/>
              </w:rPr>
              <w:t xml:space="preserve">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1,922.23</w:t>
            </w:r>
            <w:r>
              <w:rPr>
                <w:color w:val="000000"/>
                <w:sz w:val="20"/>
              </w:rPr>
              <w:t xml:space="preserve"> </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1,922.23</w:t>
            </w: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公路运输管理</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50.56</w:t>
            </w:r>
            <w:r>
              <w:rPr>
                <w:color w:val="000000"/>
                <w:sz w:val="20"/>
              </w:rPr>
              <w:t xml:space="preserve"> </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50.56</w:t>
            </w: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541.79</w:t>
            </w:r>
            <w:r>
              <w:rPr>
                <w:color w:val="000000"/>
                <w:sz w:val="20"/>
              </w:rPr>
              <w:t xml:space="preserve"> </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541.79</w:t>
            </w: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5,261.32</w:t>
            </w:r>
            <w:r>
              <w:rPr>
                <w:b/>
                <w:color w:val="000000"/>
                <w:sz w:val="20"/>
              </w:rPr>
              <w:t xml:space="preserve"> </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5,261.32</w:t>
            </w:r>
            <w:r>
              <w:rPr>
                <w:b/>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5,261.32</w:t>
            </w:r>
            <w:r>
              <w:rPr>
                <w:color w:val="000000"/>
                <w:sz w:val="20"/>
              </w:rPr>
              <w:t xml:space="preserve"> </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5,261.32</w:t>
            </w: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其他交通运输支出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37.42</w:t>
            </w:r>
            <w:r>
              <w:rPr>
                <w:b/>
                <w:color w:val="000000"/>
                <w:sz w:val="20"/>
              </w:rPr>
              <w:t xml:space="preserve"> </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37.42</w:t>
            </w:r>
            <w:r>
              <w:rPr>
                <w:b/>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2149901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公共交通运营补助</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37.42</w:t>
            </w:r>
            <w:r>
              <w:rPr>
                <w:color w:val="000000"/>
                <w:sz w:val="20"/>
              </w:rPr>
              <w:t xml:space="preserve"> </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37.42</w:t>
            </w: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9.94</w:t>
            </w:r>
            <w:r>
              <w:rPr>
                <w:b/>
                <w:color w:val="000000"/>
                <w:sz w:val="20"/>
              </w:rPr>
              <w:t xml:space="preserve"> </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9.94</w:t>
            </w:r>
            <w:r>
              <w:rPr>
                <w:b/>
                <w:color w:val="000000"/>
                <w:sz w:val="20"/>
              </w:rPr>
              <w:t xml:space="preserve">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9.94</w:t>
            </w:r>
            <w:r>
              <w:rPr>
                <w:b/>
                <w:color w:val="000000"/>
                <w:sz w:val="20"/>
              </w:rPr>
              <w:t xml:space="preserve"> </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9.94</w:t>
            </w:r>
            <w:r>
              <w:rPr>
                <w:b/>
                <w:color w:val="000000"/>
                <w:sz w:val="20"/>
              </w:rPr>
              <w:t xml:space="preserve">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9.94</w:t>
            </w:r>
            <w:r>
              <w:rPr>
                <w:color w:val="000000"/>
                <w:sz w:val="20"/>
              </w:rPr>
              <w:t xml:space="preserve"> </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9.94</w:t>
            </w:r>
            <w:r>
              <w:rPr>
                <w:color w:val="000000"/>
                <w:sz w:val="20"/>
              </w:rPr>
              <w:t xml:space="preserve">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r>
        <w:rPr>
          <w:rFonts w:cs="宋体"/>
          <w:sz w:val="21"/>
          <w:szCs w:val="21"/>
        </w:rPr>
        <w:br w:type="page"/>
      </w:r>
    </w:p>
    <w:p>
      <w:pPr>
        <w:rPr>
          <w:rFonts w:hint="default" w:cs="宋体"/>
          <w:sz w:val="21"/>
          <w:szCs w:val="21"/>
        </w:rPr>
      </w:pPr>
    </w:p>
    <w:tbl>
      <w:tblPr>
        <w:tblStyle w:val="7"/>
        <w:tblW w:w="10803" w:type="dxa"/>
        <w:tblInd w:w="0" w:type="dxa"/>
        <w:tblLayout w:type="fixed"/>
        <w:tblCellMar>
          <w:top w:w="0" w:type="dxa"/>
          <w:left w:w="0" w:type="dxa"/>
          <w:bottom w:w="0" w:type="dxa"/>
          <w:right w:w="0" w:type="dxa"/>
        </w:tblCellMar>
      </w:tblPr>
      <w:tblGrid>
        <w:gridCol w:w="2661"/>
        <w:gridCol w:w="923"/>
        <w:gridCol w:w="2850"/>
        <w:gridCol w:w="1050"/>
        <w:gridCol w:w="1050"/>
        <w:gridCol w:w="1050"/>
        <w:gridCol w:w="1219"/>
      </w:tblGrid>
      <w:tr>
        <w:tblPrEx>
          <w:tblLayout w:type="fixed"/>
          <w:tblCellMar>
            <w:top w:w="0" w:type="dxa"/>
            <w:left w:w="0" w:type="dxa"/>
            <w:bottom w:w="0" w:type="dxa"/>
            <w:right w:w="0" w:type="dxa"/>
          </w:tblCellMar>
        </w:tblPrEx>
        <w:trPr>
          <w:trHeight w:val="90" w:hRule="atLeast"/>
        </w:trPr>
        <w:tc>
          <w:tcPr>
            <w:tcW w:w="10803"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6434"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重庆市荣昌区交通局（本级）</w:t>
            </w:r>
          </w:p>
        </w:tc>
        <w:tc>
          <w:tcPr>
            <w:tcW w:w="10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219"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6434"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21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358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721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6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28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4369"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6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8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8,748.51</w:t>
            </w:r>
            <w:r>
              <w:rPr>
                <w:color w:val="000000"/>
                <w:sz w:val="18"/>
              </w:rPr>
              <w:t xml:space="preserve"> </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4.05</w:t>
            </w: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4.05</w:t>
            </w: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301.88</w:t>
            </w:r>
            <w:r>
              <w:rPr>
                <w:color w:val="000000"/>
                <w:sz w:val="18"/>
              </w:rPr>
              <w:t xml:space="preserve"> </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1.69</w:t>
            </w: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1.69</w:t>
            </w: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124.70</w:t>
            </w: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124.70</w:t>
            </w: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77.73</w:t>
            </w: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77.73</w:t>
            </w: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425.00</w:t>
            </w: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425.00</w:t>
            </w: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301.88</w:t>
            </w: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301.88</w:t>
            </w:r>
            <w:r>
              <w:rPr>
                <w:color w:val="000000"/>
                <w:sz w:val="18"/>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242.56</w:t>
            </w: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242.56</w:t>
            </w: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7,862.86</w:t>
            </w: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7,862.86</w:t>
            </w: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9.94</w:t>
            </w: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9.94</w:t>
            </w: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9,050.39</w:t>
            </w:r>
            <w:r>
              <w:rPr>
                <w:color w:val="000000"/>
                <w:sz w:val="18"/>
              </w:rPr>
              <w:t xml:space="preserve"> </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9,050.39</w:t>
            </w: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8,748.51</w:t>
            </w: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301.88</w:t>
            </w:r>
            <w:r>
              <w:rPr>
                <w:color w:val="000000"/>
                <w:sz w:val="18"/>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9,050.39</w:t>
            </w:r>
            <w:r>
              <w:rPr>
                <w:color w:val="000000"/>
                <w:sz w:val="18"/>
              </w:rPr>
              <w:t xml:space="preserve"> </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9,050.39</w:t>
            </w: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8,748.51</w:t>
            </w:r>
            <w:r>
              <w:rPr>
                <w:color w:val="000000"/>
                <w:sz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301.88</w:t>
            </w:r>
            <w:r>
              <w:rPr>
                <w:color w:val="000000"/>
                <w:sz w:val="18"/>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0803" w:type="dxa"/>
        <w:tblInd w:w="0" w:type="dxa"/>
        <w:tblLayout w:type="fixed"/>
        <w:tblCellMar>
          <w:top w:w="0" w:type="dxa"/>
          <w:left w:w="0" w:type="dxa"/>
          <w:bottom w:w="0" w:type="dxa"/>
          <w:right w:w="0" w:type="dxa"/>
        </w:tblCellMar>
      </w:tblPr>
      <w:tblGrid>
        <w:gridCol w:w="1022"/>
        <w:gridCol w:w="3630"/>
        <w:gridCol w:w="2046"/>
        <w:gridCol w:w="2046"/>
        <w:gridCol w:w="2059"/>
      </w:tblGrid>
      <w:tr>
        <w:tblPrEx>
          <w:tblLayout w:type="fixed"/>
          <w:tblCellMar>
            <w:top w:w="0" w:type="dxa"/>
            <w:left w:w="0" w:type="dxa"/>
            <w:bottom w:w="0" w:type="dxa"/>
            <w:right w:w="0" w:type="dxa"/>
          </w:tblCellMar>
        </w:tblPrEx>
        <w:trPr>
          <w:trHeight w:val="510" w:hRule="atLeast"/>
        </w:trPr>
        <w:tc>
          <w:tcPr>
            <w:tcW w:w="10803"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669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重庆市荣昌区交通局（本级）</w:t>
            </w:r>
          </w:p>
        </w:tc>
        <w:tc>
          <w:tcPr>
            <w:tcW w:w="204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05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669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04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05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46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615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02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20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0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205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0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0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0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0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0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0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0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0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465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8,748.51</w:t>
            </w:r>
            <w:r>
              <w:rPr>
                <w:b/>
                <w:color w:val="000000"/>
                <w:sz w:val="20"/>
              </w:rPr>
              <w:t xml:space="preserve"> </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414.09</w:t>
            </w:r>
            <w:r>
              <w:rPr>
                <w:b/>
                <w:color w:val="000000"/>
                <w:sz w:val="20"/>
              </w:rPr>
              <w:t xml:space="preserve"> </w:t>
            </w:r>
          </w:p>
        </w:tc>
        <w:tc>
          <w:tcPr>
            <w:tcW w:w="2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8,334.43</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4.05</w:t>
            </w:r>
            <w:r>
              <w:rPr>
                <w:b/>
                <w:color w:val="000000"/>
                <w:sz w:val="20"/>
              </w:rPr>
              <w:t xml:space="preserve"> </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2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4.05</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4.05</w:t>
            </w:r>
            <w:r>
              <w:rPr>
                <w:b/>
                <w:color w:val="000000"/>
                <w:sz w:val="20"/>
              </w:rPr>
              <w:t xml:space="preserve"> </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2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4.05</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4.05</w:t>
            </w:r>
            <w:r>
              <w:rPr>
                <w:color w:val="000000"/>
                <w:sz w:val="20"/>
              </w:rPr>
              <w:t xml:space="preserve"> </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2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4.05</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1.69</w:t>
            </w:r>
            <w:r>
              <w:rPr>
                <w:b/>
                <w:color w:val="000000"/>
                <w:sz w:val="20"/>
              </w:rPr>
              <w:t xml:space="preserve"> </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1.69</w:t>
            </w:r>
            <w:r>
              <w:rPr>
                <w:b/>
                <w:color w:val="000000"/>
                <w:sz w:val="20"/>
              </w:rPr>
              <w:t xml:space="preserve"> </w:t>
            </w:r>
          </w:p>
        </w:tc>
        <w:tc>
          <w:tcPr>
            <w:tcW w:w="2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1.69</w:t>
            </w:r>
            <w:r>
              <w:rPr>
                <w:b/>
                <w:color w:val="000000"/>
                <w:sz w:val="20"/>
              </w:rPr>
              <w:t xml:space="preserve"> </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1.69</w:t>
            </w:r>
            <w:r>
              <w:rPr>
                <w:b/>
                <w:color w:val="000000"/>
                <w:sz w:val="20"/>
              </w:rPr>
              <w:t xml:space="preserve"> </w:t>
            </w:r>
          </w:p>
        </w:tc>
        <w:tc>
          <w:tcPr>
            <w:tcW w:w="2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1.69</w:t>
            </w:r>
            <w:r>
              <w:rPr>
                <w:color w:val="000000"/>
                <w:sz w:val="20"/>
              </w:rPr>
              <w:t xml:space="preserve"> </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1.69</w:t>
            </w:r>
            <w:r>
              <w:rPr>
                <w:color w:val="000000"/>
                <w:sz w:val="20"/>
              </w:rPr>
              <w:t xml:space="preserve"> </w:t>
            </w:r>
          </w:p>
        </w:tc>
        <w:tc>
          <w:tcPr>
            <w:tcW w:w="2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124.70</w:t>
            </w:r>
            <w:r>
              <w:rPr>
                <w:b/>
                <w:color w:val="000000"/>
                <w:sz w:val="20"/>
              </w:rPr>
              <w:t xml:space="preserve"> </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124.70</w:t>
            </w:r>
            <w:r>
              <w:rPr>
                <w:b/>
                <w:color w:val="000000"/>
                <w:sz w:val="20"/>
              </w:rPr>
              <w:t xml:space="preserve"> </w:t>
            </w:r>
          </w:p>
        </w:tc>
        <w:tc>
          <w:tcPr>
            <w:tcW w:w="2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124.70</w:t>
            </w:r>
            <w:r>
              <w:rPr>
                <w:b/>
                <w:color w:val="000000"/>
                <w:sz w:val="20"/>
              </w:rPr>
              <w:t xml:space="preserve"> </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124.70</w:t>
            </w:r>
            <w:r>
              <w:rPr>
                <w:b/>
                <w:color w:val="000000"/>
                <w:sz w:val="20"/>
              </w:rPr>
              <w:t xml:space="preserve"> </w:t>
            </w:r>
          </w:p>
        </w:tc>
        <w:tc>
          <w:tcPr>
            <w:tcW w:w="2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35.84</w:t>
            </w:r>
            <w:r>
              <w:rPr>
                <w:color w:val="000000"/>
                <w:sz w:val="20"/>
              </w:rPr>
              <w:t xml:space="preserve"> </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35.84</w:t>
            </w:r>
            <w:r>
              <w:rPr>
                <w:color w:val="000000"/>
                <w:sz w:val="20"/>
              </w:rPr>
              <w:t xml:space="preserve"> </w:t>
            </w:r>
          </w:p>
        </w:tc>
        <w:tc>
          <w:tcPr>
            <w:tcW w:w="2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32.97</w:t>
            </w:r>
            <w:r>
              <w:rPr>
                <w:color w:val="000000"/>
                <w:sz w:val="20"/>
              </w:rPr>
              <w:t xml:space="preserve"> </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32.97</w:t>
            </w:r>
            <w:r>
              <w:rPr>
                <w:color w:val="000000"/>
                <w:sz w:val="20"/>
              </w:rPr>
              <w:t xml:space="preserve"> </w:t>
            </w:r>
          </w:p>
        </w:tc>
        <w:tc>
          <w:tcPr>
            <w:tcW w:w="2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55.88</w:t>
            </w:r>
            <w:r>
              <w:rPr>
                <w:color w:val="000000"/>
                <w:sz w:val="20"/>
              </w:rPr>
              <w:t xml:space="preserve"> </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55.88</w:t>
            </w:r>
            <w:r>
              <w:rPr>
                <w:color w:val="000000"/>
                <w:sz w:val="20"/>
              </w:rPr>
              <w:t xml:space="preserve"> </w:t>
            </w:r>
          </w:p>
        </w:tc>
        <w:tc>
          <w:tcPr>
            <w:tcW w:w="2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77.73</w:t>
            </w:r>
            <w:r>
              <w:rPr>
                <w:b/>
                <w:color w:val="000000"/>
                <w:sz w:val="20"/>
              </w:rPr>
              <w:t xml:space="preserve"> </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17.73</w:t>
            </w:r>
            <w:r>
              <w:rPr>
                <w:b/>
                <w:color w:val="000000"/>
                <w:sz w:val="20"/>
              </w:rPr>
              <w:t xml:space="preserve"> </w:t>
            </w:r>
          </w:p>
        </w:tc>
        <w:tc>
          <w:tcPr>
            <w:tcW w:w="2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60.00</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60.00</w:t>
            </w:r>
            <w:r>
              <w:rPr>
                <w:b/>
                <w:color w:val="000000"/>
                <w:sz w:val="20"/>
              </w:rPr>
              <w:t xml:space="preserve"> </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2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60.00</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60.00</w:t>
            </w:r>
            <w:r>
              <w:rPr>
                <w:color w:val="000000"/>
                <w:sz w:val="20"/>
              </w:rPr>
              <w:t xml:space="preserve"> </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2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60.00</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17.73</w:t>
            </w:r>
            <w:r>
              <w:rPr>
                <w:b/>
                <w:color w:val="000000"/>
                <w:sz w:val="20"/>
              </w:rPr>
              <w:t xml:space="preserve"> </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17.73</w:t>
            </w:r>
            <w:r>
              <w:rPr>
                <w:b/>
                <w:color w:val="000000"/>
                <w:sz w:val="20"/>
              </w:rPr>
              <w:t xml:space="preserve"> </w:t>
            </w:r>
          </w:p>
        </w:tc>
        <w:tc>
          <w:tcPr>
            <w:tcW w:w="2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9.55</w:t>
            </w:r>
            <w:r>
              <w:rPr>
                <w:color w:val="000000"/>
                <w:sz w:val="20"/>
              </w:rPr>
              <w:t xml:space="preserve"> </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9.55</w:t>
            </w:r>
            <w:r>
              <w:rPr>
                <w:color w:val="000000"/>
                <w:sz w:val="20"/>
              </w:rPr>
              <w:t xml:space="preserve"> </w:t>
            </w:r>
          </w:p>
        </w:tc>
        <w:tc>
          <w:tcPr>
            <w:tcW w:w="2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4.50</w:t>
            </w:r>
            <w:r>
              <w:rPr>
                <w:color w:val="000000"/>
                <w:sz w:val="20"/>
              </w:rPr>
              <w:t xml:space="preserve"> </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4.50</w:t>
            </w:r>
            <w:r>
              <w:rPr>
                <w:color w:val="000000"/>
                <w:sz w:val="20"/>
              </w:rPr>
              <w:t xml:space="preserve"> </w:t>
            </w:r>
          </w:p>
        </w:tc>
        <w:tc>
          <w:tcPr>
            <w:tcW w:w="2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3.68</w:t>
            </w:r>
            <w:r>
              <w:rPr>
                <w:color w:val="000000"/>
                <w:sz w:val="20"/>
              </w:rPr>
              <w:t xml:space="preserve"> </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3.68</w:t>
            </w:r>
            <w:r>
              <w:rPr>
                <w:color w:val="000000"/>
                <w:sz w:val="20"/>
              </w:rPr>
              <w:t xml:space="preserve"> </w:t>
            </w:r>
          </w:p>
        </w:tc>
        <w:tc>
          <w:tcPr>
            <w:tcW w:w="2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425.00</w:t>
            </w:r>
            <w:r>
              <w:rPr>
                <w:b/>
                <w:color w:val="000000"/>
                <w:sz w:val="20"/>
              </w:rPr>
              <w:t xml:space="preserve"> </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2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425.00</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其他节能环保支出</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425.00</w:t>
            </w:r>
            <w:r>
              <w:rPr>
                <w:b/>
                <w:color w:val="000000"/>
                <w:sz w:val="20"/>
              </w:rPr>
              <w:t xml:space="preserve"> </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2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425.00</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2119999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其他节能环保支出</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425.00</w:t>
            </w:r>
            <w:r>
              <w:rPr>
                <w:color w:val="000000"/>
                <w:sz w:val="20"/>
              </w:rPr>
              <w:t xml:space="preserve"> </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2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425.00</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242.56</w:t>
            </w:r>
            <w:r>
              <w:rPr>
                <w:b/>
                <w:color w:val="000000"/>
                <w:sz w:val="20"/>
              </w:rPr>
              <w:t xml:space="preserve"> </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2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242.56</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238.23</w:t>
            </w:r>
            <w:r>
              <w:rPr>
                <w:b/>
                <w:color w:val="000000"/>
                <w:sz w:val="20"/>
              </w:rPr>
              <w:t xml:space="preserve"> </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2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238.23</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水利工程建设</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238.23</w:t>
            </w:r>
            <w:r>
              <w:rPr>
                <w:color w:val="000000"/>
                <w:sz w:val="20"/>
              </w:rPr>
              <w:t xml:space="preserve"> </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2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238.23</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4.33</w:t>
            </w:r>
            <w:r>
              <w:rPr>
                <w:b/>
                <w:color w:val="000000"/>
                <w:sz w:val="20"/>
              </w:rPr>
              <w:t xml:space="preserve"> </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2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4.33</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4.33</w:t>
            </w:r>
            <w:r>
              <w:rPr>
                <w:color w:val="000000"/>
                <w:sz w:val="20"/>
              </w:rPr>
              <w:t xml:space="preserve"> </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2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4.33</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7,862.86</w:t>
            </w:r>
            <w:r>
              <w:rPr>
                <w:b/>
                <w:color w:val="000000"/>
                <w:sz w:val="20"/>
              </w:rPr>
              <w:t xml:space="preserve"> </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260.04</w:t>
            </w:r>
            <w:r>
              <w:rPr>
                <w:b/>
                <w:color w:val="000000"/>
                <w:sz w:val="20"/>
              </w:rPr>
              <w:t xml:space="preserve"> </w:t>
            </w:r>
          </w:p>
        </w:tc>
        <w:tc>
          <w:tcPr>
            <w:tcW w:w="2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7,602.82</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2,564.12</w:t>
            </w:r>
            <w:r>
              <w:rPr>
                <w:b/>
                <w:color w:val="000000"/>
                <w:sz w:val="20"/>
              </w:rPr>
              <w:t xml:space="preserve"> </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260.04</w:t>
            </w:r>
            <w:r>
              <w:rPr>
                <w:b/>
                <w:color w:val="000000"/>
                <w:sz w:val="20"/>
              </w:rPr>
              <w:t xml:space="preserve"> </w:t>
            </w:r>
          </w:p>
        </w:tc>
        <w:tc>
          <w:tcPr>
            <w:tcW w:w="2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2,304.08</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260.04</w:t>
            </w:r>
            <w:r>
              <w:rPr>
                <w:color w:val="000000"/>
                <w:sz w:val="20"/>
              </w:rPr>
              <w:t xml:space="preserve"> </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260.04</w:t>
            </w:r>
            <w:r>
              <w:rPr>
                <w:color w:val="000000"/>
                <w:sz w:val="20"/>
              </w:rPr>
              <w:t xml:space="preserve"> </w:t>
            </w:r>
          </w:p>
        </w:tc>
        <w:tc>
          <w:tcPr>
            <w:tcW w:w="2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1,922.23</w:t>
            </w:r>
            <w:r>
              <w:rPr>
                <w:color w:val="000000"/>
                <w:sz w:val="20"/>
              </w:rPr>
              <w:t xml:space="preserve"> </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2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1,922.23</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公路运输管理</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50.56</w:t>
            </w:r>
            <w:r>
              <w:rPr>
                <w:color w:val="000000"/>
                <w:sz w:val="20"/>
              </w:rPr>
              <w:t xml:space="preserve"> </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2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50.56</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331.30</w:t>
            </w:r>
            <w:r>
              <w:rPr>
                <w:color w:val="000000"/>
                <w:sz w:val="20"/>
              </w:rPr>
              <w:t xml:space="preserve"> </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2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331.30</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5,261.32</w:t>
            </w:r>
            <w:r>
              <w:rPr>
                <w:b/>
                <w:color w:val="000000"/>
                <w:sz w:val="20"/>
              </w:rPr>
              <w:t xml:space="preserve"> </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2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5,261.32</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5,261.32</w:t>
            </w:r>
            <w:r>
              <w:rPr>
                <w:color w:val="000000"/>
                <w:sz w:val="20"/>
              </w:rPr>
              <w:t xml:space="preserve"> </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2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5,261.32</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其他交通运输支出</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37.42</w:t>
            </w:r>
            <w:r>
              <w:rPr>
                <w:b/>
                <w:color w:val="000000"/>
                <w:sz w:val="20"/>
              </w:rPr>
              <w:t xml:space="preserve"> </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2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37.42</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2149901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公共交通运营补助</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37.42</w:t>
            </w:r>
            <w:r>
              <w:rPr>
                <w:color w:val="000000"/>
                <w:sz w:val="20"/>
              </w:rPr>
              <w:t xml:space="preserve"> </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2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37.42</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9.94</w:t>
            </w:r>
            <w:r>
              <w:rPr>
                <w:b/>
                <w:color w:val="000000"/>
                <w:sz w:val="20"/>
              </w:rPr>
              <w:t xml:space="preserve"> </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9.94</w:t>
            </w:r>
            <w:r>
              <w:rPr>
                <w:b/>
                <w:color w:val="000000"/>
                <w:sz w:val="20"/>
              </w:rPr>
              <w:t xml:space="preserve"> </w:t>
            </w:r>
          </w:p>
        </w:tc>
        <w:tc>
          <w:tcPr>
            <w:tcW w:w="2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9.94</w:t>
            </w:r>
            <w:r>
              <w:rPr>
                <w:b/>
                <w:color w:val="000000"/>
                <w:sz w:val="20"/>
              </w:rPr>
              <w:t xml:space="preserve"> </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9.94</w:t>
            </w:r>
            <w:r>
              <w:rPr>
                <w:b/>
                <w:color w:val="000000"/>
                <w:sz w:val="20"/>
              </w:rPr>
              <w:t xml:space="preserve"> </w:t>
            </w:r>
          </w:p>
        </w:tc>
        <w:tc>
          <w:tcPr>
            <w:tcW w:w="2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9.94</w:t>
            </w:r>
            <w:r>
              <w:rPr>
                <w:color w:val="000000"/>
                <w:sz w:val="20"/>
              </w:rPr>
              <w:t xml:space="preserve"> </w:t>
            </w:r>
          </w:p>
        </w:tc>
        <w:tc>
          <w:tcPr>
            <w:tcW w:w="2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9.94</w:t>
            </w:r>
            <w:r>
              <w:rPr>
                <w:color w:val="000000"/>
                <w:sz w:val="20"/>
              </w:rPr>
              <w:t xml:space="preserve"> </w:t>
            </w:r>
          </w:p>
        </w:tc>
        <w:tc>
          <w:tcPr>
            <w:tcW w:w="2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0790" w:type="dxa"/>
        <w:tblInd w:w="0" w:type="dxa"/>
        <w:tblLayout w:type="fixed"/>
        <w:tblCellMar>
          <w:top w:w="0" w:type="dxa"/>
          <w:left w:w="0" w:type="dxa"/>
          <w:bottom w:w="0" w:type="dxa"/>
          <w:right w:w="0" w:type="dxa"/>
        </w:tblCellMar>
      </w:tblPr>
      <w:tblGrid>
        <w:gridCol w:w="582"/>
        <w:gridCol w:w="1985"/>
        <w:gridCol w:w="749"/>
        <w:gridCol w:w="587"/>
        <w:gridCol w:w="80"/>
        <w:gridCol w:w="1271"/>
        <w:gridCol w:w="429"/>
        <w:gridCol w:w="734"/>
        <w:gridCol w:w="568"/>
        <w:gridCol w:w="117"/>
        <w:gridCol w:w="2361"/>
        <w:gridCol w:w="332"/>
        <w:gridCol w:w="995"/>
      </w:tblGrid>
      <w:tr>
        <w:tblPrEx>
          <w:tblLayout w:type="fixed"/>
          <w:tblCellMar>
            <w:top w:w="0" w:type="dxa"/>
            <w:left w:w="0" w:type="dxa"/>
            <w:bottom w:w="0" w:type="dxa"/>
            <w:right w:w="0" w:type="dxa"/>
          </w:tblCellMar>
        </w:tblPrEx>
        <w:trPr>
          <w:trHeight w:val="90" w:hRule="atLeast"/>
        </w:trPr>
        <w:tc>
          <w:tcPr>
            <w:tcW w:w="10790" w:type="dxa"/>
            <w:gridSpan w:val="13"/>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903"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重庆市荣昌区交通局（本级）</w:t>
            </w:r>
          </w:p>
        </w:tc>
        <w:tc>
          <w:tcPr>
            <w:tcW w:w="1351"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63"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6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478"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327"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903"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351"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63"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6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478"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327"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3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7474" w:type="dxa"/>
            <w:gridSpan w:val="10"/>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58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8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74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667"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700"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73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685"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693"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9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58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8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7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667"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7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685"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693"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9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293.77</w:t>
            </w:r>
            <w:r>
              <w:rPr>
                <w:color w:val="000000"/>
                <w:sz w:val="18"/>
              </w:rPr>
              <w:t xml:space="preserve"> </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68.57</w:t>
            </w:r>
            <w:r>
              <w:rPr>
                <w:color w:val="000000"/>
                <w:sz w:val="18"/>
              </w:rPr>
              <w:t xml:space="preserve"> </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58.09</w:t>
            </w:r>
            <w:r>
              <w:rPr>
                <w:color w:val="000000"/>
                <w:sz w:val="18"/>
              </w:rPr>
              <w:t xml:space="preserve"> </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0.65</w:t>
            </w:r>
            <w:r>
              <w:rPr>
                <w:color w:val="000000"/>
                <w:sz w:val="18"/>
              </w:rPr>
              <w:t xml:space="preserve"> </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44.05</w:t>
            </w:r>
            <w:r>
              <w:rPr>
                <w:color w:val="000000"/>
                <w:sz w:val="18"/>
              </w:rPr>
              <w:t xml:space="preserve"> </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91.18</w:t>
            </w:r>
            <w:r>
              <w:rPr>
                <w:color w:val="000000"/>
                <w:sz w:val="18"/>
              </w:rPr>
              <w:t xml:space="preserve"> </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rPr>
              <w:t xml:space="preserve"> </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35.84</w:t>
            </w:r>
            <w:r>
              <w:rPr>
                <w:color w:val="000000"/>
                <w:sz w:val="18"/>
              </w:rPr>
              <w:t xml:space="preserve"> </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rPr>
              <w:t xml:space="preserve"> </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32.97</w:t>
            </w:r>
            <w:r>
              <w:rPr>
                <w:color w:val="000000"/>
                <w:sz w:val="18"/>
              </w:rPr>
              <w:t xml:space="preserve"> </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3.43</w:t>
            </w:r>
            <w:r>
              <w:rPr>
                <w:color w:val="000000"/>
                <w:sz w:val="18"/>
              </w:rPr>
              <w:t xml:space="preserve"> </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9.55</w:t>
            </w:r>
            <w:r>
              <w:rPr>
                <w:color w:val="000000"/>
                <w:sz w:val="18"/>
              </w:rPr>
              <w:t xml:space="preserve"> </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4.50</w:t>
            </w:r>
            <w:r>
              <w:rPr>
                <w:color w:val="000000"/>
                <w:sz w:val="18"/>
              </w:rPr>
              <w:t xml:space="preserve"> </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3.69</w:t>
            </w:r>
            <w:r>
              <w:rPr>
                <w:color w:val="000000"/>
                <w:sz w:val="18"/>
              </w:rPr>
              <w:t xml:space="preserve"> </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5.03</w:t>
            </w:r>
            <w:r>
              <w:rPr>
                <w:color w:val="000000"/>
                <w:sz w:val="18"/>
              </w:rPr>
              <w:t xml:space="preserve"> </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9.94</w:t>
            </w:r>
            <w:r>
              <w:rPr>
                <w:color w:val="000000"/>
                <w:sz w:val="18"/>
              </w:rPr>
              <w:t xml:space="preserve"> </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1.92</w:t>
            </w:r>
            <w:r>
              <w:rPr>
                <w:color w:val="000000"/>
                <w:sz w:val="18"/>
              </w:rPr>
              <w:t xml:space="preserve"> </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2.04</w:t>
            </w:r>
            <w:r>
              <w:rPr>
                <w:color w:val="000000"/>
                <w:sz w:val="18"/>
              </w:rPr>
              <w:t xml:space="preserve"> </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51.75</w:t>
            </w:r>
            <w:r>
              <w:rPr>
                <w:color w:val="000000"/>
                <w:sz w:val="18"/>
              </w:rPr>
              <w:t xml:space="preserve"> </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1.69</w:t>
            </w:r>
            <w:r>
              <w:rPr>
                <w:color w:val="000000"/>
                <w:sz w:val="18"/>
              </w:rPr>
              <w:t xml:space="preserve"> </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rPr>
              <w:t xml:space="preserve"> </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42.56</w:t>
            </w:r>
            <w:r>
              <w:rPr>
                <w:color w:val="000000"/>
                <w:sz w:val="18"/>
              </w:rPr>
              <w:t xml:space="preserve"> </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9.18</w:t>
            </w:r>
            <w:r>
              <w:rPr>
                <w:color w:val="000000"/>
                <w:sz w:val="18"/>
              </w:rPr>
              <w:t xml:space="preserve"> </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20.35</w:t>
            </w:r>
            <w:r>
              <w:rPr>
                <w:color w:val="000000"/>
                <w:sz w:val="18"/>
              </w:rPr>
              <w:t xml:space="preserve"> </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0.01</w:t>
            </w:r>
            <w:r>
              <w:rPr>
                <w:color w:val="000000"/>
                <w:sz w:val="18"/>
              </w:rPr>
              <w:t xml:space="preserve"> </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3.10</w:t>
            </w:r>
            <w:r>
              <w:rPr>
                <w:color w:val="000000"/>
                <w:sz w:val="18"/>
              </w:rPr>
              <w:t xml:space="preserve"> </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2.98</w:t>
            </w:r>
            <w:r>
              <w:rPr>
                <w:color w:val="000000"/>
                <w:sz w:val="18"/>
              </w:rPr>
              <w:t xml:space="preserve"> </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13.10</w:t>
            </w:r>
            <w:r>
              <w:rPr>
                <w:color w:val="000000"/>
                <w:sz w:val="18"/>
              </w:rPr>
              <w:t xml:space="preserve"> </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7.94</w:t>
            </w:r>
            <w:r>
              <w:rPr>
                <w:color w:val="000000"/>
                <w:sz w:val="18"/>
              </w:rPr>
              <w:t xml:space="preserve"> </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567"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74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345.52</w:t>
            </w:r>
            <w:r>
              <w:rPr>
                <w:color w:val="000000"/>
                <w:sz w:val="18"/>
              </w:rPr>
              <w:t xml:space="preserve"> </w:t>
            </w:r>
          </w:p>
        </w:tc>
        <w:tc>
          <w:tcPr>
            <w:tcW w:w="6479"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68.57</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0803" w:type="dxa"/>
        <w:tblInd w:w="0" w:type="dxa"/>
        <w:tblLayout w:type="fixed"/>
        <w:tblCellMar>
          <w:top w:w="0" w:type="dxa"/>
          <w:left w:w="0" w:type="dxa"/>
          <w:bottom w:w="0" w:type="dxa"/>
          <w:right w:w="0" w:type="dxa"/>
        </w:tblCellMar>
      </w:tblPr>
      <w:tblGrid>
        <w:gridCol w:w="1092"/>
        <w:gridCol w:w="3630"/>
        <w:gridCol w:w="992"/>
        <w:gridCol w:w="990"/>
        <w:gridCol w:w="990"/>
        <w:gridCol w:w="990"/>
        <w:gridCol w:w="1037"/>
        <w:gridCol w:w="1082"/>
      </w:tblGrid>
      <w:tr>
        <w:tblPrEx>
          <w:tblLayout w:type="fixed"/>
          <w:tblCellMar>
            <w:top w:w="0" w:type="dxa"/>
            <w:left w:w="0" w:type="dxa"/>
            <w:bottom w:w="0" w:type="dxa"/>
            <w:right w:w="0" w:type="dxa"/>
          </w:tblCellMar>
        </w:tblPrEx>
        <w:trPr>
          <w:trHeight w:val="644" w:hRule="atLeast"/>
        </w:trPr>
        <w:tc>
          <w:tcPr>
            <w:tcW w:w="10803"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5714"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重庆市荣昌区交通局（本级）</w:t>
            </w:r>
          </w:p>
        </w:tc>
        <w:tc>
          <w:tcPr>
            <w:tcW w:w="99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9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9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3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571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9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9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9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3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7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301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0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99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3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9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3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9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3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72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301.88</w:t>
            </w:r>
            <w:r>
              <w:rPr>
                <w:b/>
                <w:color w:val="000000"/>
                <w:sz w:val="20"/>
              </w:rPr>
              <w:t xml:space="preserve"> </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301.88</w:t>
            </w:r>
            <w:r>
              <w:rPr>
                <w:b/>
                <w:color w:val="000000"/>
                <w:sz w:val="20"/>
              </w:rPr>
              <w:t xml:space="preserve"> </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0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301.88</w:t>
            </w:r>
            <w:r>
              <w:rPr>
                <w:b/>
                <w:color w:val="000000"/>
                <w:sz w:val="20"/>
              </w:rPr>
              <w:t xml:space="preserve"> </w:t>
            </w: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0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301.88</w:t>
            </w:r>
            <w:r>
              <w:rPr>
                <w:b/>
                <w:color w:val="000000"/>
                <w:sz w:val="20"/>
              </w:rPr>
              <w:t xml:space="preserve"> </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301.88</w:t>
            </w:r>
            <w:r>
              <w:rPr>
                <w:b/>
                <w:color w:val="000000"/>
                <w:sz w:val="20"/>
              </w:rPr>
              <w:t xml:space="preserve"> </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301.88</w:t>
            </w:r>
            <w:r>
              <w:rPr>
                <w:b/>
                <w:color w:val="000000"/>
                <w:sz w:val="20"/>
              </w:rPr>
              <w:t xml:space="preserve"> </w:t>
            </w: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0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301.88</w:t>
            </w:r>
            <w:r>
              <w:rPr>
                <w:b/>
                <w:color w:val="000000"/>
                <w:sz w:val="20"/>
              </w:rPr>
              <w:t xml:space="preserve"> </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301.88</w:t>
            </w:r>
            <w:r>
              <w:rPr>
                <w:b/>
                <w:color w:val="000000"/>
                <w:sz w:val="20"/>
              </w:rPr>
              <w:t xml:space="preserve"> </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301.88</w:t>
            </w:r>
            <w:r>
              <w:rPr>
                <w:b/>
                <w:color w:val="000000"/>
                <w:sz w:val="20"/>
              </w:rPr>
              <w:t xml:space="preserve"> </w:t>
            </w: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0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301.88</w:t>
            </w:r>
            <w:r>
              <w:rPr>
                <w:color w:val="000000"/>
                <w:sz w:val="20"/>
              </w:rPr>
              <w:t xml:space="preserve"> </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301.88</w:t>
            </w:r>
            <w:r>
              <w:rPr>
                <w:color w:val="000000"/>
                <w:sz w:val="20"/>
              </w:rPr>
              <w:t xml:space="preserve"> </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301.88</w:t>
            </w:r>
            <w:r>
              <w:rPr>
                <w:color w:val="000000"/>
                <w:sz w:val="20"/>
              </w:rPr>
              <w:t xml:space="preserve"> </w:t>
            </w: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0803" w:type="dxa"/>
        <w:tblInd w:w="0" w:type="dxa"/>
        <w:tblLayout w:type="fixed"/>
        <w:tblCellMar>
          <w:top w:w="0" w:type="dxa"/>
          <w:left w:w="0" w:type="dxa"/>
          <w:bottom w:w="0" w:type="dxa"/>
          <w:right w:w="0" w:type="dxa"/>
        </w:tblCellMar>
      </w:tblPr>
      <w:tblGrid>
        <w:gridCol w:w="1323"/>
        <w:gridCol w:w="2150"/>
        <w:gridCol w:w="2301"/>
        <w:gridCol w:w="140"/>
        <w:gridCol w:w="2441"/>
        <w:gridCol w:w="54"/>
        <w:gridCol w:w="2394"/>
      </w:tblGrid>
      <w:tr>
        <w:tblPrEx>
          <w:tblLayout w:type="fixed"/>
          <w:tblCellMar>
            <w:top w:w="0" w:type="dxa"/>
            <w:left w:w="0" w:type="dxa"/>
            <w:bottom w:w="0" w:type="dxa"/>
            <w:right w:w="0" w:type="dxa"/>
          </w:tblCellMar>
        </w:tblPrEx>
        <w:trPr>
          <w:trHeight w:val="650" w:hRule="atLeast"/>
        </w:trPr>
        <w:tc>
          <w:tcPr>
            <w:tcW w:w="10803"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5774"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重庆市荣昌区交通局（本级）</w:t>
            </w:r>
          </w:p>
        </w:tc>
        <w:tc>
          <w:tcPr>
            <w:tcW w:w="2635"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3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577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635"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3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34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73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32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2441"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4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244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32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41"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4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32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41"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4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32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41"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4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34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44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24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244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0803" w:type="dxa"/>
        <w:tblInd w:w="0" w:type="dxa"/>
        <w:tblLayout w:type="fixed"/>
        <w:tblCellMar>
          <w:top w:w="0" w:type="dxa"/>
          <w:left w:w="170" w:type="dxa"/>
          <w:bottom w:w="0" w:type="dxa"/>
          <w:right w:w="170" w:type="dxa"/>
        </w:tblCellMar>
      </w:tblPr>
      <w:tblGrid>
        <w:gridCol w:w="2911"/>
        <w:gridCol w:w="1409"/>
        <w:gridCol w:w="1372"/>
        <w:gridCol w:w="3710"/>
        <w:gridCol w:w="1401"/>
      </w:tblGrid>
      <w:tr>
        <w:tblPrEx>
          <w:tblLayout w:type="fixed"/>
          <w:tblCellMar>
            <w:top w:w="0" w:type="dxa"/>
            <w:left w:w="170" w:type="dxa"/>
            <w:bottom w:w="0" w:type="dxa"/>
            <w:right w:w="170" w:type="dxa"/>
          </w:tblCellMar>
        </w:tblPrEx>
        <w:trPr>
          <w:trHeight w:val="343" w:hRule="atLeast"/>
        </w:trPr>
        <w:tc>
          <w:tcPr>
            <w:tcW w:w="10803"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291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140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137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3710"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4320"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重庆市荣昌区交通局（本级）</w:t>
            </w:r>
          </w:p>
        </w:tc>
        <w:tc>
          <w:tcPr>
            <w:tcW w:w="137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3710"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140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29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14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13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37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14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29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14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3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37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14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68.57</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29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14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11.98</w:t>
            </w:r>
            <w:r>
              <w:rPr>
                <w:color w:val="000000"/>
                <w:sz w:val="16"/>
              </w:rPr>
              <w:t xml:space="preserve"> </w:t>
            </w:r>
          </w:p>
        </w:tc>
        <w:tc>
          <w:tcPr>
            <w:tcW w:w="13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11.98</w:t>
            </w:r>
            <w:r>
              <w:rPr>
                <w:color w:val="000000"/>
                <w:sz w:val="16"/>
              </w:rPr>
              <w:t xml:space="preserve"> </w:t>
            </w:r>
          </w:p>
        </w:tc>
        <w:tc>
          <w:tcPr>
            <w:tcW w:w="37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14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68.57</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29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14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3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37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14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29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14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2.98</w:t>
            </w:r>
            <w:r>
              <w:rPr>
                <w:color w:val="000000"/>
                <w:sz w:val="16"/>
              </w:rPr>
              <w:t xml:space="preserve"> </w:t>
            </w:r>
          </w:p>
        </w:tc>
        <w:tc>
          <w:tcPr>
            <w:tcW w:w="13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2.98</w:t>
            </w:r>
            <w:r>
              <w:rPr>
                <w:color w:val="000000"/>
                <w:sz w:val="16"/>
              </w:rPr>
              <w:t xml:space="preserve"> </w:t>
            </w:r>
          </w:p>
        </w:tc>
        <w:tc>
          <w:tcPr>
            <w:tcW w:w="37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14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29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14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3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37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14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tblPrEx>
          <w:tblLayout w:type="fixed"/>
          <w:tblCellMar>
            <w:top w:w="0" w:type="dxa"/>
            <w:left w:w="170" w:type="dxa"/>
            <w:bottom w:w="0" w:type="dxa"/>
            <w:right w:w="170" w:type="dxa"/>
          </w:tblCellMar>
        </w:tblPrEx>
        <w:trPr>
          <w:trHeight w:val="292" w:hRule="atLeast"/>
        </w:trPr>
        <w:tc>
          <w:tcPr>
            <w:tcW w:w="29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14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2.98</w:t>
            </w:r>
            <w:r>
              <w:rPr>
                <w:color w:val="000000"/>
                <w:sz w:val="16"/>
              </w:rPr>
              <w:t xml:space="preserve"> </w:t>
            </w:r>
          </w:p>
        </w:tc>
        <w:tc>
          <w:tcPr>
            <w:tcW w:w="13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2.98</w:t>
            </w:r>
            <w:r>
              <w:rPr>
                <w:color w:val="000000"/>
                <w:sz w:val="16"/>
              </w:rPr>
              <w:t xml:space="preserve"> </w:t>
            </w:r>
          </w:p>
        </w:tc>
        <w:tc>
          <w:tcPr>
            <w:tcW w:w="37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14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29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14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9.00</w:t>
            </w:r>
            <w:r>
              <w:rPr>
                <w:color w:val="000000"/>
                <w:sz w:val="16"/>
              </w:rPr>
              <w:t xml:space="preserve"> </w:t>
            </w:r>
          </w:p>
        </w:tc>
        <w:tc>
          <w:tcPr>
            <w:tcW w:w="13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9.00</w:t>
            </w:r>
            <w:r>
              <w:rPr>
                <w:color w:val="000000"/>
                <w:sz w:val="16"/>
              </w:rPr>
              <w:t xml:space="preserve"> </w:t>
            </w:r>
          </w:p>
        </w:tc>
        <w:tc>
          <w:tcPr>
            <w:tcW w:w="37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14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29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14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3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9.00</w:t>
            </w:r>
            <w:r>
              <w:rPr>
                <w:color w:val="000000"/>
                <w:sz w:val="16"/>
              </w:rPr>
              <w:t xml:space="preserve"> </w:t>
            </w:r>
          </w:p>
        </w:tc>
        <w:tc>
          <w:tcPr>
            <w:tcW w:w="37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14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29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14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3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37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14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29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14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3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37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14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29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14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3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37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14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29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14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3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37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14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29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14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3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37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14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29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14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3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37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14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29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14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3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c>
          <w:tcPr>
            <w:tcW w:w="37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14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29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14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3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143</w:t>
            </w:r>
            <w:r>
              <w:rPr>
                <w:color w:val="000000"/>
                <w:sz w:val="16"/>
              </w:rPr>
              <w:t xml:space="preserve"> </w:t>
            </w:r>
          </w:p>
        </w:tc>
        <w:tc>
          <w:tcPr>
            <w:tcW w:w="37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14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5,338.40</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29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14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3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37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14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29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14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3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1,135</w:t>
            </w:r>
            <w:r>
              <w:rPr>
                <w:color w:val="000000"/>
                <w:sz w:val="16"/>
              </w:rPr>
              <w:t xml:space="preserve"> </w:t>
            </w:r>
          </w:p>
        </w:tc>
        <w:tc>
          <w:tcPr>
            <w:tcW w:w="37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14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5,338.40</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29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14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3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37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14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29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14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3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37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14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29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14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3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37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14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86" w:hRule="atLeast"/>
        </w:trPr>
        <w:tc>
          <w:tcPr>
            <w:tcW w:w="29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14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3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37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rPr>
                <w:rFonts w:hint="default" w:cs="宋体"/>
                <w:color w:val="000000"/>
                <w:sz w:val="16"/>
                <w:szCs w:val="16"/>
              </w:rPr>
            </w:pPr>
          </w:p>
        </w:tc>
        <w:tc>
          <w:tcPr>
            <w:tcW w:w="14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29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14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3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3.44</w:t>
            </w:r>
            <w:r>
              <w:rPr>
                <w:color w:val="000000"/>
                <w:sz w:val="16"/>
              </w:rPr>
              <w:t xml:space="preserve"> </w:t>
            </w:r>
          </w:p>
        </w:tc>
        <w:tc>
          <w:tcPr>
            <w:tcW w:w="37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rPr>
                <w:rFonts w:hint="default" w:cs="宋体"/>
                <w:color w:val="000000"/>
                <w:sz w:val="16"/>
                <w:szCs w:val="16"/>
              </w:rPr>
            </w:pPr>
          </w:p>
        </w:tc>
        <w:tc>
          <w:tcPr>
            <w:tcW w:w="14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1907" w:h="16839"/>
      <w:pgMar w:top="454" w:right="567" w:bottom="1037" w:left="56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rPr>
                    <w:rFonts w:hint="default"/>
                  </w:rP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05698"/>
    <w:rsid w:val="00014649"/>
    <w:rsid w:val="000B6EF0"/>
    <w:rsid w:val="001A0E21"/>
    <w:rsid w:val="001D3BB7"/>
    <w:rsid w:val="001D497A"/>
    <w:rsid w:val="001E73C4"/>
    <w:rsid w:val="002330D4"/>
    <w:rsid w:val="002B12AE"/>
    <w:rsid w:val="002B254B"/>
    <w:rsid w:val="00325FE7"/>
    <w:rsid w:val="00345537"/>
    <w:rsid w:val="003505A5"/>
    <w:rsid w:val="003A526A"/>
    <w:rsid w:val="00466C9B"/>
    <w:rsid w:val="004B786F"/>
    <w:rsid w:val="004E6EB7"/>
    <w:rsid w:val="004F16E7"/>
    <w:rsid w:val="00521233"/>
    <w:rsid w:val="00550ABE"/>
    <w:rsid w:val="005511A2"/>
    <w:rsid w:val="00574219"/>
    <w:rsid w:val="005B1B72"/>
    <w:rsid w:val="005F65F0"/>
    <w:rsid w:val="00603B6E"/>
    <w:rsid w:val="00664437"/>
    <w:rsid w:val="00674EBD"/>
    <w:rsid w:val="006C359F"/>
    <w:rsid w:val="00704614"/>
    <w:rsid w:val="00770383"/>
    <w:rsid w:val="007819D4"/>
    <w:rsid w:val="007B419D"/>
    <w:rsid w:val="007B7C4B"/>
    <w:rsid w:val="007D3D39"/>
    <w:rsid w:val="008C4B49"/>
    <w:rsid w:val="008E5AF3"/>
    <w:rsid w:val="00974A92"/>
    <w:rsid w:val="00994AF7"/>
    <w:rsid w:val="009B67B8"/>
    <w:rsid w:val="009D2B67"/>
    <w:rsid w:val="00A11213"/>
    <w:rsid w:val="00A16A8D"/>
    <w:rsid w:val="00A24F87"/>
    <w:rsid w:val="00A3432B"/>
    <w:rsid w:val="00A566F9"/>
    <w:rsid w:val="00AF2751"/>
    <w:rsid w:val="00B03CCD"/>
    <w:rsid w:val="00BA4938"/>
    <w:rsid w:val="00BE2B89"/>
    <w:rsid w:val="00C103A8"/>
    <w:rsid w:val="00C10E9E"/>
    <w:rsid w:val="00C11637"/>
    <w:rsid w:val="00C20C3E"/>
    <w:rsid w:val="00D22162"/>
    <w:rsid w:val="00D80230"/>
    <w:rsid w:val="00DA7DF3"/>
    <w:rsid w:val="00DB35C6"/>
    <w:rsid w:val="00E016F2"/>
    <w:rsid w:val="00E329E5"/>
    <w:rsid w:val="00EE265E"/>
    <w:rsid w:val="00EF7B3B"/>
    <w:rsid w:val="00F64372"/>
    <w:rsid w:val="00F73F90"/>
    <w:rsid w:val="00FD03FF"/>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D9033C4"/>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175317"/>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2635</Words>
  <Characters>15021</Characters>
  <Lines>125</Lines>
  <Paragraphs>35</Paragraphs>
  <TotalTime>143</TotalTime>
  <ScaleCrop>false</ScaleCrop>
  <LinksUpToDate>false</LinksUpToDate>
  <CharactersWithSpaces>17621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2024-09-10T09:14:00Z</dcterms:created>
  <dc:creator>Administrator</dc:creator>
  <cp:lastModifiedBy>Administrator</cp:lastModifiedBy>
  <dcterms:modified xsi:type="dcterms:W3CDTF">2024-10-09T01:25:36Z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BB46EABDBB2749749395447164B066B3_12</vt:lpwstr>
  </property>
</Properties>
</file>