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olor w:val="000000"/>
          <w:sz w:val="32"/>
        </w:rPr>
      </w:pPr>
    </w:p>
    <w:p>
      <w:pPr>
        <w:rPr>
          <w:rFonts w:ascii="宋体"/>
          <w:color w:val="000000"/>
          <w:sz w:val="28"/>
        </w:rPr>
      </w:pPr>
    </w:p>
    <w:p>
      <w:pPr>
        <w:spacing w:line="54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重庆市交通局关于</w:t>
      </w:r>
    </w:p>
    <w:p>
      <w:pPr>
        <w:spacing w:line="54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印</w:t>
      </w:r>
      <w:r>
        <w:rPr>
          <w:rFonts w:hint="eastAsia" w:ascii="方正小标宋_GBK" w:eastAsia="方正小标宋_GBK"/>
          <w:color w:val="000000"/>
          <w:spacing w:val="-10"/>
          <w:sz w:val="44"/>
          <w:szCs w:val="44"/>
        </w:rPr>
        <w:t>发《</w:t>
      </w:r>
      <w:r>
        <w:rPr>
          <w:rFonts w:hint="eastAsia" w:ascii="方正小标宋_GBK" w:eastAsia="方正小标宋_GBK"/>
          <w:color w:val="000000"/>
          <w:sz w:val="44"/>
          <w:szCs w:val="44"/>
        </w:rPr>
        <w:t>重庆市公路建设市场信用</w:t>
      </w:r>
    </w:p>
    <w:p>
      <w:pPr>
        <w:spacing w:line="540" w:lineRule="exact"/>
        <w:jc w:val="center"/>
        <w:rPr>
          <w:rFonts w:ascii="方正小标宋_GBK" w:eastAsia="方正小标宋_GBK"/>
          <w:color w:val="000000"/>
          <w:spacing w:val="-10"/>
          <w:sz w:val="44"/>
          <w:szCs w:val="44"/>
        </w:rPr>
      </w:pPr>
      <w:r>
        <w:rPr>
          <w:rFonts w:hint="eastAsia" w:ascii="方正小标宋_GBK" w:eastAsia="方正小标宋_GBK"/>
          <w:color w:val="000000"/>
          <w:sz w:val="44"/>
          <w:szCs w:val="44"/>
        </w:rPr>
        <w:t>管理实施细则</w:t>
      </w:r>
      <w:r>
        <w:rPr>
          <w:rFonts w:hint="eastAsia" w:ascii="方正小标宋_GBK" w:eastAsia="方正小标宋_GBK"/>
          <w:color w:val="000000"/>
          <w:spacing w:val="-10"/>
          <w:sz w:val="44"/>
          <w:szCs w:val="44"/>
        </w:rPr>
        <w:t>》的通知</w:t>
      </w:r>
    </w:p>
    <w:p>
      <w:pPr>
        <w:spacing w:line="600" w:lineRule="exact"/>
        <w:jc w:val="center"/>
        <w:rPr>
          <w:rFonts w:ascii="方正小标宋_GBK" w:eastAsia="方正小标宋_GBK"/>
          <w:color w:val="000000"/>
          <w:spacing w:val="-10"/>
          <w:sz w:val="44"/>
          <w:szCs w:val="44"/>
        </w:rPr>
      </w:pPr>
      <w:r>
        <w:rPr>
          <w:rFonts w:hint="eastAsia" w:ascii="方正仿宋_GBK" w:eastAsia="方正仿宋_GBK"/>
          <w:color w:val="000000"/>
          <w:sz w:val="32"/>
          <w:szCs w:val="32"/>
        </w:rPr>
        <w:t>渝交规〔2021〕29号</w:t>
      </w:r>
    </w:p>
    <w:p>
      <w:pPr>
        <w:spacing w:line="600" w:lineRule="exact"/>
        <w:rPr>
          <w:rFonts w:eastAsia="方正黑体_GBK"/>
          <w:color w:val="000000"/>
          <w:sz w:val="40"/>
          <w:szCs w:val="32"/>
        </w:rPr>
      </w:pPr>
    </w:p>
    <w:p>
      <w:pPr>
        <w:pStyle w:val="14"/>
        <w:spacing w:line="600" w:lineRule="exact"/>
        <w:jc w:val="left"/>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各区县（自治县）交通局，局属各单位，各有关单位：</w:t>
      </w:r>
    </w:p>
    <w:p>
      <w:pPr>
        <w:pStyle w:val="14"/>
        <w:spacing w:line="600" w:lineRule="exact"/>
        <w:ind w:firstLine="640" w:firstLineChars="200"/>
        <w:jc w:val="left"/>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重庆市公路建设市场信用管理实施细则》已经局2021年第19次局长办公会审议通过，现印发你们，自2022年1月1日起施行，请认真贯彻执行。《重庆市公路建设市场信用管理办法》（渝交委路〔2018〕100号）同时废止。</w:t>
      </w:r>
    </w:p>
    <w:p>
      <w:pPr>
        <w:pStyle w:val="14"/>
        <w:spacing w:line="600" w:lineRule="exact"/>
        <w:jc w:val="left"/>
        <w:rPr>
          <w:rFonts w:ascii="方正仿宋_GBK" w:hAnsi="方正仿宋_GBK" w:eastAsia="方正仿宋_GBK" w:cs="方正仿宋_GBK"/>
          <w:color w:val="000000"/>
          <w:sz w:val="32"/>
        </w:rPr>
      </w:pPr>
    </w:p>
    <w:p>
      <w:pPr>
        <w:pStyle w:val="14"/>
        <w:wordWrap w:val="0"/>
        <w:spacing w:line="600" w:lineRule="exact"/>
        <w:ind w:firstLine="640" w:firstLineChars="200"/>
        <w:jc w:val="right"/>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 xml:space="preserve">                            重庆市交通局  </w:t>
      </w:r>
    </w:p>
    <w:p>
      <w:pPr>
        <w:pStyle w:val="14"/>
        <w:spacing w:line="600" w:lineRule="exact"/>
        <w:ind w:firstLine="640" w:firstLineChars="200"/>
        <w:jc w:val="right"/>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2021年12月20日</w:t>
      </w:r>
    </w:p>
    <w:p>
      <w:pPr>
        <w:pStyle w:val="14"/>
        <w:spacing w:line="600" w:lineRule="exact"/>
        <w:jc w:val="center"/>
        <w:rPr>
          <w:rFonts w:ascii="方正小标宋_GBK" w:eastAsia="方正小标宋_GBK"/>
          <w:color w:val="000000"/>
          <w:sz w:val="44"/>
          <w:szCs w:val="44"/>
        </w:rPr>
      </w:pPr>
    </w:p>
    <w:p>
      <w:pPr>
        <w:pStyle w:val="14"/>
        <w:spacing w:line="600" w:lineRule="exact"/>
        <w:jc w:val="center"/>
        <w:rPr>
          <w:rFonts w:ascii="方正小标宋_GBK" w:eastAsia="方正小标宋_GBK"/>
          <w:color w:val="000000"/>
          <w:sz w:val="44"/>
          <w:szCs w:val="44"/>
        </w:rPr>
      </w:pPr>
    </w:p>
    <w:p>
      <w:pPr>
        <w:pStyle w:val="14"/>
        <w:spacing w:line="600" w:lineRule="exact"/>
        <w:jc w:val="center"/>
        <w:rPr>
          <w:rFonts w:ascii="方正小标宋_GBK" w:eastAsia="方正小标宋_GBK"/>
          <w:color w:val="000000"/>
          <w:sz w:val="44"/>
          <w:szCs w:val="44"/>
        </w:rPr>
      </w:pPr>
    </w:p>
    <w:p>
      <w:pPr>
        <w:pStyle w:val="14"/>
        <w:spacing w:line="560" w:lineRule="exact"/>
        <w:jc w:val="center"/>
        <w:rPr>
          <w:rFonts w:ascii="方正小标宋_GBK" w:eastAsia="方正小标宋_GBK"/>
          <w:color w:val="000000"/>
          <w:sz w:val="44"/>
          <w:szCs w:val="44"/>
        </w:rPr>
      </w:pPr>
    </w:p>
    <w:p>
      <w:pPr>
        <w:pStyle w:val="14"/>
        <w:spacing w:line="560" w:lineRule="exact"/>
        <w:jc w:val="center"/>
        <w:rPr>
          <w:rFonts w:ascii="方正小标宋_GBK" w:eastAsia="方正小标宋_GBK"/>
          <w:color w:val="000000"/>
          <w:sz w:val="44"/>
          <w:szCs w:val="44"/>
        </w:rPr>
      </w:pPr>
    </w:p>
    <w:p>
      <w:pPr>
        <w:pStyle w:val="14"/>
        <w:spacing w:line="560" w:lineRule="exact"/>
        <w:jc w:val="center"/>
        <w:rPr>
          <w:rFonts w:ascii="方正小标宋_GBK" w:eastAsia="方正小标宋_GBK"/>
          <w:color w:val="000000"/>
          <w:sz w:val="44"/>
          <w:szCs w:val="44"/>
        </w:rPr>
      </w:pPr>
    </w:p>
    <w:p>
      <w:pPr>
        <w:pStyle w:val="14"/>
        <w:spacing w:line="560" w:lineRule="exact"/>
        <w:jc w:val="center"/>
        <w:rPr>
          <w:rFonts w:ascii="方正小标宋_GBK" w:eastAsia="方正小标宋_GBK"/>
          <w:color w:val="000000"/>
          <w:sz w:val="44"/>
          <w:szCs w:val="44"/>
        </w:rPr>
      </w:pPr>
    </w:p>
    <w:p>
      <w:pPr>
        <w:pStyle w:val="14"/>
        <w:spacing w:line="56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重庆市公路建设市场信用管理实施细则</w:t>
      </w:r>
    </w:p>
    <w:p>
      <w:pPr>
        <w:pStyle w:val="2"/>
        <w:numPr>
          <w:ilvl w:val="0"/>
          <w:numId w:val="0"/>
        </w:numPr>
        <w:tabs>
          <w:tab w:val="clear" w:pos="420"/>
        </w:tabs>
        <w:spacing w:line="560" w:lineRule="exact"/>
        <w:rPr>
          <w:rFonts w:ascii="黑体" w:eastAsia="方正黑体_GBK"/>
          <w:b w:val="0"/>
          <w:bCs w:val="0"/>
          <w:color w:val="000000"/>
          <w:sz w:val="32"/>
          <w:szCs w:val="32"/>
        </w:rPr>
      </w:pPr>
    </w:p>
    <w:p>
      <w:pPr>
        <w:pStyle w:val="2"/>
        <w:numPr>
          <w:ilvl w:val="0"/>
          <w:numId w:val="0"/>
        </w:numPr>
        <w:tabs>
          <w:tab w:val="clear" w:pos="420"/>
        </w:tabs>
        <w:spacing w:line="560" w:lineRule="exact"/>
        <w:rPr>
          <w:rFonts w:ascii="宋体" w:hAnsi="宋体"/>
          <w:b w:val="0"/>
          <w:bCs w:val="0"/>
          <w:color w:val="000000"/>
          <w:sz w:val="32"/>
          <w:szCs w:val="32"/>
        </w:rPr>
      </w:pPr>
      <w:r>
        <w:rPr>
          <w:rFonts w:hint="eastAsia" w:ascii="黑体" w:eastAsia="方正黑体_GBK"/>
          <w:b w:val="0"/>
          <w:bCs w:val="0"/>
          <w:color w:val="000000"/>
          <w:sz w:val="32"/>
          <w:szCs w:val="32"/>
        </w:rPr>
        <w:t>第一章  总则</w:t>
      </w:r>
    </w:p>
    <w:p>
      <w:pPr>
        <w:pStyle w:val="3"/>
        <w:numPr>
          <w:ilvl w:val="0"/>
          <w:numId w:val="0"/>
        </w:numPr>
        <w:tabs>
          <w:tab w:val="clear" w:pos="720"/>
        </w:tabs>
        <w:spacing w:line="560" w:lineRule="exact"/>
        <w:ind w:firstLine="640" w:firstLineChars="200"/>
        <w:rPr>
          <w:rFonts w:ascii="方正楷体_GBK" w:eastAsia="方正黑体_GBK"/>
          <w:bCs w:val="0"/>
          <w:color w:val="000000"/>
          <w:sz w:val="32"/>
        </w:rPr>
      </w:pP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第一条  </w:t>
      </w:r>
      <w:r>
        <w:rPr>
          <w:rFonts w:hint="eastAsia" w:ascii="方正仿宋_GBK" w:eastAsia="方正仿宋_GBK"/>
          <w:color w:val="000000"/>
          <w:sz w:val="32"/>
        </w:rPr>
        <w:t>为加强公路建设市场信用管理，规范公路建设从业单位和从业人员的市场行为，营造诚实守信的市场环境，根据交通运输部《公路建设市场管理办法》《公路工程建设项目招标投标管理办法》《公路建设市场信用信息管理办法》等有关规定，结合本市实际，制定本细则。</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第二条  </w:t>
      </w:r>
      <w:r>
        <w:rPr>
          <w:rFonts w:hint="eastAsia" w:ascii="方正仿宋_GBK" w:eastAsia="方正仿宋_GBK"/>
          <w:color w:val="000000"/>
          <w:sz w:val="32"/>
        </w:rPr>
        <w:t>本市行政区域内的公路建设市场信用管理活动，适用本细则。</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第三条  </w:t>
      </w:r>
      <w:r>
        <w:rPr>
          <w:rFonts w:hint="eastAsia" w:ascii="方正仿宋_GBK" w:eastAsia="方正仿宋_GBK"/>
          <w:color w:val="000000"/>
          <w:sz w:val="32"/>
        </w:rPr>
        <w:t>公路建设市场信用管理遵循“客观公正、公开透明、守信激励、失信惩戒”的原则。</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第四条  </w:t>
      </w:r>
      <w:r>
        <w:rPr>
          <w:rFonts w:hint="eastAsia" w:ascii="方正仿宋_GBK" w:eastAsia="方正仿宋_GBK"/>
          <w:color w:val="000000"/>
          <w:sz w:val="32"/>
        </w:rPr>
        <w:t>本细则中相关用语含义：</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一）从业单位是指从事公路建设的项目建设管理单位，咨询（含造价咨询企业）、勘察、设计、施工、监理、试验检测单位，提供相关服务的社会中介机构以及设备和材料的供应单位，其中，除建设管理单位、设计企业、施工企业和监理企业外的从业单位，统称为其他从业单位。</w:t>
      </w:r>
    </w:p>
    <w:p>
      <w:pPr>
        <w:pStyle w:val="14"/>
        <w:spacing w:line="600" w:lineRule="exact"/>
        <w:ind w:firstLine="800" w:firstLineChars="250"/>
        <w:jc w:val="left"/>
        <w:rPr>
          <w:rFonts w:ascii="方正仿宋_GBK" w:eastAsia="方正仿宋_GBK"/>
          <w:color w:val="000000"/>
          <w:sz w:val="32"/>
        </w:rPr>
      </w:pPr>
      <w:r>
        <w:rPr>
          <w:rFonts w:hint="eastAsia" w:ascii="方正仿宋_GBK" w:eastAsia="方正仿宋_GBK"/>
          <w:color w:val="000000"/>
          <w:sz w:val="32"/>
        </w:rPr>
        <w:t>（二）从业人员是指从事公路建设活动的人员。其中主要岗位从业人员是指建设管理单位的项目主管负责人；设计企业的项目设计负责人；施工企业的项目经理和项目总工程师（技术负责人）；监理企业现场机构的总监理工程师（总监代表）。</w:t>
      </w:r>
    </w:p>
    <w:p>
      <w:pPr>
        <w:pStyle w:val="14"/>
        <w:spacing w:line="600" w:lineRule="exact"/>
        <w:ind w:firstLine="640"/>
        <w:jc w:val="left"/>
        <w:rPr>
          <w:rFonts w:ascii="方正仿宋_GBK" w:eastAsia="方正仿宋_GBK"/>
          <w:color w:val="000000"/>
          <w:sz w:val="32"/>
        </w:rPr>
      </w:pPr>
      <w:r>
        <w:rPr>
          <w:rFonts w:hint="eastAsia" w:ascii="方正仿宋_GBK" w:eastAsia="方正仿宋_GBK"/>
          <w:color w:val="000000"/>
          <w:sz w:val="32"/>
        </w:rPr>
        <w:t>（三）信用信息是指各级交通主管部门、公路建设管理有关部门（单位）、公路行业社团组织、司法机关在履行职责过程中，以及从业单位和从业人员在工作过程中产生、记录、归集的能够反映其基本情况、市场表现及信用状况的各类信息。</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（四）信用评价是指省级及以上交通主管部门或者其委托机构依据有关法律法规、标准规范、合同文件等，通过量化方式对从业单位和从业人员在公路建设市场从业行为的评价。</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五）市级公路建设项目是指市交通主管部门质量监督机构实施质量安全监督的公路建设项目；区县级公路建设项目是指除市级公路建设项目以外的其他公路建设项目，包括区县（自治县）交通主管部门监管的地方高速公路和普通公路。</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第五条  </w:t>
      </w:r>
      <w:r>
        <w:rPr>
          <w:rFonts w:hint="eastAsia" w:ascii="方正仿宋_GBK" w:eastAsia="方正仿宋_GBK"/>
          <w:color w:val="000000"/>
          <w:sz w:val="32"/>
        </w:rPr>
        <w:t>公路建设市场信用管理实行统一管理、分级负责。</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（一）市交通主管部门负责全市公路建设市场信用管理工作，制定全市公路建设市场信用管理的制度并组织实施，建立和完善重庆市公路建设市场信用信息管理系统。</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（二）市公路事务机构负责指导全市普通公路建设项目信用管理工作。</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（三）市交通主管部门质量监督机构负责指导市级公路建设项目信用管理工作。</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（四）各区县（自治县）交通主管部门负责本行政区域内区县级公路建设项目信用管理工作。</w:t>
      </w:r>
    </w:p>
    <w:p>
      <w:pPr>
        <w:pStyle w:val="2"/>
        <w:numPr>
          <w:ilvl w:val="0"/>
          <w:numId w:val="0"/>
        </w:numPr>
        <w:tabs>
          <w:tab w:val="clear" w:pos="420"/>
        </w:tabs>
        <w:spacing w:line="600" w:lineRule="exact"/>
        <w:rPr>
          <w:rFonts w:ascii="黑体" w:eastAsia="方正黑体_GBK"/>
          <w:b w:val="0"/>
          <w:bCs w:val="0"/>
          <w:color w:val="000000"/>
          <w:sz w:val="32"/>
          <w:szCs w:val="32"/>
        </w:rPr>
      </w:pPr>
    </w:p>
    <w:p>
      <w:pPr>
        <w:pStyle w:val="2"/>
        <w:numPr>
          <w:ilvl w:val="0"/>
          <w:numId w:val="0"/>
        </w:numPr>
        <w:tabs>
          <w:tab w:val="clear" w:pos="420"/>
        </w:tabs>
        <w:spacing w:line="600" w:lineRule="exact"/>
        <w:rPr>
          <w:rFonts w:ascii="黑体" w:eastAsia="方正黑体_GBK"/>
          <w:b w:val="0"/>
          <w:bCs w:val="0"/>
          <w:color w:val="000000"/>
          <w:sz w:val="32"/>
          <w:szCs w:val="32"/>
        </w:rPr>
      </w:pPr>
      <w:r>
        <w:rPr>
          <w:rFonts w:hint="eastAsia" w:ascii="黑体" w:eastAsia="方正黑体_GBK"/>
          <w:b w:val="0"/>
          <w:bCs w:val="0"/>
          <w:color w:val="000000"/>
          <w:sz w:val="32"/>
          <w:szCs w:val="32"/>
        </w:rPr>
        <w:t>第二章  信用信息管理</w:t>
      </w:r>
    </w:p>
    <w:p>
      <w:pPr>
        <w:pStyle w:val="3"/>
        <w:numPr>
          <w:ilvl w:val="0"/>
          <w:numId w:val="0"/>
        </w:numPr>
        <w:tabs>
          <w:tab w:val="clear" w:pos="720"/>
        </w:tabs>
        <w:spacing w:line="600" w:lineRule="exact"/>
        <w:ind w:firstLine="640" w:firstLineChars="200"/>
        <w:rPr>
          <w:rFonts w:ascii="方正楷体_GBK" w:eastAsia="方正黑体_GBK"/>
          <w:bCs w:val="0"/>
          <w:color w:val="000000"/>
          <w:sz w:val="32"/>
        </w:rPr>
      </w:pP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第六条  </w:t>
      </w:r>
      <w:r>
        <w:rPr>
          <w:rFonts w:hint="eastAsia" w:ascii="方正仿宋_GBK" w:eastAsia="方正仿宋_GBK"/>
          <w:color w:val="000000"/>
          <w:sz w:val="32"/>
        </w:rPr>
        <w:t>信用信息主要包括从业单位信息和公路建设项目信息。</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第七条  </w:t>
      </w:r>
      <w:r>
        <w:rPr>
          <w:rFonts w:hint="eastAsia" w:ascii="方正仿宋_GBK" w:eastAsia="方正仿宋_GBK"/>
          <w:color w:val="000000"/>
          <w:sz w:val="32"/>
        </w:rPr>
        <w:t>从业单位信息包括从业单位基本信息、表彰奖励类良好行为信息、行政处罚类不良行为信息和信用评价信息。</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（一）从业单位基本信息主要包括：营业执照、基本存款账户开户许可证和资质资格（如有）等相关证照信息；法定代表人以及主要经济、管理和工程技术从业人员信息；主要业绩（含在建项目）信息。</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二）表彰奖励类良好行为信息主要包括：在重庆市公路建设活动中模范履约、诚信经营，受到重庆市人民政府、交通运输部、市交通主管部门、各区县（自治县）交通主管部门、与公路建设有关的政府监督部门或者机构表彰、奖励的信息，以及作为全国公路工程建设领域守信典型企业的信息。</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三）行政处罚类不良行为信息主要包括：在重庆市公路建设活动中违反有关法律、法规、标准、规范和规程等，或者在信用信息填报过程中弄虚作假，受到重庆市人民政府、交通运输部、市交通主管部门、各区县（自治县）交通主管部门、与公路建设有关的政府监督部门或者机构通报批评、行政处罚的信息，以及被列入黑名单企业的信息。</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四）信用评价信息主要包括信用等级和信用分值。其中，信用等级是省级及以上交通主管部门或者其委托机构按照有关公路从业单位信用评价规则，对从业单位和从业人员从业行为状况的评价结果；信用分值是将信用等级、表彰奖励类良好行为信息和行政处罚类不良行为信息等信用记录进行量化以便应用的结果。</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第八条  </w:t>
      </w:r>
      <w:r>
        <w:rPr>
          <w:rFonts w:hint="eastAsia" w:ascii="方正仿宋_GBK" w:eastAsia="方正仿宋_GBK"/>
          <w:color w:val="000000"/>
          <w:sz w:val="32"/>
        </w:rPr>
        <w:t>公路建设项目信息包括项目基本信息、合同段信息和履约信息。</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（一）项目基本信息：主要技术经济指标；工程可行性研究报告批复或者项目核准意见、设计批复、施工许可、交工或者竣工验收等主要基本建设信息；</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（二）合同段信息：招标信息和主要合同内容；</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（三）履约信息：按照本细则第十六条可以作为信用评价依据的相关材料。</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第九条  </w:t>
      </w:r>
      <w:r>
        <w:rPr>
          <w:rFonts w:hint="eastAsia" w:ascii="方正仿宋_GBK" w:eastAsia="方正仿宋_GBK"/>
          <w:color w:val="000000"/>
          <w:sz w:val="32"/>
        </w:rPr>
        <w:t>信用信息由重庆市公路建设市场信用信息管理系统（简称信用系统）统一发布，填报单位应当对其填报信息的真实性、准确性、及时性和完整性负责。信用信息按照下列方式进行征集、审核和发布：</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（一）从业单位基本信息、全国公路信用等级和注册地省级公路信用等级，由从业单位自行登录信用系统填报，经市交通主管部门审核后发布。</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二）表彰奖励类良好行为信息和行政处罚类不良行为信息，由作出表彰奖励或者行政处罚的交通主管部门登录填报并发布，重庆市人民政府、交通运输部和与公路建设有关的政府监督部门或者机构作出的，由市交通主管部门收到抄告后填报发布。从业单位也可自行登录填报，提供相关证明材料由市交通主管部门审核后发布。</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（三）重庆市公路建设市场信用评价信息由市交通主管部门发布。</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四）公路建设项目基本信息由建设管理单位自行登录信用系统填报。本市行政区域内全部在建公路建设项目和近五年内竣工（交工）的公路建设项目都应当填报发布，其中，市级公路建设项目经市交通主管部门质量监督机构审核，区县级公路建设项目经各区县（自治县）交通主管部门审核、市公路事务机构复核（普通公路），由市交通主管部门发布。</w:t>
      </w:r>
    </w:p>
    <w:p>
      <w:pPr>
        <w:pStyle w:val="3"/>
        <w:numPr>
          <w:ilvl w:val="0"/>
          <w:numId w:val="0"/>
        </w:numPr>
        <w:tabs>
          <w:tab w:val="clear" w:pos="720"/>
        </w:tabs>
        <w:spacing w:line="600" w:lineRule="exact"/>
        <w:ind w:firstLine="640" w:firstLineChars="200"/>
        <w:jc w:val="left"/>
        <w:rPr>
          <w:rFonts w:ascii="方正仿宋_GBK" w:eastAsia="方正仿宋_GBK"/>
          <w:color w:val="000000"/>
          <w:sz w:val="32"/>
        </w:rPr>
      </w:pPr>
      <w:r>
        <w:rPr>
          <w:rFonts w:hint="eastAsia" w:ascii="方正楷体_GBK" w:eastAsia="方正黑体_GBK"/>
          <w:bCs w:val="0"/>
          <w:color w:val="000000"/>
          <w:sz w:val="32"/>
        </w:rPr>
        <w:t xml:space="preserve">第十条  </w:t>
      </w:r>
      <w:r>
        <w:rPr>
          <w:rFonts w:hint="eastAsia" w:ascii="方正仿宋_GBK" w:eastAsia="方正仿宋_GBK"/>
          <w:color w:val="000000"/>
          <w:sz w:val="32"/>
        </w:rPr>
        <w:t>信用信息发布后在信用系统中处于锁定状态，需要更新或者更正的按照下列程序办理：</w:t>
      </w:r>
    </w:p>
    <w:p>
      <w:pPr>
        <w:pStyle w:val="3"/>
        <w:numPr>
          <w:ilvl w:val="0"/>
          <w:numId w:val="0"/>
        </w:numPr>
        <w:tabs>
          <w:tab w:val="clear" w:pos="720"/>
        </w:tabs>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（一）从业单位基本信息和公路建设项目信息发生变化的，应当于10日内向市交通主管部门提出申请后予以更新。</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（二）从业单位或者从业人员认为发布的其他信用信息与事实不符的，应当及时向市交通主管部门提出更正申请，市交通主管部门在</w:t>
      </w:r>
      <w:r>
        <w:rPr>
          <w:rFonts w:ascii="方正仿宋_GBK" w:eastAsia="方正仿宋_GBK"/>
          <w:color w:val="000000"/>
          <w:sz w:val="32"/>
          <w:lang w:val="en"/>
        </w:rPr>
        <w:t>5</w:t>
      </w:r>
      <w:r>
        <w:rPr>
          <w:rFonts w:hint="eastAsia" w:ascii="方正仿宋_GBK" w:eastAsia="方正仿宋_GBK"/>
          <w:color w:val="000000"/>
          <w:sz w:val="32"/>
        </w:rPr>
        <w:t>日内做出处理，并告知申请人。</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第十一条  </w:t>
      </w:r>
      <w:r>
        <w:rPr>
          <w:rFonts w:hint="eastAsia" w:ascii="方正仿宋_GBK" w:eastAsia="方正仿宋_GBK"/>
          <w:color w:val="000000"/>
          <w:sz w:val="32"/>
        </w:rPr>
        <w:t>信用信息发布期限按照下列规定设定：</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一）从业单位基本信息发布期限为长期；信用评价信息发布期限为1年；从业单位表彰奖励类良好行为信息、行政处罚类不良行为信息发布期限为2年，其中行政处罚期未满的信息将延长至行政处罚期满，期限均自认定相应行为或者作出相应决定之日起计算，期满后即解除发布，转为系统档案信息。</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（二）公路建设项目信息发布期限为长期。</w:t>
      </w:r>
    </w:p>
    <w:p>
      <w:pPr>
        <w:pStyle w:val="3"/>
        <w:numPr>
          <w:ilvl w:val="0"/>
          <w:numId w:val="0"/>
        </w:numPr>
        <w:tabs>
          <w:tab w:val="clear" w:pos="720"/>
        </w:tabs>
        <w:spacing w:line="600" w:lineRule="exact"/>
        <w:ind w:firstLine="640" w:firstLineChars="200"/>
        <w:rPr>
          <w:color w:val="000000"/>
          <w:sz w:val="32"/>
        </w:rPr>
      </w:pPr>
      <w:r>
        <w:rPr>
          <w:rFonts w:hint="eastAsia" w:ascii="方正楷体_GBK" w:eastAsia="方正黑体_GBK"/>
          <w:bCs w:val="0"/>
          <w:color w:val="000000"/>
          <w:sz w:val="32"/>
        </w:rPr>
        <w:t xml:space="preserve">第十二条  </w:t>
      </w:r>
      <w:r>
        <w:rPr>
          <w:rFonts w:hint="eastAsia" w:ascii="方正仿宋_GBK" w:eastAsia="方正仿宋_GBK"/>
          <w:color w:val="000000"/>
          <w:sz w:val="32"/>
        </w:rPr>
        <w:t>信用信息发布应当保守从业单位商业秘密和从业人员个人隐私，不得侵犯其合法权益。从业单位基本</w:t>
      </w:r>
      <w:r>
        <w:rPr>
          <w:rFonts w:hint="eastAsia" w:ascii="方正仿宋_GBK" w:eastAsia="方正仿宋_GBK"/>
          <w:color w:val="000000"/>
          <w:sz w:val="32"/>
          <w:lang w:eastAsia="zh-CN"/>
        </w:rPr>
        <w:t>账户</w:t>
      </w:r>
      <w:bookmarkStart w:id="5" w:name="_GoBack"/>
      <w:bookmarkEnd w:id="5"/>
      <w:r>
        <w:rPr>
          <w:rFonts w:hint="eastAsia" w:ascii="方正仿宋_GBK" w:eastAsia="方正仿宋_GBK"/>
          <w:color w:val="000000"/>
          <w:sz w:val="32"/>
        </w:rPr>
        <w:t>等商业信息仅供交通主管部门市场管理使用，不对外发布。</w:t>
      </w:r>
    </w:p>
    <w:p>
      <w:pPr>
        <w:pStyle w:val="2"/>
        <w:numPr>
          <w:ilvl w:val="0"/>
          <w:numId w:val="0"/>
        </w:numPr>
        <w:tabs>
          <w:tab w:val="clear" w:pos="420"/>
        </w:tabs>
        <w:spacing w:line="600" w:lineRule="exact"/>
        <w:jc w:val="both"/>
        <w:rPr>
          <w:rFonts w:ascii="黑体" w:eastAsia="方正黑体_GBK"/>
          <w:b w:val="0"/>
          <w:bCs w:val="0"/>
          <w:color w:val="000000"/>
          <w:sz w:val="32"/>
          <w:szCs w:val="32"/>
        </w:rPr>
      </w:pPr>
    </w:p>
    <w:p>
      <w:pPr>
        <w:pStyle w:val="2"/>
        <w:numPr>
          <w:ilvl w:val="0"/>
          <w:numId w:val="0"/>
        </w:numPr>
        <w:tabs>
          <w:tab w:val="clear" w:pos="420"/>
        </w:tabs>
        <w:spacing w:line="600" w:lineRule="exact"/>
        <w:rPr>
          <w:rFonts w:ascii="黑体" w:eastAsia="方正黑体_GBK"/>
          <w:b w:val="0"/>
          <w:bCs w:val="0"/>
          <w:color w:val="000000"/>
          <w:sz w:val="32"/>
          <w:szCs w:val="32"/>
        </w:rPr>
      </w:pPr>
      <w:r>
        <w:rPr>
          <w:rFonts w:hint="eastAsia" w:ascii="黑体" w:eastAsia="方正黑体_GBK"/>
          <w:b w:val="0"/>
          <w:bCs w:val="0"/>
          <w:color w:val="000000"/>
          <w:sz w:val="32"/>
          <w:szCs w:val="32"/>
        </w:rPr>
        <w:t>第三章  信用评价管理</w:t>
      </w:r>
    </w:p>
    <w:p>
      <w:pPr>
        <w:pStyle w:val="3"/>
        <w:numPr>
          <w:ilvl w:val="0"/>
          <w:numId w:val="0"/>
        </w:numPr>
        <w:tabs>
          <w:tab w:val="clear" w:pos="720"/>
        </w:tabs>
        <w:spacing w:line="600" w:lineRule="exact"/>
        <w:rPr>
          <w:rFonts w:ascii="方正楷体_GBK" w:eastAsia="方正黑体_GBK"/>
          <w:bCs w:val="0"/>
          <w:color w:val="000000"/>
          <w:sz w:val="32"/>
        </w:rPr>
      </w:pP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第十三条  </w:t>
      </w:r>
      <w:r>
        <w:rPr>
          <w:rFonts w:hint="eastAsia" w:ascii="方正仿宋_GBK" w:eastAsia="方正仿宋_GBK"/>
          <w:color w:val="000000"/>
          <w:sz w:val="32"/>
        </w:rPr>
        <w:t>公路建设市场从业单位和从业人员信用评价等级分为AA级、A级、B级、C级、D级五个等级，各信用等级对应的信用评分X或者行为分别为：</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AA级：95分≤X≤100分，信用好；</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A级：85分≤X＜95分，信用较好；</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B级：75分≤X＜85分，信用一般；</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C级：60分≤X＜75分，或者存在较重失信行为，信用较差；</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D级：X＜60分，或者存在严重失信行为，信用差。</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第十四条  </w:t>
      </w:r>
      <w:r>
        <w:rPr>
          <w:rFonts w:hint="eastAsia" w:ascii="方正仿宋_GBK" w:eastAsia="方正仿宋_GBK"/>
          <w:color w:val="000000"/>
          <w:sz w:val="32"/>
        </w:rPr>
        <w:t>对从业单位和从业人员的信用评价工作一般实行定期评价和动态评价相结合的方式，其中，其他从业单位仅实行动态评价。</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一）定期评价是市交通主管部门对从业单位和从业人员在上一年度（1月1日至12月31日）的信用行为进行的周期性评价，每年开展一次，评价范围为下列在建公路建设项目且评价期内形象进度产值大于合同金额10%的建设管理单位和具有公路相关资质的设计企业、施工企业、监理企业及其主要岗位从业人员：</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1．高速公路建设项目；</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2．概算建安投资大于1亿元的普通干线公路建设项目；</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3．概算建安投资大于2亿元的独立特大桥及隧道项目；</w:t>
      </w:r>
    </w:p>
    <w:p>
      <w:pPr>
        <w:pStyle w:val="14"/>
        <w:spacing w:line="600" w:lineRule="exact"/>
        <w:ind w:firstLine="320" w:firstLineChars="100"/>
        <w:jc w:val="left"/>
        <w:rPr>
          <w:rFonts w:ascii="方正仿宋_GBK" w:eastAsia="方正仿宋_GBK"/>
          <w:color w:val="000000"/>
          <w:sz w:val="32"/>
        </w:rPr>
      </w:pPr>
      <w:r>
        <w:rPr>
          <w:rFonts w:hint="eastAsia" w:ascii="方正仿宋_GBK" w:eastAsia="方正仿宋_GBK"/>
          <w:color w:val="000000"/>
          <w:sz w:val="32"/>
        </w:rPr>
        <w:t>（二）动态评价是从业单位和从业人员发生较重或严重失信行为时，由市交通主管部门直接确定其信用等级为C级或者D级的信用评价方式。动态评价为C级或者D级的从业单位和从业人员，自认定之日起，在本市一年内信用评价等级为C级或者D级。因受到行政处罚被直接定级的从业单位和从业人员，定级时间不得低于行政处罚期限。</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（三）分包单位以及不属于本条第一款评价范围内的从业单位和从业人员，但属于下列情形之一的，也应当纳入评价范围：</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1．在交通主管部门或者其质量监督机构受理的投诉或者举报事件中查实存在违法违规问题的从业单位和从业人员；</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2．在较大及以上等级质量或者安全生产事故责任中涉及的从业单位和从业人员；</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3．不良行为较多的从业单位和从业人员，按照项目管理权限由交通主管部门确定；</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4．项目运营期间发生重大及以上质量或者安全生产事故，负有责任的从业单位和从业人员；</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5．在项目审计过程中，审计部门移送存在重大问题的从业单位和从业人员。</w:t>
      </w:r>
    </w:p>
    <w:p>
      <w:pPr>
        <w:pStyle w:val="3"/>
        <w:numPr>
          <w:ilvl w:val="0"/>
          <w:numId w:val="0"/>
        </w:numPr>
        <w:tabs>
          <w:tab w:val="clear" w:pos="720"/>
        </w:tabs>
        <w:snapToGrid w:val="0"/>
        <w:spacing w:line="600" w:lineRule="exact"/>
        <w:ind w:firstLine="640" w:firstLineChars="200"/>
        <w:jc w:val="left"/>
        <w:rPr>
          <w:rFonts w:ascii="方正仿宋_GBK" w:eastAsia="方正仿宋_GBK"/>
          <w:color w:val="000000"/>
          <w:sz w:val="32"/>
        </w:rPr>
      </w:pPr>
      <w:r>
        <w:rPr>
          <w:rFonts w:hint="eastAsia" w:ascii="方正楷体_GBK" w:eastAsia="方正黑体_GBK"/>
          <w:bCs w:val="0"/>
          <w:color w:val="000000"/>
          <w:sz w:val="32"/>
        </w:rPr>
        <w:t xml:space="preserve">第十五条  </w:t>
      </w:r>
      <w:r>
        <w:rPr>
          <w:rFonts w:hint="eastAsia" w:ascii="方正仿宋_GBK" w:eastAsia="方正仿宋_GBK"/>
          <w:color w:val="000000"/>
          <w:sz w:val="32"/>
        </w:rPr>
        <w:t>信用评价主要包括下列内容：</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一）从业单位信用评价内容由投标行为、履约行为和其他行为构成。投标行为和履约行为初始分值为100分，均以项目单个合同段为评价单元（建设管理单位以项目为评价单元），实行累计扣分制；若有评定标准所列其他行为的，在从业单位信用评价总得分中扣减或者增加（具体信用行为评定标准和计算方法见附件1）。</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二）从业人员信用评价内容由履约行为和其他行为构成，初始分值为所在从业单位合同段（项目）的履约行为评价得分，若存在附件2评定标准中所列不良行为的，再进行直接定级或者累计扣分。其中，监理企业现场机构的监理工程师同时按照交通运输部制定的信用评价办法进行评价，评价结果上报交通运输部。</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第十六条  </w:t>
      </w:r>
      <w:r>
        <w:rPr>
          <w:rFonts w:hint="eastAsia" w:ascii="方正仿宋_GBK" w:eastAsia="方正仿宋_GBK"/>
          <w:color w:val="000000"/>
          <w:sz w:val="32"/>
        </w:rPr>
        <w:t>信用评价以下列材料作为依据：</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（一）交通主管部门及其公路事务机构、质量监督机构、造价管理机构的评审、督查、检查结果或者奖罚通报、决定；</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（二）评标报告、招标人的招标投标情况报告、建设管理单位履约检查结果以及管理工作中的其他正式文件；</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（三）举报、投诉或者质量、安全事故调查处理结果；</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（四）司法机关做出的司法认定及审计部门的审计意见；</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（五）其他可以认定不良行为的有关资料。</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以上依据以正式文件为准，按照出具日期确定参加信用评价的年度，相关部门（机构、单位）对不良行为应当使用统一规范的语言进行描述。</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一个具体行为按照标准涉及两项以上不良行为的，以扣分标准高者为准；同一代码的履约不良行为在同次检查中原则上不重复扣分。对于非严重失信行为，如在合同段（项目）首次出现，且未造成不良后果的，相关部门（机构、单位）可要求限期整改，如在限期内整改完成的，该不良行为可以不扣分。</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第十七条  </w:t>
      </w:r>
      <w:r>
        <w:rPr>
          <w:rFonts w:hint="eastAsia" w:ascii="方正仿宋_GBK" w:eastAsia="方正仿宋_GBK"/>
          <w:color w:val="000000"/>
          <w:sz w:val="32"/>
        </w:rPr>
        <w:t>信用评价按照下列程序进行：</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（一）投标行为评价。招标人完成每次招标工作后，仅对存在不良行为的从业单位进行投标行为评价，记入信用系统和招标投标情况报告，并将招标投标情况书面报告负责项目监管的交通主管部门备案。</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被投诉举报并经查实投标过程中存在不良行为的，应当追溯进行投标行为评价。联合体有不良行为的，其各方均按照相应标准同时直接定级或者扣分。</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二）履约行为评价。建设管理单位及其从业人员由交通主管部门或者其委托机构进行实时评价，并记入信用系统；设计企业、施工企业、监理企业和其他从业单位及其从业人员由建设管理单位和质量监督机构（含造价管理机构）分别进行实时评价，并记入信用系统。联合体有不良行为的，其各方均按照相应标准同时直接定级或者扣分。</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1．建设管理单位每年对应当纳入信用评价的项目合同段原则上不少于2次履约检查，以正式文件的形式记录检查结果，年度内每次检查的扣分进行当次累计，全年扣分最多的两次累加作为年度履约扣分，计算履约行为评分。</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2．质量监督机构每年对其实施监督的项目原则上不少于2次监督检查，以正式文件的形式记录监督检查结果，年度内每次检查的扣分进行当次累计，造价管理机构原则上与质量监督机构联合开展监督检查，其扣分纳入当次质量监督机构扣分累计。质量监督机构（含造价管理机构）全年扣分最多的两次累加作为年度履约扣分，计算履约行为评分。</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3．建设管理单位和质量监督机构（含造价管理机构）分别评价的履约行为评分的倒权重平均值作为该合同段的履约行为评价得分。在评价期内，若有举报、投诉或者质量、安全事故调查处理，对责任单位履约行为评价得分再次进行累计扣分。</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（三）其他行为评价。负责项目监管的交通主管部门或者市公路事务机构对从业单位及其从业人员的其他行为进行评价，在总分中扣减或者增加。</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在以上评价过程中，招标人、建设管理单位、负责项目监管的交通主管部门及质量监督机构（含造价管理机构）等评价人对评价结果签认负责，同时，应当将扣分情况告知评价对象。</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四）综合评价。市交通主管部门根据上报的信用评价结果，在核查汇总的基础上，计算全市综合评价得分。其中，对评价周期内仅存在投标行为的，不纳入评价，但其累计扣分不小于20分或者存在直接定级的较重和严重失信行为的将纳入全市综合评价。</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全市综合评价结果应当进行公示、公告。公示期不少于10日，从业单位和从业人员对评价结果有异议的，可在公示期限内按照第三十三条规定向市交通主管部门申诉。</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第十八条  </w:t>
      </w:r>
      <w:r>
        <w:rPr>
          <w:rFonts w:hint="eastAsia" w:ascii="方正仿宋_GBK" w:eastAsia="方正仿宋_GBK"/>
          <w:color w:val="000000"/>
          <w:sz w:val="32"/>
        </w:rPr>
        <w:t>公路建设项目采用施工总承包模式的，按照下列方式对施工企业进行履约行为评价：</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一）由总承包单位承担具体施工的，直接按合同段对总承包单位进行信用评价；由总承包单位的子公司或者合作单位等具有独立法人资格和符合相应资质资格条件的企业承担具体施工的，直接对具体施工企业进行信用评价。施工企业合同段履约行为评价按照第十七条第二款进行。</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（二）总承包单位在该项目的履约行为评价得分为各合同段具体施工企业履约行为评价得分的倒权重平均值。</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（三）所有承担具体施工的企业中，有2个及以上单位直接确定为D级的，总承包单位的信用评价等级直接确定为D级。</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第十九条  </w:t>
      </w:r>
      <w:r>
        <w:rPr>
          <w:rFonts w:hint="eastAsia" w:ascii="方正仿宋_GBK" w:eastAsia="方正仿宋_GBK"/>
          <w:color w:val="000000"/>
          <w:sz w:val="32"/>
        </w:rPr>
        <w:t>信用评价结果采用书面报送和信用系统网上报送两种方式相结合，报送结果应当完全一致，其中书面报送资料应当由单位负责人签字并逐页加盖公章。</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（一）定期评价结果按照下列程序报送：</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1．建设管理单位和质量监督机构应当在1月5日前完成上年度在建项目从业单位和从业人员的定期评价，其中市级公路建设项目信用评价结果报送市交通主管部门，区县级公路建设项目信用评价结果报送各区县（自治县）交通主管部门。</w:t>
      </w:r>
    </w:p>
    <w:p>
      <w:pPr>
        <w:pStyle w:val="14"/>
        <w:spacing w:line="600" w:lineRule="exact"/>
        <w:ind w:firstLine="641"/>
        <w:rPr>
          <w:rFonts w:ascii="方正仿宋_GBK" w:eastAsia="方正仿宋_GBK"/>
          <w:color w:val="000000"/>
          <w:sz w:val="32"/>
        </w:rPr>
      </w:pPr>
      <w:r>
        <w:rPr>
          <w:rFonts w:hint="eastAsia" w:ascii="方正仿宋_GBK" w:eastAsia="方正仿宋_GBK"/>
          <w:color w:val="000000"/>
          <w:sz w:val="32"/>
        </w:rPr>
        <w:t>2．各区县（自治县）交通主管部门应当在1月15日前完成上年度区县级公路从业单位和从业人员定期评价的复核与汇总，其中，普通公路评价结果报送市公路事务机构，地方高速公路评价结果报送市交通主管部门。</w:t>
      </w:r>
    </w:p>
    <w:p>
      <w:pPr>
        <w:pStyle w:val="14"/>
        <w:spacing w:line="600" w:lineRule="exact"/>
        <w:ind w:firstLine="641"/>
        <w:rPr>
          <w:rFonts w:ascii="方正仿宋_GBK" w:eastAsia="方正仿宋_GBK"/>
          <w:color w:val="000000"/>
          <w:sz w:val="32"/>
        </w:rPr>
      </w:pPr>
      <w:r>
        <w:rPr>
          <w:rFonts w:hint="eastAsia" w:ascii="方正仿宋_GBK" w:eastAsia="方正仿宋_GBK"/>
          <w:color w:val="000000"/>
          <w:sz w:val="32"/>
        </w:rPr>
        <w:t>3．市公路事务机构应当在1月25日前完成全市普通公路从业单位和从业人员定期评价的复核与汇总，将评价结果报送市交通主管部门。</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4．市交通主管部门在2月底前组织完成本市公路建设市场从业单位和从业人员综合评价，并按照交通运输部的要求上报评价结果。</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（二）动态评价结果根据前款确定的报送途径，应当随时报送、随时复核、随时发布。</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第二十条  </w:t>
      </w:r>
      <w:r>
        <w:rPr>
          <w:rFonts w:hint="eastAsia" w:ascii="方正仿宋_GBK" w:eastAsia="方正仿宋_GBK"/>
          <w:color w:val="000000"/>
          <w:sz w:val="32"/>
        </w:rPr>
        <w:t>初次进入重庆市公路建设市场的从业单位，其信用等级按照全国综合信用评价结果确定；若无，其信用等级按照注册地省级综合评价结果确定；若两者皆无，按照B级对待。</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第二十一条  </w:t>
      </w:r>
      <w:r>
        <w:rPr>
          <w:rFonts w:hint="eastAsia" w:ascii="方正仿宋_GBK" w:eastAsia="方正仿宋_GBK"/>
          <w:color w:val="000000"/>
          <w:sz w:val="32"/>
        </w:rPr>
        <w:t>从业单位信用评价结果有效期1年，下一年度无信用评价结果的，其信用评价等级可延续1年。延续1年后仍无信用评价结果的，按照初次进入确定，但不得高于其原评价等级的上一等级。</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第二十二条  </w:t>
      </w:r>
      <w:r>
        <w:rPr>
          <w:rFonts w:hint="eastAsia" w:ascii="方正仿宋_GBK" w:eastAsia="方正仿宋_GBK"/>
          <w:color w:val="000000"/>
          <w:sz w:val="32"/>
        </w:rPr>
        <w:t>从业单位资质升级的，其信用评价等级不变。企业分立的，按照新设立企业确定信用评价等级，但不得高于原评价等级。企业合并的，按照信用评价等级较低企业的等级确定合并后企业的信用评价等级。</w:t>
      </w:r>
    </w:p>
    <w:p>
      <w:pPr>
        <w:spacing w:line="600" w:lineRule="exact"/>
        <w:rPr>
          <w:rFonts w:ascii="黑体" w:eastAsia="方正黑体_GBK"/>
          <w:bCs/>
          <w:color w:val="000000"/>
          <w:sz w:val="32"/>
          <w:szCs w:val="32"/>
        </w:rPr>
      </w:pPr>
    </w:p>
    <w:p>
      <w:pPr>
        <w:pStyle w:val="2"/>
        <w:numPr>
          <w:ilvl w:val="0"/>
          <w:numId w:val="0"/>
        </w:numPr>
        <w:tabs>
          <w:tab w:val="clear" w:pos="420"/>
        </w:tabs>
        <w:spacing w:line="600" w:lineRule="exact"/>
        <w:rPr>
          <w:rFonts w:ascii="黑体" w:eastAsia="方正黑体_GBK"/>
          <w:b w:val="0"/>
          <w:bCs w:val="0"/>
          <w:color w:val="000000"/>
          <w:sz w:val="32"/>
          <w:szCs w:val="32"/>
        </w:rPr>
      </w:pPr>
      <w:r>
        <w:rPr>
          <w:rFonts w:hint="eastAsia" w:ascii="黑体" w:eastAsia="方正黑体_GBK"/>
          <w:b w:val="0"/>
          <w:bCs w:val="0"/>
          <w:color w:val="000000"/>
          <w:sz w:val="32"/>
          <w:szCs w:val="32"/>
        </w:rPr>
        <w:t>第四章  信用信息应用</w:t>
      </w:r>
      <w:bookmarkStart w:id="0" w:name="OLE_LINK1"/>
      <w:bookmarkEnd w:id="0"/>
    </w:p>
    <w:p>
      <w:pPr>
        <w:pStyle w:val="3"/>
        <w:numPr>
          <w:ilvl w:val="0"/>
          <w:numId w:val="0"/>
        </w:numPr>
        <w:tabs>
          <w:tab w:val="clear" w:pos="720"/>
        </w:tabs>
        <w:spacing w:line="600" w:lineRule="exact"/>
        <w:ind w:firstLine="640" w:firstLineChars="200"/>
        <w:rPr>
          <w:rFonts w:ascii="方正楷体_GBK" w:eastAsia="方正黑体_GBK"/>
          <w:bCs w:val="0"/>
          <w:color w:val="000000"/>
          <w:sz w:val="32"/>
        </w:rPr>
      </w:pP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第二十三条  </w:t>
      </w:r>
      <w:r>
        <w:rPr>
          <w:rFonts w:hint="eastAsia" w:ascii="方正仿宋_GBK" w:eastAsia="方正仿宋_GBK"/>
          <w:color w:val="000000"/>
          <w:sz w:val="32"/>
        </w:rPr>
        <w:t>进入重庆市公路建设市场的所有从业单位均应及时登录信用系统发布其基本信息，未记录在信用系统中的从业单位，参与重庆市公路建设项目从业单位选择时不予认定，从业单位选择包括公开招标、邀请招标、非招标采购和直接发包等方式。</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第二十四条  </w:t>
      </w:r>
      <w:r>
        <w:rPr>
          <w:rFonts w:hint="eastAsia" w:ascii="方正仿宋_GBK" w:eastAsia="方正仿宋_GBK"/>
          <w:color w:val="000000"/>
          <w:sz w:val="32"/>
        </w:rPr>
        <w:t>从业单位和从业人员信用记录是公路建设项目招标资格审查和评标工作的重要依据，从业单位参与投标时，投标文件中填报的资质、业绩、主要人员资历和目前在岗情况、信用等级等信息，应当与其在信用系统上填报并发布的相关信息一致，信用系统相应的信息打印件或者网页截图复印件可作为证明材料，不再提交有关证明材料的复印件。</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招标人对信用等级高的投标人或者中标人，可以给予增加参与投标的合同段数量，减免投标保证金，减少履约保证金、质量保证金等优惠措施。</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第二十五条  </w:t>
      </w:r>
      <w:r>
        <w:rPr>
          <w:rFonts w:hint="eastAsia" w:ascii="方正仿宋_GBK" w:eastAsia="方正仿宋_GBK"/>
          <w:color w:val="000000"/>
          <w:sz w:val="32"/>
        </w:rPr>
        <w:t>从业单位或者从业人员信用记录有下列情形之一的，禁止准入重庆市公路建设市场：</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（一）受到交通运输部或者市交通主管部门取消投标资格处罚，且在处罚期内的；</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（二）受到交通运输部或者市交通主管部门禁止从业处罚，且在处罚期内的；</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（三）存在法律法规规定的其他禁止准入或禁止从业情形的。</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第二十六条  </w:t>
      </w:r>
      <w:r>
        <w:rPr>
          <w:rFonts w:hint="eastAsia" w:ascii="方正仿宋_GBK" w:eastAsia="方正仿宋_GBK"/>
          <w:color w:val="000000"/>
          <w:sz w:val="32"/>
        </w:rPr>
        <w:t>从业单位或者从业人员信用记录有下列情形之一的，招标人可以在招标文件中约定限制其参与重庆市公路建设项目的投标，非必须招标项目参照执行：</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（一）最近一个年度公路建设市场全国综合信用评价结果为D级的；</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（二）最近一个年度公路建设市场重庆市综合信用评价结果为D级的；</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（三）初次进入重庆市公路建设市场信用等级确定为D级的；</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（四）重庆市公路建设项目发生重大及以上安全生产或者质量责任事故，并经认定负有责任的，自认定之日起一年内。</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第二十七条  </w:t>
      </w:r>
      <w:r>
        <w:rPr>
          <w:rFonts w:hint="eastAsia" w:ascii="方正仿宋_GBK" w:eastAsia="方正仿宋_GBK"/>
          <w:color w:val="000000"/>
          <w:sz w:val="32"/>
        </w:rPr>
        <w:t>从业人员信用记录有下列情形之一的，招标人可以在招标文件中约定限制其作为重庆市公路建设市场主要岗位从业人员：</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（一）最近一个年度重庆市公路建设市场从业人员综合信用评价等级确定为C级或者D级的；</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（二）受到交通运输部或者市交通主管部门行政处罚，自处罚生效之日起一年内；</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（三）重庆市公路建设项目发生较大安全生产或者质量责任事故，并经认定负有责任的，自认定之日起一年内；</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第二十八条  </w:t>
      </w:r>
      <w:r>
        <w:rPr>
          <w:rFonts w:hint="eastAsia" w:ascii="方正仿宋_GBK" w:eastAsia="方正仿宋_GBK"/>
          <w:color w:val="000000"/>
          <w:sz w:val="32"/>
        </w:rPr>
        <w:t>招标人在编制招标文件时，可以根据项目具体情况确定投标人信用记录的量化方式和信用分值。信用分值为信用评价分值与动态信用分值之和，其中信用评价分值按照确定的信用评价等级计分，动态信用分值根据表彰奖励类良好行为信息和行政处罚类不良行为信息按次累计计分，并按照信用优先的原则推荐中标候选人（具体信用分值设置和推荐程序可以参照附件3、4）。联合体参与投标的，其信用等级按照联合体中最低等级方认定。</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第二十九条  </w:t>
      </w:r>
      <w:r>
        <w:rPr>
          <w:rFonts w:hint="eastAsia" w:ascii="方正仿宋_GBK" w:eastAsia="方正仿宋_GBK"/>
          <w:color w:val="000000"/>
          <w:sz w:val="32"/>
        </w:rPr>
        <w:t>前述从业单位和从业人员信用记录的具体应用事项应当在招标文件等相关进行从业单位选择的文件中载明。</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第三十条  </w:t>
      </w:r>
      <w:r>
        <w:rPr>
          <w:rFonts w:hint="eastAsia" w:ascii="方正仿宋_GBK" w:eastAsia="方正仿宋_GBK"/>
          <w:color w:val="000000"/>
          <w:sz w:val="32"/>
        </w:rPr>
        <w:t>市交通主管部门在开展资质审查、监督检查、职业资格、投诉举报核实、注册审核和评标工作时，应查询和使用信用信息。</w:t>
      </w:r>
    </w:p>
    <w:p>
      <w:pPr>
        <w:spacing w:line="600" w:lineRule="exact"/>
        <w:rPr>
          <w:color w:val="000000"/>
          <w:sz w:val="32"/>
          <w:szCs w:val="32"/>
        </w:rPr>
      </w:pPr>
    </w:p>
    <w:p>
      <w:pPr>
        <w:pStyle w:val="2"/>
        <w:numPr>
          <w:ilvl w:val="0"/>
          <w:numId w:val="0"/>
        </w:numPr>
        <w:tabs>
          <w:tab w:val="clear" w:pos="420"/>
        </w:tabs>
        <w:spacing w:line="600" w:lineRule="exact"/>
        <w:rPr>
          <w:rFonts w:ascii="黑体" w:eastAsia="方正黑体_GBK"/>
          <w:b w:val="0"/>
          <w:bCs w:val="0"/>
          <w:color w:val="000000"/>
          <w:sz w:val="32"/>
          <w:szCs w:val="32"/>
        </w:rPr>
      </w:pPr>
      <w:r>
        <w:rPr>
          <w:rFonts w:hint="eastAsia" w:ascii="黑体" w:eastAsia="方正黑体_GBK"/>
          <w:b w:val="0"/>
          <w:bCs w:val="0"/>
          <w:color w:val="000000"/>
          <w:sz w:val="32"/>
          <w:szCs w:val="32"/>
        </w:rPr>
        <w:t>第五章  监督管理</w:t>
      </w:r>
    </w:p>
    <w:p>
      <w:pPr>
        <w:spacing w:line="600" w:lineRule="exact"/>
        <w:rPr>
          <w:color w:val="000000"/>
          <w:sz w:val="32"/>
          <w:szCs w:val="32"/>
        </w:rPr>
      </w:pP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第三十一条  </w:t>
      </w:r>
      <w:r>
        <w:rPr>
          <w:rFonts w:hint="eastAsia" w:ascii="方正仿宋_GBK" w:eastAsia="方正仿宋_GBK"/>
          <w:color w:val="000000"/>
          <w:sz w:val="32"/>
        </w:rPr>
        <w:t>建设管理单位应当建立从业单位和从业人员信用管理台帐，及时、客观、公正地对从业单位和从业人员进行信用评价，不得徇私舞弊，不得设置市场壁垒，一经发现，将予以通报批评，并作为不良行为记入信用系统。</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第三十二条  </w:t>
      </w:r>
      <w:r>
        <w:rPr>
          <w:rFonts w:hint="eastAsia" w:ascii="方正仿宋_GBK" w:eastAsia="方正仿宋_GBK"/>
          <w:color w:val="000000"/>
          <w:sz w:val="32"/>
        </w:rPr>
        <w:t>公路建设市场信用管理工作接受社会监督，任何单位和个人发现下列情况均可向市交通主管部门投诉或者举报：</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（一）从业单位在信用系统中填报虚假信息；</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（二）从业单位或者从业人员存在不良行为；</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（三）信用评价工作中的违纪、违规行为。</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第三十三条  </w:t>
      </w:r>
      <w:r>
        <w:rPr>
          <w:rFonts w:hint="eastAsia" w:ascii="方正仿宋_GBK" w:eastAsia="方正仿宋_GBK"/>
          <w:color w:val="000000"/>
          <w:sz w:val="32"/>
        </w:rPr>
        <w:t>申诉、投诉或者举报应当提供书面材料，且包括下列内容：</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（一）</w:t>
      </w:r>
      <w:bookmarkStart w:id="1" w:name="OLE_LINK2"/>
      <w:r>
        <w:rPr>
          <w:rFonts w:hint="eastAsia" w:ascii="方正仿宋_GBK" w:eastAsia="方正仿宋_GBK"/>
          <w:color w:val="000000"/>
          <w:sz w:val="32"/>
        </w:rPr>
        <w:t>申诉（投诉、举报）人</w:t>
      </w:r>
      <w:bookmarkEnd w:id="1"/>
      <w:r>
        <w:rPr>
          <w:rFonts w:hint="eastAsia" w:ascii="方正仿宋_GBK" w:eastAsia="方正仿宋_GBK"/>
          <w:color w:val="000000"/>
          <w:sz w:val="32"/>
        </w:rPr>
        <w:t>的名称、地址及有效联系方式，申诉（投诉、举报）人为单位的，应当由法定代表人签名并加盖法人单位公章。</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（二）申诉（投诉、举报）事项的基本事实；</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（三）请求及主张；</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（四）相关证据、证明材料。</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市交通主管部门收到符合上述条件的申诉、投诉或者举报书面材料后，及时组织调查、核查，在30日内将处理结果告知申诉（投诉、举报）人。</w:t>
      </w:r>
    </w:p>
    <w:p>
      <w:pPr>
        <w:pStyle w:val="3"/>
        <w:numPr>
          <w:ilvl w:val="0"/>
          <w:numId w:val="0"/>
        </w:numPr>
        <w:tabs>
          <w:tab w:val="clear" w:pos="720"/>
        </w:tabs>
        <w:spacing w:line="600" w:lineRule="exact"/>
        <w:ind w:firstLine="640" w:firstLineChars="200"/>
        <w:rPr>
          <w:rFonts w:ascii="方正仿宋_GBK" w:eastAsia="方正仿宋_GBK"/>
          <w:color w:val="000000"/>
          <w:sz w:val="32"/>
        </w:rPr>
      </w:pPr>
      <w:bookmarkStart w:id="2" w:name="OLE_LINK6"/>
      <w:bookmarkEnd w:id="2"/>
      <w:r>
        <w:rPr>
          <w:rFonts w:hint="eastAsia" w:ascii="方正楷体_GBK" w:eastAsia="方正黑体_GBK"/>
          <w:bCs w:val="0"/>
          <w:color w:val="000000"/>
          <w:sz w:val="32"/>
        </w:rPr>
        <w:t xml:space="preserve">第三十四条  </w:t>
      </w:r>
      <w:r>
        <w:rPr>
          <w:rFonts w:hint="eastAsia" w:ascii="方正仿宋_GBK" w:eastAsia="方正仿宋_GBK"/>
          <w:color w:val="000000"/>
          <w:sz w:val="32"/>
        </w:rPr>
        <w:t>市交通主管部门查实从业单位在信用系统中填报虚假信息的，作如下处理：</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（一）撤销从业单位在信用系统发布的所有信息，从业单位应当复核其真实性，在有效整改后，经申请可以重新发布；重新发布后，因再次填报虚假信息被撤销发布的，市交通主管部门可以不再受理其发布申请。</w:t>
      </w:r>
    </w:p>
    <w:p>
      <w:pPr>
        <w:pStyle w:val="14"/>
        <w:spacing w:line="600" w:lineRule="exact"/>
        <w:ind w:firstLine="320" w:firstLineChars="100"/>
        <w:rPr>
          <w:rFonts w:ascii="方正仿宋_GBK" w:eastAsia="方正仿宋_GBK"/>
          <w:color w:val="000000"/>
          <w:sz w:val="32"/>
        </w:rPr>
      </w:pPr>
      <w:r>
        <w:rPr>
          <w:rFonts w:hint="eastAsia" w:ascii="方正仿宋_GBK" w:eastAsia="方正仿宋_GBK"/>
          <w:color w:val="000000"/>
          <w:sz w:val="32"/>
        </w:rPr>
        <w:t>（二）作为从业单位不良行为，直接确定其信用等级为C级。</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第三十五条  </w:t>
      </w:r>
      <w:r>
        <w:rPr>
          <w:rFonts w:hint="eastAsia" w:ascii="方正仿宋_GBK" w:eastAsia="方正仿宋_GBK"/>
          <w:color w:val="000000"/>
          <w:sz w:val="32"/>
        </w:rPr>
        <w:t>市交通主管部门在从业单位市场行为的动态管理中，可对勘察、设计、施工、监理、试验检测等具备国家有关部门许可资质的从业单位，是否满足资质标准条件进行抽查，发现人员、技术装备、业绩等指标低于相关资质标准要求或者弄虚作假的，直接确定其信用等级为C级，整改期间其信息在信用系统不予发布，整改后仍不符合要求的，函告有关部门撤回其资质证书。</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第三十六条  </w:t>
      </w:r>
      <w:r>
        <w:rPr>
          <w:rFonts w:hint="eastAsia" w:ascii="方正仿宋_GBK" w:eastAsia="方正仿宋_GBK"/>
          <w:color w:val="000000"/>
          <w:sz w:val="32"/>
        </w:rPr>
        <w:t>交通主管部门应当建立健全信用评价工作机制和监督举报制度，结合督查工作不定期对从业单位和从业人员的从业行为进行抽查，当招标人或者建设管理单位对从业单位或者从业人员的评价与实际情况不符的，应当责令招标人或者建设管理单位重新评价，也可以直接予以调整。</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第三十七条  </w:t>
      </w:r>
      <w:r>
        <w:rPr>
          <w:rFonts w:hint="eastAsia" w:ascii="方正仿宋_GBK" w:eastAsia="方正仿宋_GBK"/>
          <w:color w:val="000000"/>
          <w:sz w:val="32"/>
        </w:rPr>
        <w:t>交通主管部门及其公路事务机构、质量监督机构、造价管理机构违反本细则规定，在信用管理中徇私舞弊、滥用职权或者玩忽职守的，按照国家有关规定处理。构成犯罪的，由司法部门依法追究刑事责任。</w:t>
      </w:r>
    </w:p>
    <w:p>
      <w:pPr>
        <w:pStyle w:val="2"/>
        <w:numPr>
          <w:ilvl w:val="0"/>
          <w:numId w:val="0"/>
        </w:numPr>
        <w:tabs>
          <w:tab w:val="clear" w:pos="420"/>
        </w:tabs>
        <w:spacing w:line="600" w:lineRule="exact"/>
        <w:jc w:val="both"/>
        <w:rPr>
          <w:rFonts w:ascii="黑体" w:eastAsia="方正黑体_GBK"/>
          <w:b w:val="0"/>
          <w:bCs w:val="0"/>
          <w:color w:val="000000"/>
          <w:sz w:val="32"/>
          <w:szCs w:val="32"/>
        </w:rPr>
      </w:pPr>
    </w:p>
    <w:p>
      <w:pPr>
        <w:pStyle w:val="2"/>
        <w:numPr>
          <w:ilvl w:val="0"/>
          <w:numId w:val="0"/>
        </w:numPr>
        <w:tabs>
          <w:tab w:val="clear" w:pos="420"/>
        </w:tabs>
        <w:spacing w:line="600" w:lineRule="exact"/>
        <w:rPr>
          <w:rFonts w:ascii="黑体" w:eastAsia="方正黑体_GBK"/>
          <w:b w:val="0"/>
          <w:bCs w:val="0"/>
          <w:color w:val="000000"/>
          <w:sz w:val="32"/>
          <w:szCs w:val="32"/>
        </w:rPr>
      </w:pPr>
      <w:r>
        <w:rPr>
          <w:rFonts w:hint="eastAsia" w:ascii="黑体" w:eastAsia="方正黑体_GBK"/>
          <w:b w:val="0"/>
          <w:bCs w:val="0"/>
          <w:color w:val="000000"/>
          <w:sz w:val="32"/>
          <w:szCs w:val="32"/>
        </w:rPr>
        <w:t>第六章  附则</w:t>
      </w:r>
    </w:p>
    <w:p>
      <w:pPr>
        <w:pStyle w:val="3"/>
        <w:numPr>
          <w:ilvl w:val="0"/>
          <w:numId w:val="0"/>
        </w:numPr>
        <w:tabs>
          <w:tab w:val="clear" w:pos="720"/>
        </w:tabs>
        <w:spacing w:line="600" w:lineRule="exact"/>
        <w:rPr>
          <w:rFonts w:ascii="方正楷体_GBK" w:eastAsia="方正黑体_GBK"/>
          <w:bCs w:val="0"/>
          <w:color w:val="000000"/>
          <w:sz w:val="32"/>
        </w:rPr>
      </w:pP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第三十八条  </w:t>
      </w:r>
      <w:r>
        <w:rPr>
          <w:rFonts w:hint="eastAsia" w:ascii="方正仿宋_GBK" w:eastAsia="方正仿宋_GBK"/>
          <w:color w:val="000000"/>
          <w:sz w:val="32"/>
        </w:rPr>
        <w:t>各区县（自治县）交通主管部门可依据本细则制定本行政区域公路建设市场信用管理实施细则。</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第三十九条  </w:t>
      </w:r>
      <w:r>
        <w:rPr>
          <w:rFonts w:hint="eastAsia" w:ascii="方正仿宋_GBK" w:eastAsia="方正仿宋_GBK"/>
          <w:color w:val="000000"/>
          <w:sz w:val="32"/>
        </w:rPr>
        <w:t>本细则自2022年1月1日起施行。《重庆市公路建设市场信用管理办法》（渝交委路〔2018〕100号）同时废止。</w:t>
      </w:r>
    </w:p>
    <w:p>
      <w:pPr>
        <w:pStyle w:val="14"/>
        <w:spacing w:line="600" w:lineRule="exact"/>
        <w:jc w:val="left"/>
        <w:rPr>
          <w:rFonts w:ascii="方正仿宋_GBK" w:hAnsi="Cambria" w:eastAsia="方正仿宋_GBK"/>
          <w:bCs/>
          <w:color w:val="000000"/>
          <w:kern w:val="2"/>
          <w:sz w:val="32"/>
        </w:rPr>
      </w:pPr>
    </w:p>
    <w:p>
      <w:pPr>
        <w:pStyle w:val="14"/>
        <w:spacing w:line="600" w:lineRule="exact"/>
        <w:ind w:left="2398" w:leftChars="304" w:hanging="1760" w:hangingChars="550"/>
        <w:jc w:val="left"/>
        <w:rPr>
          <w:rFonts w:ascii="方正仿宋_GBK" w:hAnsi="Cambria" w:eastAsia="方正仿宋_GBK"/>
          <w:bCs/>
          <w:color w:val="000000"/>
          <w:kern w:val="2"/>
          <w:sz w:val="32"/>
        </w:rPr>
      </w:pPr>
      <w:r>
        <w:rPr>
          <w:rFonts w:hint="eastAsia" w:ascii="方正仿宋_GBK" w:hAnsi="Cambria" w:eastAsia="方正仿宋_GBK"/>
          <w:bCs/>
          <w:color w:val="000000"/>
          <w:kern w:val="2"/>
          <w:sz w:val="32"/>
        </w:rPr>
        <w:t>附件：1-1．重庆市公路建设市场建设管理单位信用行为评定标准</w:t>
      </w:r>
    </w:p>
    <w:p>
      <w:pPr>
        <w:pStyle w:val="14"/>
        <w:spacing w:line="600" w:lineRule="exact"/>
        <w:ind w:firstLine="1600" w:firstLineChars="500"/>
        <w:jc w:val="left"/>
        <w:rPr>
          <w:rFonts w:ascii="方正仿宋_GBK" w:hAnsi="Cambria" w:eastAsia="方正仿宋_GBK"/>
          <w:bCs/>
          <w:color w:val="000000"/>
          <w:spacing w:val="-10"/>
          <w:kern w:val="2"/>
          <w:sz w:val="32"/>
        </w:rPr>
      </w:pPr>
      <w:r>
        <w:rPr>
          <w:rFonts w:hint="eastAsia" w:ascii="方正仿宋_GBK" w:hAnsi="Cambria" w:eastAsia="方正仿宋_GBK"/>
          <w:bCs/>
          <w:color w:val="000000"/>
          <w:kern w:val="2"/>
          <w:sz w:val="32"/>
        </w:rPr>
        <w:t>1-2．重</w:t>
      </w:r>
      <w:r>
        <w:rPr>
          <w:rFonts w:hint="eastAsia" w:ascii="方正仿宋_GBK" w:hAnsi="Cambria" w:eastAsia="方正仿宋_GBK"/>
          <w:bCs/>
          <w:color w:val="000000"/>
          <w:spacing w:val="-10"/>
          <w:kern w:val="2"/>
          <w:sz w:val="32"/>
        </w:rPr>
        <w:t>庆市公路建设市场设计企业信用行为评定标准</w:t>
      </w:r>
    </w:p>
    <w:p>
      <w:pPr>
        <w:pStyle w:val="14"/>
        <w:spacing w:line="600" w:lineRule="exact"/>
        <w:ind w:firstLine="1600" w:firstLineChars="500"/>
        <w:jc w:val="left"/>
        <w:rPr>
          <w:rFonts w:ascii="方正仿宋_GBK" w:hAnsi="Cambria" w:eastAsia="方正仿宋_GBK"/>
          <w:bCs/>
          <w:color w:val="000000"/>
          <w:spacing w:val="-10"/>
          <w:kern w:val="2"/>
          <w:sz w:val="32"/>
        </w:rPr>
      </w:pPr>
      <w:r>
        <w:rPr>
          <w:rFonts w:hint="eastAsia" w:ascii="方正仿宋_GBK" w:hAnsi="Cambria" w:eastAsia="方正仿宋_GBK"/>
          <w:bCs/>
          <w:color w:val="000000"/>
          <w:kern w:val="2"/>
          <w:sz w:val="32"/>
        </w:rPr>
        <w:t>1-3．重</w:t>
      </w:r>
      <w:r>
        <w:rPr>
          <w:rFonts w:hint="eastAsia" w:ascii="方正仿宋_GBK" w:hAnsi="Cambria" w:eastAsia="方正仿宋_GBK"/>
          <w:bCs/>
          <w:color w:val="000000"/>
          <w:spacing w:val="-10"/>
          <w:kern w:val="2"/>
          <w:sz w:val="32"/>
        </w:rPr>
        <w:t>庆市公路建设市场施工企业信用行为评定标准</w:t>
      </w:r>
    </w:p>
    <w:p>
      <w:pPr>
        <w:pStyle w:val="14"/>
        <w:spacing w:line="600" w:lineRule="exact"/>
        <w:ind w:firstLine="1600" w:firstLineChars="500"/>
        <w:jc w:val="left"/>
        <w:rPr>
          <w:rFonts w:ascii="方正仿宋_GBK" w:hAnsi="Cambria" w:eastAsia="方正仿宋_GBK"/>
          <w:bCs/>
          <w:color w:val="000000"/>
          <w:spacing w:val="-10"/>
          <w:kern w:val="2"/>
          <w:sz w:val="32"/>
        </w:rPr>
      </w:pPr>
      <w:r>
        <w:rPr>
          <w:rFonts w:hint="eastAsia" w:ascii="方正仿宋_GBK" w:hAnsi="Cambria" w:eastAsia="方正仿宋_GBK"/>
          <w:bCs/>
          <w:color w:val="000000"/>
          <w:kern w:val="2"/>
          <w:sz w:val="32"/>
        </w:rPr>
        <w:t>1-4．重</w:t>
      </w:r>
      <w:r>
        <w:rPr>
          <w:rFonts w:hint="eastAsia" w:ascii="方正仿宋_GBK" w:hAnsi="Cambria" w:eastAsia="方正仿宋_GBK"/>
          <w:bCs/>
          <w:color w:val="000000"/>
          <w:spacing w:val="-10"/>
          <w:kern w:val="2"/>
          <w:sz w:val="32"/>
        </w:rPr>
        <w:t>庆市公路建设市场监理企业信用行为评定标准</w:t>
      </w:r>
    </w:p>
    <w:p>
      <w:pPr>
        <w:pStyle w:val="14"/>
        <w:spacing w:line="600" w:lineRule="exact"/>
        <w:ind w:left="2396" w:leftChars="760" w:hanging="800" w:hangingChars="250"/>
        <w:jc w:val="left"/>
        <w:rPr>
          <w:rFonts w:ascii="方正仿宋_GBK" w:hAnsi="Cambria" w:eastAsia="方正仿宋_GBK"/>
          <w:bCs/>
          <w:color w:val="000000"/>
          <w:kern w:val="2"/>
          <w:sz w:val="32"/>
        </w:rPr>
      </w:pPr>
      <w:r>
        <w:rPr>
          <w:rFonts w:hint="eastAsia" w:ascii="方正仿宋_GBK" w:hAnsi="Cambria" w:eastAsia="方正仿宋_GBK"/>
          <w:bCs/>
          <w:color w:val="000000"/>
          <w:kern w:val="2"/>
          <w:sz w:val="32"/>
        </w:rPr>
        <w:t>1-5．重庆市公路建设市场其他从业单位信用行为评定标准</w:t>
      </w:r>
    </w:p>
    <w:p>
      <w:pPr>
        <w:pStyle w:val="14"/>
        <w:spacing w:line="600" w:lineRule="exact"/>
        <w:ind w:firstLine="1600" w:firstLineChars="500"/>
        <w:jc w:val="left"/>
        <w:rPr>
          <w:rFonts w:ascii="方正仿宋_GBK" w:hAnsi="Cambria" w:eastAsia="方正仿宋_GBK"/>
          <w:bCs/>
          <w:color w:val="000000"/>
          <w:spacing w:val="-10"/>
          <w:kern w:val="2"/>
          <w:sz w:val="32"/>
        </w:rPr>
      </w:pPr>
      <w:r>
        <w:rPr>
          <w:rFonts w:hint="eastAsia" w:ascii="方正仿宋_GBK" w:hAnsi="Cambria" w:eastAsia="方正仿宋_GBK"/>
          <w:bCs/>
          <w:color w:val="000000"/>
          <w:kern w:val="2"/>
          <w:sz w:val="32"/>
        </w:rPr>
        <w:t>1-6．重</w:t>
      </w:r>
      <w:r>
        <w:rPr>
          <w:rFonts w:hint="eastAsia" w:ascii="方正仿宋_GBK" w:hAnsi="Cambria" w:eastAsia="方正仿宋_GBK"/>
          <w:bCs/>
          <w:color w:val="000000"/>
          <w:spacing w:val="-10"/>
          <w:kern w:val="2"/>
          <w:sz w:val="32"/>
        </w:rPr>
        <w:t>庆市公路建设市场从业单位信用评价计算方法</w:t>
      </w:r>
    </w:p>
    <w:p>
      <w:pPr>
        <w:pStyle w:val="14"/>
        <w:spacing w:line="600" w:lineRule="exact"/>
        <w:ind w:firstLine="1600" w:firstLineChars="500"/>
        <w:jc w:val="left"/>
        <w:rPr>
          <w:rFonts w:ascii="方正仿宋_GBK" w:hAnsi="Cambria" w:eastAsia="方正仿宋_GBK"/>
          <w:bCs/>
          <w:color w:val="000000"/>
          <w:kern w:val="2"/>
          <w:sz w:val="32"/>
        </w:rPr>
      </w:pPr>
      <w:r>
        <w:rPr>
          <w:rFonts w:hint="eastAsia" w:ascii="方正仿宋_GBK" w:hAnsi="Cambria" w:eastAsia="方正仿宋_GBK"/>
          <w:bCs/>
          <w:color w:val="000000"/>
          <w:kern w:val="2"/>
          <w:sz w:val="32"/>
        </w:rPr>
        <w:t>2．重庆市公路建设市场从业人员信用行为评定标准</w:t>
      </w:r>
    </w:p>
    <w:p>
      <w:pPr>
        <w:pStyle w:val="14"/>
        <w:spacing w:line="600" w:lineRule="exact"/>
        <w:ind w:firstLine="1600" w:firstLineChars="500"/>
        <w:jc w:val="left"/>
        <w:rPr>
          <w:rFonts w:ascii="方正仿宋_GBK" w:hAnsi="Cambria" w:eastAsia="方正仿宋_GBK"/>
          <w:bCs/>
          <w:color w:val="000000"/>
          <w:spacing w:val="-10"/>
          <w:kern w:val="2"/>
          <w:sz w:val="32"/>
        </w:rPr>
      </w:pPr>
      <w:r>
        <w:rPr>
          <w:rFonts w:hint="eastAsia" w:ascii="方正仿宋_GBK" w:hAnsi="Cambria" w:eastAsia="方正仿宋_GBK"/>
          <w:bCs/>
          <w:color w:val="000000"/>
          <w:kern w:val="2"/>
          <w:sz w:val="32"/>
        </w:rPr>
        <w:t>3．重</w:t>
      </w:r>
      <w:r>
        <w:rPr>
          <w:rFonts w:hint="eastAsia" w:ascii="方正仿宋_GBK" w:hAnsi="Cambria" w:eastAsia="方正仿宋_GBK"/>
          <w:bCs/>
          <w:color w:val="000000"/>
          <w:spacing w:val="-10"/>
          <w:kern w:val="2"/>
          <w:sz w:val="32"/>
        </w:rPr>
        <w:t>庆市公路建设市场从业单位信用分值设置参考表</w:t>
      </w:r>
    </w:p>
    <w:p>
      <w:pPr>
        <w:pStyle w:val="14"/>
        <w:spacing w:line="600" w:lineRule="exact"/>
        <w:ind w:firstLine="1600" w:firstLineChars="500"/>
        <w:jc w:val="left"/>
        <w:rPr>
          <w:rFonts w:ascii="方正仿宋_GBK" w:hAnsi="Cambria" w:eastAsia="方正仿宋_GBK"/>
          <w:bCs/>
          <w:color w:val="000000"/>
          <w:kern w:val="2"/>
          <w:sz w:val="32"/>
        </w:rPr>
      </w:pPr>
      <w:r>
        <w:rPr>
          <w:rFonts w:hint="eastAsia" w:ascii="方正仿宋_GBK" w:hAnsi="Cambria" w:eastAsia="方正仿宋_GBK"/>
          <w:bCs/>
          <w:color w:val="000000"/>
          <w:kern w:val="2"/>
          <w:sz w:val="32"/>
        </w:rPr>
        <w:t>4．重庆市公路建设市场中标候选人推荐参考程序</w:t>
      </w:r>
    </w:p>
    <w:p>
      <w:pPr>
        <w:rPr>
          <w:color w:val="000000"/>
        </w:rPr>
      </w:pPr>
    </w:p>
    <w:p>
      <w:pPr>
        <w:rPr>
          <w:rFonts w:ascii="方正仿宋_GBK" w:eastAsia="方正仿宋_GBK"/>
          <w:color w:val="000000"/>
          <w:sz w:val="32"/>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sz w:val="32"/>
        </w:rPr>
      </w:pPr>
      <w:r>
        <w:rPr>
          <w:rFonts w:hint="eastAsia" w:ascii="方正黑体_GBK" w:eastAsia="方正黑体_GBK"/>
          <w:color w:val="000000"/>
          <w:sz w:val="32"/>
        </w:rPr>
        <w:t>附件1-1</w:t>
      </w:r>
    </w:p>
    <w:p>
      <w:pPr>
        <w:pStyle w:val="14"/>
        <w:spacing w:line="500" w:lineRule="atLeast"/>
        <w:jc w:val="center"/>
        <w:rPr>
          <w:rFonts w:ascii="方正仿宋_GBK" w:eastAsia="方正仿宋_GBK"/>
          <w:color w:val="000000"/>
        </w:rPr>
      </w:pPr>
    </w:p>
    <w:p>
      <w:pPr>
        <w:pStyle w:val="14"/>
        <w:spacing w:line="54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重庆市公路建设市场建设管理单位</w:t>
      </w:r>
    </w:p>
    <w:p>
      <w:pPr>
        <w:pStyle w:val="14"/>
        <w:spacing w:line="54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信用行为评定标准</w:t>
      </w:r>
    </w:p>
    <w:p>
      <w:pPr>
        <w:pStyle w:val="14"/>
        <w:spacing w:line="540" w:lineRule="exact"/>
        <w:jc w:val="center"/>
        <w:rPr>
          <w:rFonts w:ascii="方正小标宋_GBK" w:eastAsia="方正小标宋_GBK"/>
          <w:color w:val="000000"/>
          <w:sz w:val="44"/>
          <w:szCs w:val="44"/>
        </w:rPr>
      </w:pPr>
    </w:p>
    <w:tbl>
      <w:tblPr>
        <w:tblStyle w:val="10"/>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64"/>
        <w:gridCol w:w="1301"/>
        <w:gridCol w:w="1415"/>
        <w:gridCol w:w="2684"/>
        <w:gridCol w:w="1464"/>
        <w:gridCol w:w="11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9" w:hRule="atLeast"/>
          <w:tblHeader/>
          <w:jc w:val="center"/>
        </w:trPr>
        <w:tc>
          <w:tcPr>
            <w:tcW w:w="1302" w:type="pct"/>
            <w:gridSpan w:val="2"/>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评定内容</w:t>
            </w:r>
          </w:p>
        </w:tc>
        <w:tc>
          <w:tcPr>
            <w:tcW w:w="781" w:type="pct"/>
            <w:vAlign w:val="center"/>
          </w:tcPr>
          <w:p>
            <w:pPr>
              <w:pStyle w:val="14"/>
              <w:spacing w:line="260" w:lineRule="atLeast"/>
              <w:ind w:left="149" w:right="-174" w:hanging="149"/>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行为代码</w:t>
            </w:r>
          </w:p>
        </w:tc>
        <w:tc>
          <w:tcPr>
            <w:tcW w:w="1481" w:type="pct"/>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不良行为</w:t>
            </w:r>
          </w:p>
        </w:tc>
        <w:tc>
          <w:tcPr>
            <w:tcW w:w="808" w:type="pct"/>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信用等级和</w:t>
            </w:r>
          </w:p>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扣分标准</w:t>
            </w:r>
          </w:p>
        </w:tc>
        <w:tc>
          <w:tcPr>
            <w:tcW w:w="629" w:type="pct"/>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投标行为（满分100分，行为代码GLJS1）</w:t>
            </w: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较重或严重失信行为（行为代码GLJS1-1）</w:t>
            </w: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GLJS1-1-1</w:t>
            </w:r>
          </w:p>
        </w:tc>
        <w:tc>
          <w:tcPr>
            <w:tcW w:w="1481" w:type="pct"/>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被招投标管理机构认定有串通投标行为的</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Merge w:val="restart"/>
            <w:vAlign w:val="center"/>
          </w:tcPr>
          <w:p>
            <w:pPr>
              <w:pStyle w:val="14"/>
              <w:spacing w:line="20" w:lineRule="atLeast"/>
              <w:jc w:val="center"/>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作为投标人参与公路建设项目的建设管理招投标活动时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GLJS1-1-2</w:t>
            </w:r>
          </w:p>
        </w:tc>
        <w:tc>
          <w:tcPr>
            <w:tcW w:w="1481" w:type="pct"/>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出让或者出租资格、资质证书供他人投标的</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GLJS1-1-3</w:t>
            </w:r>
          </w:p>
        </w:tc>
        <w:tc>
          <w:tcPr>
            <w:tcW w:w="1481" w:type="pct"/>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投标人以他人名义投标或者以其他方式弄虚作假，骗取中标的（包括虚报、瞒报、提供虚假资料信息等情况）</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GLJS1-1-4</w:t>
            </w:r>
          </w:p>
        </w:tc>
        <w:tc>
          <w:tcPr>
            <w:tcW w:w="1481" w:type="pct"/>
            <w:vAlign w:val="center"/>
          </w:tcPr>
          <w:p>
            <w:pPr>
              <w:pStyle w:val="14"/>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超越资质等级许可范围承揽项目</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GLJS1-1-5</w:t>
            </w:r>
          </w:p>
        </w:tc>
        <w:tc>
          <w:tcPr>
            <w:tcW w:w="1481" w:type="pct"/>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投标人以向招标人或者评标委员会成员行贿谋取中标的</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GLJS1-1-6</w:t>
            </w:r>
          </w:p>
        </w:tc>
        <w:tc>
          <w:tcPr>
            <w:tcW w:w="1481" w:type="pct"/>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因违反法律、法规、规章被禁止投标后，在禁止期内仍参加投标</w:t>
            </w:r>
          </w:p>
        </w:tc>
        <w:tc>
          <w:tcPr>
            <w:tcW w:w="808" w:type="pct"/>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直接定为D级，已为D级的，D级延期半年</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GLJS1-1-7</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捏造事实、伪造材料或者以非法手段取得证明材料进行投诉</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直接定为C级</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其他失信行为（行为代码GLJS1-2）</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GLJS1-2-1</w:t>
            </w:r>
          </w:p>
        </w:tc>
        <w:tc>
          <w:tcPr>
            <w:tcW w:w="1481" w:type="pct"/>
          </w:tcPr>
          <w:p>
            <w:pPr>
              <w:pStyle w:val="14"/>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中标人拒不按照招标文件要求提交履约保证金</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629" w:type="pct"/>
            <w:vMerge w:val="restar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GLJS1-2-2</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中标后无正当理由放弃中标</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GLJS1-2-3</w:t>
            </w:r>
          </w:p>
        </w:tc>
        <w:tc>
          <w:tcPr>
            <w:tcW w:w="1481" w:type="pct"/>
          </w:tcPr>
          <w:p>
            <w:pPr>
              <w:pStyle w:val="14"/>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未按时确认补遗书等招标人发出的通知</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GLJS1-2-4</w:t>
            </w:r>
          </w:p>
        </w:tc>
        <w:tc>
          <w:tcPr>
            <w:tcW w:w="1481" w:type="pct"/>
          </w:tcPr>
          <w:p>
            <w:pPr>
              <w:pStyle w:val="14"/>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无正当理由未在规定时间内签订合同</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履约行为（满分100分，行为代码GLJS2）</w:t>
            </w: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较重或严重失信行为（行为代码GLJS2-1）</w:t>
            </w: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w:t>
            </w:r>
          </w:p>
        </w:tc>
        <w:tc>
          <w:tcPr>
            <w:tcW w:w="1481" w:type="pct"/>
            <w:vAlign w:val="center"/>
          </w:tcPr>
          <w:p>
            <w:pPr>
              <w:pStyle w:val="14"/>
              <w:jc w:val="left"/>
              <w:rPr>
                <w:rFonts w:ascii="方正仿宋_GBK" w:hAnsi="方正仿宋_GBK" w:eastAsia="方正仿宋_GBK" w:cs="方正仿宋_GBK"/>
                <w:bCs/>
                <w:color w:val="000000"/>
                <w:sz w:val="20"/>
                <w:szCs w:val="20"/>
              </w:rPr>
            </w:pPr>
            <w:bookmarkStart w:id="3" w:name="bookmark0"/>
            <w:r>
              <w:rPr>
                <w:rFonts w:hint="eastAsia" w:ascii="方正仿宋_GBK" w:hAnsi="方正仿宋_GBK" w:eastAsia="方正仿宋_GBK" w:cs="方正仿宋_GBK"/>
                <w:bCs/>
                <w:color w:val="000000"/>
                <w:sz w:val="20"/>
                <w:szCs w:val="20"/>
              </w:rPr>
              <w:t>因建设管理单位责任发生围标、串标或者转包、违法分包</w:t>
            </w:r>
            <w:bookmarkEnd w:id="3"/>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GLJS2-1-2</w:t>
            </w:r>
          </w:p>
        </w:tc>
        <w:tc>
          <w:tcPr>
            <w:tcW w:w="1481" w:type="pct"/>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建设项目必须实行工程监理而未实行工程监理</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自管模式除外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GLJS2-1-3</w:t>
            </w:r>
          </w:p>
        </w:tc>
        <w:tc>
          <w:tcPr>
            <w:tcW w:w="1481" w:type="pct"/>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对不具备交工验收条件的公路工程组织交工验收</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GLJS2-1-4</w:t>
            </w:r>
          </w:p>
        </w:tc>
        <w:tc>
          <w:tcPr>
            <w:tcW w:w="1481" w:type="pct"/>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因建设管理单位原因，对未交工验收、交工验收不合格或者未备案的工程开放交通进行试运营</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GLJS2-1-5</w:t>
            </w:r>
          </w:p>
        </w:tc>
        <w:tc>
          <w:tcPr>
            <w:tcW w:w="1481" w:type="pct"/>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试运营期超过三年不申请组织竣工验收，被交通主管部门责令整改仍不组织竣工验收的</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GLJS2-1-6</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项目竣工验收综合评分不合格（低于75分）</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GLJS2-1-7</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发生重大及以上质量或者安全生产事故，负有责任的</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GLJS2-1-8</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发生重大质量或者安全责任事故，未按有关规定向有关部门报告的</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GLJS2-1-9</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竣工验收建设项目质量鉴定得分或者工程质量评分&lt;75分</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GLJS2-1-10</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由于项目原因，主要班子成员发生重大腐败问题，被追究刑事责任的</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GLJS2-1-11</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环境保护工程、水土保持工程未与主体工程同时设计、施工和投入使用的，造成严重不良后果的</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GLJS2-1-12</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因建设管理单位监管缺失，施工期间发生重大环保问题，并造成较大危害</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GLJS2-1-13</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将中标合同转让的</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1"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GLJS2-1-14</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因建设管理单位原因造成单位工程停工超过三个月以上</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GLJS2-1-15</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交通安全设施，未与主体工程同时设计、施工和投入使用</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9"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GLJS2-1-16</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依法必须进行招标而不招标或者将必须进行招标的项目化整为零或者以其他任何方式规避招标的</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3"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GLJS2-1-17</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向他人透露已获取招标文件的潜在投标人的名称、数量或者可能影响公平竞争的有关招标投标的其他情况的；或者泄露标底的</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GLJS2-1-18</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向他人透露已获取招标文件的潜在投标人的名称、数量或者可能影响公平竞争的有关招标投标的其他情况的；或者泄露标底的</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9"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GLJS2-1-19</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因建设管理单位原因造成合同终止的</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3"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GLJS2-1-20</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发生较大质量或者安全生产事故，负有主要责任的</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招标行为（满分15分，扣完为止，行为代码GLJS2-2）</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GLJS2-2-1</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应该公开招标而不公开、未经批准而采用邀请招标方式或者不招标的</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GLJS2-2-2</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应当发布招标公吿而不发布或者是不按照规定发布资格预审公告、招标公告、中标候选人公示和中标结果公告的，在不同媒介发布的同一招标项目的资格预审公告或者招标公告内容不一致的</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GLJS2-2-3</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招标文件、资格预审文件的发售、澄淸、修改的时限，或者确定的提交资格预审申请文件、投标文件的时限不符合招标投标法和招标投标法实施条例规定的</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GLJS2-2-4</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接受未通过资格预审的单位或者个人参加投标；接受应当拒收的投标文件</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GLJS2-2-5</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以不合理条件限制或者排斥潜在投标人的；对潜在投标人实行歧视待遇的；强制要求投标人组成联合体共同投标的；或者限制投标人之间竞争等</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GLJS2-2-6</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不按规定组建评标委员会,或者确定、更换评标委员会成员违反招标投标法和招标投标法实施条例规定的</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4"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GLJS2-2-7</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无正当理由不发出中标通知书；不按照规定确定中标人；在评标委员会依法推荐的中标候选人以外确定中标人；或者在所有投标被评标委员会否决后自行确定中标人</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GLJS2-2-8</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招标文件及招标投标情况的书面报告未及时报备主管部门</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GLJS2-2-9</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超过招标投标法实施条例规定的比例收取投标保证金、履约保证金或者不按照规定退还投标保证金及银行同期存款利率的</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GLJS2-2-10</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招标文件未对从业单位安全生产管理提出明确要求</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1分/次</w:t>
            </w:r>
          </w:p>
        </w:tc>
        <w:tc>
          <w:tcPr>
            <w:tcW w:w="629" w:type="pct"/>
            <w:vAlign w:val="center"/>
          </w:tcPr>
          <w:p>
            <w:pPr>
              <w:pStyle w:val="14"/>
              <w:spacing w:line="240" w:lineRule="exact"/>
              <w:jc w:val="center"/>
              <w:rPr>
                <w:rFonts w:ascii="方正仿宋_GBK" w:hAnsi="方正仿宋_GBK" w:eastAsia="方正仿宋_GBK" w:cs="方正仿宋_GBK"/>
                <w:color w:val="00000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GLJS2-2-11</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在确定中标人前，与投标人就投标价格、投标方案等实质性内容进行谈判</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GLJS2-2-12</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与中标人不按照招标文件和中标人投标文件的主要条款订立合同；或者与中标人订立背离合同实质性内容的协议</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GLJS2-2-13</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因建设管理单位过错造成有理投诉或者查出问题的</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GLJS2-2-14</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未执行《重庆市非必须招标国有投资交通建设项目随机抽取承包商管理办法》相关规定而直接指定承包商</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建设程序（满分10分，扣完为止，行为代码GLJS2-3）</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GLJS2-3-1</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因建设管理单位原因，未严格执行可行性研究、初步设计、施工图设计批复、施工许可（含质量安全报监）的程序</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3～5分</w:t>
            </w:r>
          </w:p>
        </w:tc>
        <w:tc>
          <w:tcPr>
            <w:tcW w:w="629" w:type="pct"/>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缺项或者未批先建的扣5分，任一环节顺序倒置扣3分。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GLJS2-3-2</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未组织有关专家或者委托相应工程咨询机构对施工图设计文件按规定进行审杳</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2分/项</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GLJS2-3-3</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未将施工图文件上报交通主管部门审批</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1"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GLJS2-3-4</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因建设管理单位原因，质量和安全保障措施未落实开始施工的；施工组织设计未按相关规定要求审批却已组织实施的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3分/项</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GLJS2-3-5</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未按照批复的规模标准组织建设，自行提高或者降低标准，增加或者减少规模</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3～5分/次</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低于规范标准，扣5分/次。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GLJS2-3-6</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拖延3个月以上不组织项目交工验收的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1分/项.月</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按照拖延时间累计扣分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GLJS2-3-7</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因建设管理单位原因，交工验收后试运营前不发放合同段交工证书</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设计变更和造价管理（满分10分，扣完为止，行为代码GLJS2-4）</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GLJS2-4-1</w:t>
            </w:r>
          </w:p>
        </w:tc>
        <w:tc>
          <w:tcPr>
            <w:tcW w:w="1481" w:type="pct"/>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未建立设计变更管理台账，未实施有效设计变更管理的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GLJS2-4-2</w:t>
            </w:r>
          </w:p>
        </w:tc>
        <w:tc>
          <w:tcPr>
            <w:tcW w:w="1481" w:type="pct"/>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未按照规定权限、条件和程序审査批准一般变更或者报批较大、重大设计变更，或者将较大、重大变更肢解规避审批的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3分/项次</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GLJS2-4-3</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未经批准先实施变更的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2分/项次</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应急工程除外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GLJS2-4-4</w:t>
            </w:r>
          </w:p>
        </w:tc>
        <w:tc>
          <w:tcPr>
            <w:tcW w:w="1481" w:type="pct"/>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未按照规定建立造价管理台账，未实施有效造价管理的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1分/项</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GLJS2-4-5</w:t>
            </w:r>
          </w:p>
        </w:tc>
        <w:tc>
          <w:tcPr>
            <w:tcW w:w="1481" w:type="pct"/>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未按照规定进行项目合同工程量清单编制及报送的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2分/项</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GLJS2-4-6</w:t>
            </w:r>
          </w:p>
        </w:tc>
        <w:tc>
          <w:tcPr>
            <w:tcW w:w="1481" w:type="pct"/>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未按照规定报送较大、重大设计变更造价文件的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2分/项</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GLJS2-4-7</w:t>
            </w:r>
          </w:p>
        </w:tc>
        <w:tc>
          <w:tcPr>
            <w:tcW w:w="1481" w:type="pct"/>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未按照规定进行项目其他造价信息的收集、分析和报送的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1分/项</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7"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GLJS2-4-8</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存在虚列变更项目或者虛报工程量,多结算工程款，或者用设计变更掩盖施工质量问题的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3～5分/项</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造成国有资金严重流失的扣5分；故意掩盖较大施工质量问题的扣5分。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信用管理（满分10分，扣完为止，行为代码GLJS2-5）</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GLJS2-5-1</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未明确责任，设置相应管理人员</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GLJS2-5-2</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未按照规定时间或者未在30天内完成部、市平台项目信息录入及维护的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2分/项次</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GLJS2-5-3</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未建立信用管理台账，未实施有效信用管理的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GLJS2-5-4</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信用管理台账30天内未及时更新的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1分/项次</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GLJS2-5-5</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基础信息错漏</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1分/项次</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GLJS2-5-6</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未正确运用评价规则（违规设置加分项，对不同从业单位评价标准不一致，应扣分未扣分的）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2分/项次</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GLJS2-5-7</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未按规定时间完成信用评价工作</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2/项次</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GLJS2-5-8</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评价结果未按规定在项目招投标、履约监管等方面得以应用的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2～10分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未应用扣10分；应用不准确、不全面、不合理扣2分/项次。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2"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GLJS2-5-9</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未在市交通主管部门网站或者其他规定网站及时更新工程概况、建设各方、征地拆迁等项目基本信息及招投标信息、信用评价情况等市场信息的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未及时更新招投标信息、信用评价情况等主要信息的扣3分。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质量安全管理（满分20分，扣完为止，行为代码GLJS2-6）</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GLJS2-6-1</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建立落实质量保证体系、安全生产工作计划、质量管理制度、安全生产管理制度和应急预案，或者建立的质量保证体系、安全生产工作计划、质量管理制度、安全生产管理制度和应急预案不符合相关规定的，且整改不到位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1分/项</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GLJS2-6-2</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未按安全管理制度和安全工作计划开展项目安全生产工作</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5"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GLJS2-6-3</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未进行履约检查、质量安全检査工作的，或者质量安全问题排査、督促不到位的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2分/项</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GLJS2-6-4</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发生质量或者安全生产事故，负有责任的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5～10分/起</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发生较大质量或者安全生产事故扣10分/起；发生一般质量或者安全生产事故扣5分/起。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GLJS2-6-5</w:t>
            </w:r>
          </w:p>
        </w:tc>
        <w:tc>
          <w:tcPr>
            <w:tcW w:w="1481" w:type="pct"/>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未按规定选择相应资质等级的设计、施工、监理、检测单位从事工程建设的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GLJS2-6-6</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未执行建设强制性标准</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2分/项</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GLJS2-6-7</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明示或者喑示施工单位使用不合格的建筑材料、建筑构配件和设备</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GLJS2-6-8</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发生质量安全事故未按规定报告并进行处置</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GLJS2-6-9</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未按规定足额提取安全生产专项经费</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GLJS2-6-10</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未部署、落实、检査、督促整改标准化施工管理要求的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1分/次</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1"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GLJS2-6-11</w:t>
            </w:r>
          </w:p>
        </w:tc>
        <w:tc>
          <w:tcPr>
            <w:tcW w:w="1481" w:type="pct"/>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关键指标抽查合格率低于95%</w:t>
            </w:r>
          </w:p>
        </w:tc>
        <w:tc>
          <w:tcPr>
            <w:tcW w:w="808" w:type="pct"/>
            <w:vAlign w:val="center"/>
          </w:tcPr>
          <w:p>
            <w:pPr>
              <w:pStyle w:val="14"/>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每低于95%一个百分点扣1分。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质量监督机构抽查的工程实体质量关键项目指标合格率加权平均值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GLJS2-6-12</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非关键指标抽查合格率低于80%</w:t>
            </w:r>
          </w:p>
        </w:tc>
        <w:tc>
          <w:tcPr>
            <w:tcW w:w="808" w:type="pct"/>
            <w:vAlign w:val="center"/>
          </w:tcPr>
          <w:p>
            <w:pPr>
              <w:pStyle w:val="14"/>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每低于80%一个百分点扣0.5分。如单项指标合格率低于75%，每个扣1分。本项最多扣5分。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质量监督机构抽查的工程实体质量非关键项目指标合格率加权平均值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6"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GLJS2-6-13</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对现场设立的工地试验室未履行有关程序的，或者经签认的试验室备案资料不属实的；甲供材料未按规定开展进场检验</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1分/次</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GLJS2-6-14</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未开展平安工地建设工作的，未按要求组织考核验收的或者验收情况与实际不符的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未开展扣3分；未考核未验收的扣1分。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GLJS2-6-15</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未定期组织对监理、施工、检测单位进行安全专项检查工作的、未组织对市交通主管部门安全生产强制性要求进行检查的、未组织各种安全专项活动检查的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1分/次</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5"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GLJS2-6-16</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高速公路项目未按规定执行施工标准化及考核评价制度</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未按规定执行标准化扣5分；未考核的扣1分。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资金拨付财务管理（满分10分，扣完为止，行为代码GLJS2-7）</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GLJS2-7-1</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因建设管理单位原因，违反规定超概算投资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GLJS2-7-2</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未及时支付征地拆迁费用</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1分/次</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GLJS2-7-3</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除投标保证金、质量保证金、履约保证金、农民工工资保证金以外，要求企业提交额外的保证金</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GLJS2-7-4</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未按照规定的期限及时退还保证金</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GLJS2-7-5</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未按照规定的期限及时办理工程结算</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GLJS2-7-6</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未对农民工工资支付实现有效监管</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监管不到位扣1分；无监管制度扣3分。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GLJS2-7-7</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存在挪用、截留、侵占工程建设资金行为</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GLJS2-7-8</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未按合同约定及时支付工程计量款、监理费、检测费等</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0.5分/次</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合同、进度管理（满分10分，扣完为止，行为代码GLJS2-8）</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GLJS2-8-1</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未按要求建立管理机构，管理机构人员不符合要求的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未建立管理机构扣5分，人员不符合要求扣1分/人。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GLJS2-8-2</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聘用信用评价为D级的从业人员，或者信用评价为C级的人员从事主要岗位的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GLJS2-8-3</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未及时向行业主管部门上报组织机构、管理人员等</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9"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GLJS2-8-4</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主要管理人员未按合同规定履行变更手续</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1分/人</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6"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GLJS2-8-5</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合同工期延后未经审批</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4分</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5"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GLJS2-8-6</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违反合同要求，随意指定材料供应商、第三方检测单位或者劳务分包单位</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GLJS2-8-7</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因建设用地移交滞后，致使施工企业不能按期开工</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非建设管理单位的因素除外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GLJS2-8-8</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未按期完成年度计划的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0.5分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每落后1%，扣0.5分。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GLJS2-8-9</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服务设施、管理设施、环境保护与景观工程、水土保持工程未与主体工程同时设计、施工和投入使用的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1分/功能项</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服务区至少包括3个功能项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GLJS2-8-10</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未按照《建设工程文件归档规范》要求归档，因建设管理单位原因造成档案整理不及时、不完整、不规范，未通过档案验收</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档案整理不及时、不完整扣1分；项目交工验收前，档案初步验收不合格，扣3分。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9"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维稳工作（满分5分，扣完为止，行为代码GLJS2-9）</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GLJS2-9-1</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因建设管理单位原因未按政策妥善处理好征地、拆迁及相关地方矛盾，影响工程建设的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3分/起</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7"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GLJS2-9-2</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因建设管理单位原因导致参建企业拖欠工程款、农民工工资、材料款等，引发不良社会影响的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3分/起</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1"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廉政建设（满分5分，扣完为止，行为代码GLJS2-10）</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GLJS2-10-1</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未制定廉政建设规章制度</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GLJS2-10-2</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按规定需签订廉政合同而未签订的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GLJS2-10-3</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班子成员发生与本项目相关的腐败问题</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1～3分/例</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行政警告以上处分，一例扣1分；行政记过以上处分的，一例扣2分；构成犯罪的（主要班子成员除外）一例扣3分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生态环保（满分5分，扣完为止，行为代码GLJS2-11）</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GLJS2-11-1</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未制定环保和水保措施，或者措施不完善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GLJS2-11-2</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因施工原因，造成环保问题被投诉并认定属实，且未及时处理</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1～2分/次</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环保问题造成比较恶劣社会影响的扣2分/次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GLJS2-11-3</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未按规定开展环保、水保验收</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2～5分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交工验收前未组织验收扣2分；交工验收1年内验收未通过扣5分；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4" w:hRule="atLeast"/>
          <w:jc w:val="center"/>
        </w:trPr>
        <w:tc>
          <w:tcPr>
            <w:tcW w:w="584"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其他行为（行为代码GLJS3）</w:t>
            </w:r>
          </w:p>
        </w:tc>
        <w:tc>
          <w:tcPr>
            <w:tcW w:w="718" w:type="pct"/>
            <w:vMerge w:val="restar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较重或严重失信行为（行为代码GLJS3-1）</w:t>
            </w: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GLJS3-1-1</w:t>
            </w:r>
          </w:p>
        </w:tc>
        <w:tc>
          <w:tcPr>
            <w:tcW w:w="1481" w:type="pct"/>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被司法机关认定有单位行贿、受贿行为，并构成犯罪</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jc w:val="left"/>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6" w:hRule="atLeast"/>
          <w:jc w:val="center"/>
        </w:trPr>
        <w:tc>
          <w:tcPr>
            <w:tcW w:w="584" w:type="pct"/>
            <w:vMerge w:val="continue"/>
            <w:vAlign w:val="center"/>
          </w:tcPr>
          <w:p>
            <w:pPr>
              <w:rPr>
                <w:rFonts w:ascii="方正仿宋_GBK" w:hAnsi="方正仿宋_GBK" w:eastAsia="方正仿宋_GBK" w:cs="方正仿宋_GBK"/>
                <w:color w:val="000000"/>
                <w:sz w:val="20"/>
              </w:rPr>
            </w:pPr>
          </w:p>
        </w:tc>
        <w:tc>
          <w:tcPr>
            <w:tcW w:w="718" w:type="pct"/>
            <w:vMerge w:val="continue"/>
            <w:vAlign w:val="center"/>
          </w:tcPr>
          <w:p>
            <w:pPr>
              <w:rPr>
                <w:rFonts w:ascii="方正仿宋_GBK" w:hAnsi="方正仿宋_GBK" w:eastAsia="方正仿宋_GBK" w:cs="方正仿宋_GBK"/>
                <w:bCs/>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GLJS3-1-2</w:t>
            </w:r>
          </w:p>
        </w:tc>
        <w:tc>
          <w:tcPr>
            <w:tcW w:w="1481" w:type="pct"/>
            <w:vAlign w:val="center"/>
          </w:tcPr>
          <w:p>
            <w:pPr>
              <w:pStyle w:val="14"/>
              <w:spacing w:line="260" w:lineRule="atLeast"/>
              <w:jc w:val="left"/>
              <w:rPr>
                <w:rFonts w:ascii="方正仿宋_GBK" w:hAnsi="方正仿宋_GBK" w:eastAsia="方正仿宋_GBK" w:cs="方正仿宋_GBK"/>
                <w:bCs/>
                <w:color w:val="000000"/>
                <w:spacing w:val="-10"/>
                <w:sz w:val="20"/>
                <w:szCs w:val="20"/>
              </w:rPr>
            </w:pPr>
            <w:r>
              <w:rPr>
                <w:rFonts w:hint="eastAsia" w:ascii="方正仿宋_GBK" w:hAnsi="方正仿宋_GBK" w:eastAsia="方正仿宋_GBK" w:cs="方正仿宋_GBK"/>
                <w:bCs/>
                <w:color w:val="000000"/>
                <w:spacing w:val="-10"/>
                <w:sz w:val="20"/>
                <w:szCs w:val="20"/>
              </w:rPr>
              <w:t>项目运营期间发生重大及以上质量或者安全生产事故，负有责任的</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jc w:val="left"/>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9" w:hRule="atLeast"/>
          <w:jc w:val="center"/>
        </w:trPr>
        <w:tc>
          <w:tcPr>
            <w:tcW w:w="584" w:type="pct"/>
            <w:vMerge w:val="continue"/>
            <w:vAlign w:val="center"/>
          </w:tcPr>
          <w:p>
            <w:pPr>
              <w:rPr>
                <w:rFonts w:ascii="方正仿宋_GBK" w:hAnsi="方正仿宋_GBK" w:eastAsia="方正仿宋_GBK" w:cs="方正仿宋_GBK"/>
                <w:color w:val="000000"/>
                <w:sz w:val="20"/>
              </w:rPr>
            </w:pPr>
          </w:p>
        </w:tc>
        <w:tc>
          <w:tcPr>
            <w:tcW w:w="718" w:type="pct"/>
            <w:vMerge w:val="continue"/>
            <w:vAlign w:val="center"/>
          </w:tcPr>
          <w:p>
            <w:pPr>
              <w:rPr>
                <w:rFonts w:ascii="方正仿宋_GBK" w:hAnsi="方正仿宋_GBK" w:eastAsia="方正仿宋_GBK" w:cs="方正仿宋_GBK"/>
                <w:bCs/>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GLJS3-1-3</w:t>
            </w:r>
          </w:p>
        </w:tc>
        <w:tc>
          <w:tcPr>
            <w:tcW w:w="1481" w:type="pct"/>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交通运输部、市交通主管部门要求企业填报向社会公布的信息存在虚假的</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629" w:type="pct"/>
            <w:vAlign w:val="center"/>
          </w:tcPr>
          <w:p>
            <w:pPr>
              <w:pStyle w:val="14"/>
              <w:jc w:val="left"/>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1" w:hRule="atLeast"/>
          <w:jc w:val="center"/>
        </w:trPr>
        <w:tc>
          <w:tcPr>
            <w:tcW w:w="584" w:type="pct"/>
            <w:vMerge w:val="continue"/>
            <w:vAlign w:val="center"/>
          </w:tcPr>
          <w:p>
            <w:pPr>
              <w:rPr>
                <w:rFonts w:ascii="方正仿宋_GBK" w:hAnsi="方正仿宋_GBK" w:eastAsia="方正仿宋_GBK" w:cs="方正仿宋_GBK"/>
                <w:color w:val="000000"/>
                <w:sz w:val="20"/>
              </w:rPr>
            </w:pPr>
          </w:p>
        </w:tc>
        <w:tc>
          <w:tcPr>
            <w:tcW w:w="718" w:type="pct"/>
            <w:vMerge w:val="continue"/>
            <w:vAlign w:val="center"/>
          </w:tcPr>
          <w:p>
            <w:pPr>
              <w:rPr>
                <w:rFonts w:ascii="方正仿宋_GBK" w:hAnsi="方正仿宋_GBK" w:eastAsia="方正仿宋_GBK" w:cs="方正仿宋_GBK"/>
                <w:bCs/>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GLJS3-1-4</w:t>
            </w:r>
          </w:p>
        </w:tc>
        <w:tc>
          <w:tcPr>
            <w:tcW w:w="1481" w:type="pct"/>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未按照本细则相关要求，选择未记录在信用系统中的从业单位或者禁止准入的从业单位</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629" w:type="pct"/>
            <w:vAlign w:val="center"/>
          </w:tcPr>
          <w:p>
            <w:pPr>
              <w:pStyle w:val="14"/>
              <w:jc w:val="left"/>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584" w:type="pct"/>
            <w:vMerge w:val="continue"/>
            <w:vAlign w:val="center"/>
          </w:tcPr>
          <w:p>
            <w:pPr>
              <w:rPr>
                <w:rFonts w:ascii="方正仿宋_GBK" w:hAnsi="方正仿宋_GBK" w:eastAsia="方正仿宋_GBK" w:cs="方正仿宋_GBK"/>
                <w:color w:val="000000"/>
                <w:sz w:val="20"/>
              </w:rPr>
            </w:pPr>
          </w:p>
        </w:tc>
        <w:tc>
          <w:tcPr>
            <w:tcW w:w="718" w:type="pct"/>
            <w:vMerge w:val="continue"/>
            <w:vAlign w:val="center"/>
          </w:tcPr>
          <w:p>
            <w:pPr>
              <w:rPr>
                <w:rFonts w:ascii="方正仿宋_GBK" w:hAnsi="方正仿宋_GBK" w:eastAsia="方正仿宋_GBK" w:cs="方正仿宋_GBK"/>
                <w:bCs/>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GLJS3-1-5</w:t>
            </w:r>
          </w:p>
        </w:tc>
        <w:tc>
          <w:tcPr>
            <w:tcW w:w="1481" w:type="pct"/>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被交通运输部通报批评</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629" w:type="pct"/>
            <w:vAlign w:val="center"/>
          </w:tcPr>
          <w:p>
            <w:pPr>
              <w:pStyle w:val="14"/>
              <w:jc w:val="left"/>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9" w:hRule="atLeast"/>
          <w:jc w:val="center"/>
        </w:trPr>
        <w:tc>
          <w:tcPr>
            <w:tcW w:w="584" w:type="pct"/>
            <w:vMerge w:val="continue"/>
            <w:vAlign w:val="center"/>
          </w:tcPr>
          <w:p>
            <w:pPr>
              <w:rPr>
                <w:rFonts w:ascii="方正仿宋_GBK" w:hAnsi="方正仿宋_GBK" w:eastAsia="方正仿宋_GBK" w:cs="方正仿宋_GBK"/>
                <w:color w:val="000000"/>
                <w:sz w:val="20"/>
              </w:rPr>
            </w:pPr>
          </w:p>
        </w:tc>
        <w:tc>
          <w:tcPr>
            <w:tcW w:w="718"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其他失信行为（行为代码GLJS3-2）</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GLJS3-2-1</w:t>
            </w:r>
          </w:p>
        </w:tc>
        <w:tc>
          <w:tcPr>
            <w:tcW w:w="1481" w:type="pct"/>
            <w:vAlign w:val="center"/>
          </w:tcPr>
          <w:p>
            <w:pPr>
              <w:pStyle w:val="14"/>
              <w:spacing w:line="260" w:lineRule="atLeast"/>
              <w:rPr>
                <w:rFonts w:ascii="方正仿宋_GBK" w:hAnsi="方正仿宋_GBK" w:eastAsia="方正仿宋_GBK" w:cs="方正仿宋_GBK"/>
                <w:color w:val="000000"/>
                <w:spacing w:val="-8"/>
                <w:sz w:val="20"/>
                <w:szCs w:val="20"/>
              </w:rPr>
            </w:pPr>
            <w:r>
              <w:rPr>
                <w:rFonts w:hint="eastAsia" w:ascii="方正仿宋_GBK" w:hAnsi="方正仿宋_GBK" w:eastAsia="方正仿宋_GBK" w:cs="方正仿宋_GBK"/>
                <w:color w:val="000000"/>
                <w:spacing w:val="-8"/>
                <w:sz w:val="20"/>
                <w:szCs w:val="20"/>
              </w:rPr>
              <w:t>向交通主管部门提供的项目相关信息不及时、不完整、不符合要求</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629" w:type="pct"/>
            <w:vMerge w:val="restart"/>
            <w:vAlign w:val="center"/>
          </w:tcPr>
          <w:p>
            <w:pPr>
              <w:pStyle w:val="14"/>
              <w:spacing w:line="260" w:lineRule="atLeast"/>
              <w:jc w:val="center"/>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在总分中扣除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atLeast"/>
          <w:jc w:val="center"/>
        </w:trPr>
        <w:tc>
          <w:tcPr>
            <w:tcW w:w="584" w:type="pct"/>
            <w:vMerge w:val="continue"/>
            <w:vAlign w:val="center"/>
          </w:tcPr>
          <w:p>
            <w:pPr>
              <w:rPr>
                <w:rFonts w:ascii="方正仿宋_GBK" w:hAnsi="方正仿宋_GBK" w:eastAsia="方正仿宋_GBK" w:cs="方正仿宋_GBK"/>
                <w:color w:val="000000"/>
                <w:sz w:val="20"/>
              </w:rPr>
            </w:pPr>
          </w:p>
        </w:tc>
        <w:tc>
          <w:tcPr>
            <w:tcW w:w="718"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GLJS3-2-2</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信用评价弄虚作假或者以不正当手段骗取较高信用等级</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15分/次</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7" w:hRule="atLeast"/>
          <w:jc w:val="center"/>
        </w:trPr>
        <w:tc>
          <w:tcPr>
            <w:tcW w:w="584" w:type="pct"/>
            <w:vMerge w:val="continue"/>
            <w:vAlign w:val="center"/>
          </w:tcPr>
          <w:p>
            <w:pPr>
              <w:rPr>
                <w:rFonts w:ascii="方正仿宋_GBK" w:hAnsi="方正仿宋_GBK" w:eastAsia="方正仿宋_GBK" w:cs="方正仿宋_GBK"/>
                <w:color w:val="000000"/>
                <w:sz w:val="20"/>
              </w:rPr>
            </w:pPr>
          </w:p>
        </w:tc>
        <w:tc>
          <w:tcPr>
            <w:tcW w:w="718"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GLJS3-2-3</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被市交通主管部门或者市公路事务机构或者区县交通主管部门通报批评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4" w:hRule="atLeast"/>
          <w:jc w:val="center"/>
        </w:trPr>
        <w:tc>
          <w:tcPr>
            <w:tcW w:w="584" w:type="pct"/>
            <w:vMerge w:val="continue"/>
            <w:vAlign w:val="center"/>
          </w:tcPr>
          <w:p>
            <w:pPr>
              <w:rPr>
                <w:rFonts w:ascii="方正仿宋_GBK" w:hAnsi="方正仿宋_GBK" w:eastAsia="方正仿宋_GBK" w:cs="方正仿宋_GBK"/>
                <w:color w:val="000000"/>
                <w:sz w:val="20"/>
              </w:rPr>
            </w:pPr>
          </w:p>
        </w:tc>
        <w:tc>
          <w:tcPr>
            <w:tcW w:w="718"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良好行为</w:t>
            </w:r>
          </w:p>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（行为代码GLJS3-3）</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GLJS3-3-1</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因建设管理取得突出成绩，被政府部门或者交通主管部门通报表扬的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1～3分/次</w:t>
            </w:r>
          </w:p>
        </w:tc>
        <w:tc>
          <w:tcPr>
            <w:tcW w:w="629" w:type="pct"/>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在总分上增加</w:t>
            </w:r>
          </w:p>
        </w:tc>
      </w:tr>
    </w:tbl>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480" w:lineRule="exact"/>
        <w:rPr>
          <w:rFonts w:ascii="方正黑体_GBK" w:eastAsia="方正黑体_GBK"/>
          <w:color w:val="000000"/>
          <w:sz w:val="32"/>
        </w:rPr>
      </w:pPr>
      <w:r>
        <w:rPr>
          <w:rFonts w:hint="eastAsia" w:ascii="方正黑体_GBK" w:eastAsia="方正黑体_GBK"/>
          <w:color w:val="000000"/>
          <w:sz w:val="32"/>
        </w:rPr>
        <w:t>附件1-2</w:t>
      </w:r>
    </w:p>
    <w:p>
      <w:pPr>
        <w:pStyle w:val="14"/>
        <w:spacing w:line="480" w:lineRule="exact"/>
        <w:jc w:val="center"/>
        <w:rPr>
          <w:rFonts w:ascii="方正小标宋_GBK" w:eastAsia="方正小标宋_GBK"/>
          <w:color w:val="000000"/>
          <w:sz w:val="36"/>
          <w:szCs w:val="36"/>
        </w:rPr>
      </w:pPr>
    </w:p>
    <w:p>
      <w:pPr>
        <w:pStyle w:val="14"/>
        <w:spacing w:line="480" w:lineRule="exact"/>
        <w:jc w:val="center"/>
        <w:rPr>
          <w:rFonts w:ascii="方正小标宋_GBK" w:eastAsia="方正小标宋_GBK"/>
          <w:color w:val="000000"/>
          <w:spacing w:val="-10"/>
          <w:sz w:val="44"/>
          <w:szCs w:val="44"/>
        </w:rPr>
      </w:pPr>
      <w:r>
        <w:rPr>
          <w:rFonts w:hint="eastAsia" w:ascii="方正小标宋_GBK" w:eastAsia="方正小标宋_GBK"/>
          <w:color w:val="000000"/>
          <w:spacing w:val="-10"/>
          <w:sz w:val="44"/>
          <w:szCs w:val="44"/>
        </w:rPr>
        <w:t>重庆市公路建设市场设计企业信用行为评定标准</w:t>
      </w:r>
    </w:p>
    <w:p>
      <w:pPr>
        <w:pStyle w:val="14"/>
        <w:spacing w:line="480" w:lineRule="exact"/>
        <w:jc w:val="center"/>
        <w:rPr>
          <w:rFonts w:ascii="方正小标宋_GBK" w:eastAsia="方正小标宋_GBK"/>
          <w:color w:val="000000"/>
          <w:spacing w:val="-10"/>
          <w:sz w:val="44"/>
          <w:szCs w:val="44"/>
        </w:rPr>
      </w:pPr>
    </w:p>
    <w:tbl>
      <w:tblPr>
        <w:tblStyle w:val="10"/>
        <w:tblW w:w="9286" w:type="dxa"/>
        <w:tblInd w:w="0" w:type="dxa"/>
        <w:tblLayout w:type="fixed"/>
        <w:tblCellMar>
          <w:top w:w="0" w:type="dxa"/>
          <w:left w:w="108" w:type="dxa"/>
          <w:bottom w:w="0" w:type="dxa"/>
          <w:right w:w="108" w:type="dxa"/>
        </w:tblCellMar>
      </w:tblPr>
      <w:tblGrid>
        <w:gridCol w:w="893"/>
        <w:gridCol w:w="1026"/>
        <w:gridCol w:w="1195"/>
        <w:gridCol w:w="3373"/>
        <w:gridCol w:w="1446"/>
        <w:gridCol w:w="1353"/>
      </w:tblGrid>
      <w:tr>
        <w:tblPrEx>
          <w:tblCellMar>
            <w:top w:w="0" w:type="dxa"/>
            <w:left w:w="108" w:type="dxa"/>
            <w:bottom w:w="0" w:type="dxa"/>
            <w:right w:w="108" w:type="dxa"/>
          </w:tblCellMar>
        </w:tblPrEx>
        <w:trPr>
          <w:trHeight w:val="418" w:hRule="atLeast"/>
          <w:tblHeader/>
        </w:trPr>
        <w:tc>
          <w:tcPr>
            <w:tcW w:w="1919" w:type="dxa"/>
            <w:gridSpan w:val="2"/>
            <w:tcBorders>
              <w:top w:val="single" w:color="000000" w:sz="4" w:space="0"/>
              <w:left w:val="single" w:color="000000" w:sz="4" w:space="0"/>
              <w:bottom w:val="single" w:color="000000" w:sz="4" w:space="0"/>
              <w:right w:val="single" w:color="000000" w:sz="4" w:space="0"/>
            </w:tcBorders>
            <w:vAlign w:val="center"/>
          </w:tcPr>
          <w:p>
            <w:pPr>
              <w:pStyle w:val="14"/>
              <w:spacing w:line="280" w:lineRule="exac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评定内容</w:t>
            </w:r>
          </w:p>
        </w:tc>
        <w:tc>
          <w:tcPr>
            <w:tcW w:w="1195" w:type="dxa"/>
            <w:tcBorders>
              <w:top w:val="single" w:color="000000" w:sz="4" w:space="0"/>
              <w:left w:val="nil"/>
              <w:bottom w:val="single" w:color="000000" w:sz="4" w:space="0"/>
              <w:right w:val="single" w:color="000000" w:sz="4" w:space="0"/>
            </w:tcBorders>
            <w:vAlign w:val="center"/>
          </w:tcPr>
          <w:p>
            <w:pPr>
              <w:pStyle w:val="14"/>
              <w:spacing w:line="280" w:lineRule="exac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行为代码</w:t>
            </w:r>
          </w:p>
        </w:tc>
        <w:tc>
          <w:tcPr>
            <w:tcW w:w="3373" w:type="dxa"/>
            <w:tcBorders>
              <w:top w:val="single" w:color="000000" w:sz="4" w:space="0"/>
              <w:left w:val="nil"/>
              <w:bottom w:val="single" w:color="000000" w:sz="4" w:space="0"/>
              <w:right w:val="single" w:color="000000" w:sz="4" w:space="0"/>
            </w:tcBorders>
            <w:vAlign w:val="center"/>
          </w:tcPr>
          <w:p>
            <w:pPr>
              <w:pStyle w:val="14"/>
              <w:spacing w:line="280" w:lineRule="exac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不良行为</w:t>
            </w:r>
          </w:p>
        </w:tc>
        <w:tc>
          <w:tcPr>
            <w:tcW w:w="1446" w:type="dxa"/>
            <w:tcBorders>
              <w:top w:val="single" w:color="000000" w:sz="4" w:space="0"/>
              <w:left w:val="nil"/>
              <w:bottom w:val="single" w:color="000000" w:sz="4" w:space="0"/>
              <w:right w:val="single" w:color="000000" w:sz="4" w:space="0"/>
            </w:tcBorders>
            <w:vAlign w:val="center"/>
          </w:tcPr>
          <w:p>
            <w:pPr>
              <w:pStyle w:val="14"/>
              <w:spacing w:line="280" w:lineRule="exac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行为等级和</w:t>
            </w:r>
          </w:p>
          <w:p>
            <w:pPr>
              <w:pStyle w:val="14"/>
              <w:spacing w:line="280" w:lineRule="exac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扣分标准</w:t>
            </w:r>
          </w:p>
        </w:tc>
        <w:tc>
          <w:tcPr>
            <w:tcW w:w="1353" w:type="dxa"/>
            <w:tcBorders>
              <w:top w:val="single" w:color="000000" w:sz="4" w:space="0"/>
              <w:left w:val="nil"/>
              <w:bottom w:val="single" w:color="000000" w:sz="4" w:space="0"/>
              <w:right w:val="single" w:color="000000" w:sz="4" w:space="0"/>
            </w:tcBorders>
            <w:vAlign w:val="center"/>
          </w:tcPr>
          <w:p>
            <w:pPr>
              <w:pStyle w:val="14"/>
              <w:spacing w:line="280" w:lineRule="exac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备注</w:t>
            </w:r>
          </w:p>
        </w:tc>
      </w:tr>
      <w:tr>
        <w:tblPrEx>
          <w:tblCellMar>
            <w:top w:w="0" w:type="dxa"/>
            <w:left w:w="108" w:type="dxa"/>
            <w:bottom w:w="0" w:type="dxa"/>
            <w:right w:w="108" w:type="dxa"/>
          </w:tblCellMar>
        </w:tblPrEx>
        <w:trPr>
          <w:trHeight w:val="454" w:hRule="atLeast"/>
        </w:trPr>
        <w:tc>
          <w:tcPr>
            <w:tcW w:w="893" w:type="dxa"/>
            <w:vMerge w:val="restart"/>
            <w:tcBorders>
              <w:top w:val="nil"/>
              <w:left w:val="single" w:color="000000" w:sz="4" w:space="0"/>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投标行为（满分100分，扣完为止。行为代码GLSJ1）</w:t>
            </w:r>
          </w:p>
        </w:tc>
        <w:tc>
          <w:tcPr>
            <w:tcW w:w="1026"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较重或严重失信行为（行为代码GLSJ1-1）</w:t>
            </w: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GLSJ1-1-1</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超越资质等级许可范围承揽设计项目</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685"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GLSJ1-1-2</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出借资质，允许其他单位或者个人以本单位名义承揽设计项目</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GLSJ1-1-3</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借用他人资质证书承揽设计项目</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GLSJ1-1-4</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与招标人或者其他投标人串通投标</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highlight w:val="red"/>
              </w:rPr>
            </w:pPr>
            <w:r>
              <w:rPr>
                <w:rFonts w:hint="eastAsia" w:ascii="方正仿宋_GBK" w:hAnsi="方正仿宋_GBK" w:eastAsia="方正仿宋_GBK" w:cs="方正仿宋_GBK"/>
                <w:bCs/>
                <w:color w:val="000000"/>
                <w:sz w:val="20"/>
                <w:szCs w:val="20"/>
              </w:rPr>
              <w:t>GLSJ1-1-5</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highlight w:val="red"/>
              </w:rPr>
            </w:pPr>
            <w:r>
              <w:rPr>
                <w:rFonts w:hint="eastAsia" w:ascii="方正仿宋_GBK" w:hAnsi="方正仿宋_GBK" w:eastAsia="方正仿宋_GBK" w:cs="方正仿宋_GBK"/>
                <w:bCs/>
                <w:color w:val="000000"/>
                <w:sz w:val="20"/>
                <w:szCs w:val="20"/>
              </w:rPr>
              <w:t>投标中有行贿行为</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highlight w:val="red"/>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570"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GLSJ1-1-6</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因违反法律、法规、规章被禁止投标后，在禁止期内仍参与投标</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直接定为D级；已为D级的，延期半年</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GLSJ1-1-7</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资审材料或者投标文件虚假</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GLSJ1-1-8</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捏造事实、伪造材料或者以非法手段取得证明材料进行投诉</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其他失信行为（行为代码GLSJ1-2）</w:t>
            </w:r>
          </w:p>
        </w:tc>
        <w:tc>
          <w:tcPr>
            <w:tcW w:w="1195" w:type="dxa"/>
            <w:tcBorders>
              <w:top w:val="single" w:color="000000" w:sz="4" w:space="0"/>
              <w:left w:val="nil"/>
              <w:bottom w:val="single" w:color="000000" w:sz="4" w:space="0"/>
              <w:right w:val="single" w:color="000000" w:sz="4" w:space="0"/>
            </w:tcBorders>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GLSJ1-2-1</w:t>
            </w:r>
          </w:p>
        </w:tc>
        <w:tc>
          <w:tcPr>
            <w:tcW w:w="3373" w:type="dxa"/>
            <w:tcBorders>
              <w:top w:val="single" w:color="000000" w:sz="4" w:space="0"/>
              <w:left w:val="nil"/>
              <w:bottom w:val="single" w:color="000000" w:sz="4" w:space="0"/>
              <w:right w:val="single" w:color="000000" w:sz="4" w:space="0"/>
            </w:tcBorders>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中标人拒不按照招标文件要求提交履约保证金</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353" w:type="dxa"/>
            <w:tcBorders>
              <w:top w:val="single" w:color="000000" w:sz="4" w:space="0"/>
              <w:left w:val="nil"/>
              <w:bottom w:val="single" w:color="000000" w:sz="4" w:space="0"/>
              <w:right w:val="single" w:color="000000" w:sz="4" w:space="0"/>
            </w:tcBorders>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GLSJ1-2-2</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中标后无正当理由放弃中标</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353" w:type="dxa"/>
            <w:tcBorders>
              <w:top w:val="single" w:color="000000" w:sz="4" w:space="0"/>
              <w:left w:val="nil"/>
              <w:bottom w:val="single" w:color="000000" w:sz="4" w:space="0"/>
              <w:right w:val="single" w:color="000000" w:sz="4" w:space="0"/>
            </w:tcBorders>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GLSJ1-2-3</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未按时确认补遗书等招标人发出的通知</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353" w:type="dxa"/>
            <w:tcBorders>
              <w:top w:val="single" w:color="000000" w:sz="4" w:space="0"/>
              <w:left w:val="nil"/>
              <w:bottom w:val="single" w:color="000000" w:sz="4" w:space="0"/>
              <w:right w:val="single" w:color="000000" w:sz="4" w:space="0"/>
            </w:tcBorders>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GLSJ1-2-4</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无正当理由未在规定时间内签订合同</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353" w:type="dxa"/>
            <w:tcBorders>
              <w:top w:val="single" w:color="000000" w:sz="4" w:space="0"/>
              <w:left w:val="nil"/>
              <w:bottom w:val="single" w:color="000000" w:sz="4" w:space="0"/>
              <w:right w:val="single" w:color="000000" w:sz="4" w:space="0"/>
            </w:tcBorders>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restart"/>
            <w:tcBorders>
              <w:top w:val="nil"/>
              <w:left w:val="single" w:color="000000" w:sz="4" w:space="0"/>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履约行为（满分100分，扣完为止。行为代码GLSJ2）</w:t>
            </w:r>
          </w:p>
        </w:tc>
        <w:tc>
          <w:tcPr>
            <w:tcW w:w="1026"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较重或严重失信行为（行为代码GLSJ2-1）</w:t>
            </w: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GLSJ2-1-1</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发生重大及以上质量或者安全生产事故，负有责任的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22"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GLSJ2-1-2</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将中标合同转包或者违法分包</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GLSJ2-1-3</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竣工验收设计管理综合评价为差</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highlight w:val="yellow"/>
              </w:rPr>
            </w:pPr>
            <w:r>
              <w:rPr>
                <w:rFonts w:hint="eastAsia" w:ascii="方正仿宋_GBK" w:hAnsi="方正仿宋_GBK" w:eastAsia="方正仿宋_GBK" w:cs="方正仿宋_GBK"/>
                <w:bCs/>
                <w:color w:val="000000"/>
                <w:sz w:val="20"/>
                <w:szCs w:val="20"/>
              </w:rPr>
              <w:t>GLSJ2-1-4</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highlight w:val="yellow"/>
              </w:rPr>
            </w:pPr>
            <w:r>
              <w:rPr>
                <w:rFonts w:hint="eastAsia" w:ascii="方正仿宋_GBK" w:hAnsi="方正仿宋_GBK" w:eastAsia="方正仿宋_GBK" w:cs="方正仿宋_GBK"/>
                <w:bCs/>
                <w:color w:val="000000"/>
                <w:sz w:val="20"/>
                <w:szCs w:val="20"/>
              </w:rPr>
              <w:t>因设计企业原因造成合同终止的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highlight w:val="yellow"/>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highlight w:val="yellow"/>
              </w:rPr>
            </w:pPr>
            <w:r>
              <w:rPr>
                <w:rFonts w:hint="eastAsia" w:ascii="方正仿宋_GBK" w:hAnsi="方正仿宋_GBK" w:eastAsia="方正仿宋_GBK" w:cs="方正仿宋_GBK"/>
                <w:bCs/>
                <w:color w:val="000000"/>
                <w:sz w:val="20"/>
                <w:szCs w:val="20"/>
              </w:rPr>
              <w:t>GLSJ2-1-5</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发生较大质量或者安全生产事故，负有主要责任的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人员到位（满分25分，扣完为止，行为代码GLSJ2-2）</w:t>
            </w: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GLSJ2-2-1</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投标书承诺的项目负责人未经同意更换</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12分/人次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GLSJ2-2-2</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投标书承诺的其它专业负责人未经同意更换</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6分/人次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GLSJ2-2-3</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设计人员不具备相应执业资格条件</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GLSJ2-2-4</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投标书承诺的施工期设计代表未经同意更换</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6分/人次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297"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GLSJ2-2-5</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施工期设计代表因自身过失原因被更换</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12分/人次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GLSJ2-2-6</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合同约定的主要勘察设计人员未按合同约定到位</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3/人次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GLSJ2-2-7</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审查咨询单位参与审查人员职业资格条件低于合同约定标准</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5/人次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仅审查咨询单位</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GLSJ2-2-8</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聘用信用评价为D级的从业人员，或者信用评价为C级的人员从事主要岗位的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进度管理（满分15分，扣完为止。行为代码GLSJ2-3）</w:t>
            </w: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GLSJ2-3-1</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因勘察设计原因未按合同约定时间提交设计文件成果</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3～12分/次</w:t>
            </w:r>
          </w:p>
        </w:tc>
        <w:tc>
          <w:tcPr>
            <w:tcW w:w="1353" w:type="dxa"/>
            <w:tcBorders>
              <w:top w:val="single" w:color="000000" w:sz="4" w:space="0"/>
              <w:left w:val="nil"/>
              <w:bottom w:val="single" w:color="000000" w:sz="4" w:space="0"/>
              <w:right w:val="single" w:color="000000" w:sz="4" w:space="0"/>
            </w:tcBorders>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xml:space="preserve">初次扣3分，经督促后仍未改正的扣12分。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GLSJ2-3-2</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因自身原因未按合同约定开展外业工作或者因自身原因提交外业成果的时间不满足合同规定或者设计要求</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2～12分/次</w:t>
            </w:r>
          </w:p>
        </w:tc>
        <w:tc>
          <w:tcPr>
            <w:tcW w:w="1353" w:type="dxa"/>
            <w:tcBorders>
              <w:top w:val="single" w:color="000000" w:sz="4" w:space="0"/>
              <w:left w:val="nil"/>
              <w:bottom w:val="single" w:color="000000" w:sz="4" w:space="0"/>
              <w:right w:val="single" w:color="000000" w:sz="4" w:space="0"/>
            </w:tcBorders>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xml:space="preserve">初次扣2分，经督促后仍未改正的扣12分。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GLSJ2-3-3</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因勘察设计进度原因，引起项目推迟开工</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2～12分/次</w:t>
            </w:r>
          </w:p>
        </w:tc>
        <w:tc>
          <w:tcPr>
            <w:tcW w:w="1353" w:type="dxa"/>
            <w:tcBorders>
              <w:top w:val="single" w:color="000000" w:sz="4" w:space="0"/>
              <w:left w:val="nil"/>
              <w:bottom w:val="single" w:color="000000" w:sz="4" w:space="0"/>
              <w:right w:val="single" w:color="000000" w:sz="4" w:space="0"/>
            </w:tcBorders>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xml:space="preserve">初次扣2分，经督促后仍未改正的扣12分。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GLSJ2-3-4</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因后期服务原因，引起工期延误</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2～12分/次</w:t>
            </w:r>
          </w:p>
        </w:tc>
        <w:tc>
          <w:tcPr>
            <w:tcW w:w="1353" w:type="dxa"/>
            <w:tcBorders>
              <w:top w:val="single" w:color="000000" w:sz="4" w:space="0"/>
              <w:left w:val="nil"/>
              <w:bottom w:val="single" w:color="000000" w:sz="4" w:space="0"/>
              <w:right w:val="single" w:color="000000" w:sz="4" w:space="0"/>
            </w:tcBorders>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xml:space="preserve">初次扣2分，经督促后仍未改正的扣12分。 </w:t>
            </w:r>
          </w:p>
        </w:tc>
      </w:tr>
      <w:tr>
        <w:tblPrEx>
          <w:tblCellMar>
            <w:top w:w="0" w:type="dxa"/>
            <w:left w:w="108" w:type="dxa"/>
            <w:bottom w:w="0" w:type="dxa"/>
            <w:right w:w="108" w:type="dxa"/>
          </w:tblCellMar>
        </w:tblPrEx>
        <w:trPr>
          <w:trHeight w:val="585"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GLSJ2-3-5</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因自身原因未按时参加交（竣）工验收或者工程质量事故分析</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348"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GLSJ2-3-6</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审查咨询单位单位不按要求踏勘现场</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8分/次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仅审查咨询单位</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GLSJ2-3-7</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因审查咨询单位原因造成项目不能及时审查审批</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仅审查咨询单位</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成果质量（满分30分，扣完为止。行为代码GLSJ2-4）</w:t>
            </w: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GLSJ2-4-1</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发生较大质量或者安全生产事故，负有责任的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353" w:type="dxa"/>
            <w:tcBorders>
              <w:top w:val="single" w:color="000000" w:sz="4" w:space="0"/>
              <w:left w:val="nil"/>
              <w:bottom w:val="single" w:color="000000" w:sz="4" w:space="0"/>
              <w:right w:val="single" w:color="000000" w:sz="4" w:space="0"/>
            </w:tcBorders>
            <w:vAlign w:val="center"/>
          </w:tcPr>
          <w:p>
            <w:pPr>
              <w:pStyle w:val="14"/>
              <w:spacing w:line="360" w:lineRule="auto"/>
              <w:jc w:val="left"/>
              <w:rPr>
                <w:rFonts w:ascii="方正仿宋_GBK" w:hAnsi="方正仿宋_GBK" w:eastAsia="方正仿宋_GBK" w:cs="方正仿宋_GBK"/>
                <w:bCs/>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GLSJ2-4-2</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发生一般质量或者安全生产事故，负有责任的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GLSJ2-4-3</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因设计原因，项目各阶段设计投资额度超过上一阶段批准投资额的允许偏差范围</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570"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GLSJ2-4-4</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成果文件不满足有关主管部门批复意见和强制性标准要求</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10分/项次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288"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GLSJ2-4-5</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成果文件不满足勘察设计深度要求，未通过审查和验收</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5分/项次</w:t>
            </w:r>
          </w:p>
        </w:tc>
        <w:tc>
          <w:tcPr>
            <w:tcW w:w="1353" w:type="dxa"/>
            <w:tcBorders>
              <w:top w:val="single" w:color="000000" w:sz="4" w:space="0"/>
              <w:left w:val="nil"/>
              <w:bottom w:val="single" w:color="000000" w:sz="4" w:space="0"/>
              <w:right w:val="single" w:color="000000" w:sz="4" w:space="0"/>
            </w:tcBorders>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单次审查、验收或者检查为一次。</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GLSJ2-4-6</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签章不全、未授权代签或者借用他人资格签章</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5分/项次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GLSJ2-4-7</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对批复意见或者审查意见的技术方案未落实</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5分/项次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297"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GLSJ2-4-8</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因勘察设计原因，引起重大设计变更</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245"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GLSJ2-4-9</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因勘察设计原因，引起较大设计变更</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GLSJ2-4-10</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因勘察设计原因引起较大质量事故或者较大安全事故，审查咨询单位审查时未发现</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仅审查咨询单位</w:t>
            </w:r>
          </w:p>
        </w:tc>
      </w:tr>
      <w:tr>
        <w:tblPrEx>
          <w:tblCellMar>
            <w:top w:w="0" w:type="dxa"/>
            <w:left w:w="108" w:type="dxa"/>
            <w:bottom w:w="0" w:type="dxa"/>
            <w:right w:w="108" w:type="dxa"/>
          </w:tblCellMar>
        </w:tblPrEx>
        <w:trPr>
          <w:trHeight w:val="156"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156"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GLSJ2-4-11</w:t>
            </w:r>
          </w:p>
        </w:tc>
        <w:tc>
          <w:tcPr>
            <w:tcW w:w="3373" w:type="dxa"/>
            <w:tcBorders>
              <w:top w:val="single" w:color="000000" w:sz="4" w:space="0"/>
              <w:left w:val="nil"/>
              <w:bottom w:val="single" w:color="000000" w:sz="4" w:space="0"/>
              <w:right w:val="single" w:color="000000" w:sz="4" w:space="0"/>
            </w:tcBorders>
            <w:vAlign w:val="center"/>
          </w:tcPr>
          <w:p>
            <w:pPr>
              <w:pStyle w:val="14"/>
              <w:spacing w:line="156"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因勘察设计原因引起一般质量事故或者一般安全事故，审查咨询单位审查时未发现</w:t>
            </w:r>
          </w:p>
        </w:tc>
        <w:tc>
          <w:tcPr>
            <w:tcW w:w="1446" w:type="dxa"/>
            <w:tcBorders>
              <w:top w:val="single" w:color="000000" w:sz="4" w:space="0"/>
              <w:left w:val="nil"/>
              <w:bottom w:val="single" w:color="000000" w:sz="4" w:space="0"/>
              <w:right w:val="single" w:color="000000" w:sz="4" w:space="0"/>
            </w:tcBorders>
            <w:vAlign w:val="center"/>
          </w:tcPr>
          <w:p>
            <w:pPr>
              <w:pStyle w:val="14"/>
              <w:spacing w:line="156"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仅审查咨询单位</w:t>
            </w:r>
          </w:p>
        </w:tc>
      </w:tr>
      <w:tr>
        <w:tblPrEx>
          <w:tblCellMar>
            <w:top w:w="0" w:type="dxa"/>
            <w:left w:w="108" w:type="dxa"/>
            <w:bottom w:w="0" w:type="dxa"/>
            <w:right w:w="108" w:type="dxa"/>
          </w:tblCellMar>
        </w:tblPrEx>
        <w:trPr>
          <w:trHeight w:val="270"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GLSJ2-4-12</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初步设计中有重大方案遗漏</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353" w:type="dxa"/>
            <w:tcBorders>
              <w:top w:val="single" w:color="000000" w:sz="4" w:space="0"/>
              <w:left w:val="nil"/>
              <w:bottom w:val="single" w:color="000000" w:sz="4" w:space="0"/>
              <w:right w:val="single" w:color="000000" w:sz="4" w:space="0"/>
            </w:tcBorders>
            <w:vAlign w:val="center"/>
          </w:tcPr>
          <w:p>
            <w:pPr>
              <w:pStyle w:val="14"/>
              <w:spacing w:line="360" w:lineRule="auto"/>
              <w:jc w:val="left"/>
              <w:rPr>
                <w:rFonts w:ascii="方正仿宋_GBK" w:hAnsi="方正仿宋_GBK" w:eastAsia="方正仿宋_GBK" w:cs="方正仿宋_GBK"/>
                <w:bCs/>
                <w:color w:val="000000"/>
                <w:sz w:val="16"/>
                <w:szCs w:val="16"/>
              </w:rPr>
            </w:pPr>
          </w:p>
        </w:tc>
      </w:tr>
      <w:tr>
        <w:tblPrEx>
          <w:tblCellMar>
            <w:top w:w="0" w:type="dxa"/>
            <w:left w:w="108" w:type="dxa"/>
            <w:bottom w:w="0" w:type="dxa"/>
            <w:right w:w="108" w:type="dxa"/>
          </w:tblCellMar>
        </w:tblPrEx>
        <w:trPr>
          <w:trHeight w:val="570"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GLSJ2-4-13</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施工图设计过程中，较初步设计降低技术指标</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6分/次</w:t>
            </w:r>
          </w:p>
        </w:tc>
        <w:tc>
          <w:tcPr>
            <w:tcW w:w="1353" w:type="dxa"/>
            <w:tcBorders>
              <w:top w:val="single" w:color="000000" w:sz="4" w:space="0"/>
              <w:left w:val="nil"/>
              <w:bottom w:val="single" w:color="000000" w:sz="4" w:space="0"/>
              <w:right w:val="single" w:color="000000" w:sz="4" w:space="0"/>
            </w:tcBorders>
            <w:vAlign w:val="center"/>
          </w:tcPr>
          <w:p>
            <w:pPr>
              <w:pStyle w:val="14"/>
              <w:spacing w:line="360" w:lineRule="auto"/>
              <w:jc w:val="left"/>
              <w:rPr>
                <w:rFonts w:ascii="方正仿宋_GBK" w:hAnsi="方正仿宋_GBK" w:eastAsia="方正仿宋_GBK" w:cs="方正仿宋_GBK"/>
                <w:bCs/>
                <w:color w:val="000000"/>
                <w:sz w:val="16"/>
                <w:szCs w:val="16"/>
              </w:rPr>
            </w:pPr>
          </w:p>
        </w:tc>
      </w:tr>
      <w:tr>
        <w:tblPrEx>
          <w:tblCellMar>
            <w:top w:w="0" w:type="dxa"/>
            <w:left w:w="108" w:type="dxa"/>
            <w:bottom w:w="0" w:type="dxa"/>
            <w:right w:w="108" w:type="dxa"/>
          </w:tblCellMar>
        </w:tblPrEx>
        <w:trPr>
          <w:trHeight w:val="413"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GLSJ2-4-14</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因设计原因引起变更数量超过3个/km</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2分/个</w:t>
            </w:r>
          </w:p>
        </w:tc>
        <w:tc>
          <w:tcPr>
            <w:tcW w:w="1353" w:type="dxa"/>
            <w:tcBorders>
              <w:top w:val="single" w:color="000000" w:sz="4" w:space="0"/>
              <w:left w:val="nil"/>
              <w:bottom w:val="single" w:color="000000" w:sz="4" w:space="0"/>
              <w:right w:val="single" w:color="000000" w:sz="4" w:space="0"/>
            </w:tcBorders>
            <w:vAlign w:val="center"/>
          </w:tcPr>
          <w:p>
            <w:pPr>
              <w:pStyle w:val="14"/>
              <w:spacing w:line="360" w:lineRule="auto"/>
              <w:jc w:val="left"/>
              <w:rPr>
                <w:rFonts w:ascii="方正仿宋_GBK" w:hAnsi="方正仿宋_GBK" w:eastAsia="方正仿宋_GBK" w:cs="方正仿宋_GBK"/>
                <w:bCs/>
                <w:color w:val="000000"/>
                <w:sz w:val="16"/>
                <w:szCs w:val="16"/>
              </w:rPr>
            </w:pPr>
          </w:p>
        </w:tc>
      </w:tr>
      <w:tr>
        <w:tblPrEx>
          <w:tblCellMar>
            <w:top w:w="0" w:type="dxa"/>
            <w:left w:w="108" w:type="dxa"/>
            <w:bottom w:w="0" w:type="dxa"/>
            <w:right w:w="108" w:type="dxa"/>
          </w:tblCellMar>
        </w:tblPrEx>
        <w:trPr>
          <w:trHeight w:val="246"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GLSJ2-4-15</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初步设计虚增工程规模</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375"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GLSJ2-4-16</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勘察设计工作大纲及实施细则未落实</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6分/项次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570"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其他失信行为（满分30分，扣完为止。行为代码GLSJ2-5）</w:t>
            </w: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GLSJ2-5-1</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在设计或者设计变更中，违规谋取非法利益</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30分/次</w:t>
            </w:r>
          </w:p>
        </w:tc>
        <w:tc>
          <w:tcPr>
            <w:tcW w:w="1353" w:type="dxa"/>
            <w:tcBorders>
              <w:top w:val="single" w:color="000000" w:sz="4" w:space="0"/>
              <w:left w:val="nil"/>
              <w:bottom w:val="single" w:color="000000" w:sz="4" w:space="0"/>
              <w:right w:val="single" w:color="000000" w:sz="4" w:space="0"/>
            </w:tcBorders>
            <w:vAlign w:val="center"/>
          </w:tcPr>
          <w:p>
            <w:pPr>
              <w:pStyle w:val="14"/>
              <w:spacing w:line="360" w:lineRule="auto"/>
              <w:jc w:val="left"/>
              <w:rPr>
                <w:rFonts w:ascii="方正仿宋_GBK" w:hAnsi="方正仿宋_GBK" w:eastAsia="方正仿宋_GBK" w:cs="方正仿宋_GBK"/>
                <w:bCs/>
                <w:color w:val="000000"/>
                <w:sz w:val="16"/>
                <w:szCs w:val="16"/>
              </w:rPr>
            </w:pPr>
          </w:p>
        </w:tc>
      </w:tr>
      <w:tr>
        <w:tblPrEx>
          <w:tblCellMar>
            <w:top w:w="0" w:type="dxa"/>
            <w:left w:w="108" w:type="dxa"/>
            <w:bottom w:w="0" w:type="dxa"/>
            <w:right w:w="108" w:type="dxa"/>
          </w:tblCellMar>
        </w:tblPrEx>
        <w:trPr>
          <w:trHeight w:val="363"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GLSJ2-5-2</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未按合同规定进行地质勘察</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30分/次</w:t>
            </w:r>
          </w:p>
        </w:tc>
        <w:tc>
          <w:tcPr>
            <w:tcW w:w="1353" w:type="dxa"/>
            <w:tcBorders>
              <w:top w:val="single" w:color="000000" w:sz="4" w:space="0"/>
              <w:left w:val="nil"/>
              <w:bottom w:val="single" w:color="000000" w:sz="4" w:space="0"/>
              <w:right w:val="single" w:color="000000" w:sz="4" w:space="0"/>
            </w:tcBorders>
            <w:vAlign w:val="center"/>
          </w:tcPr>
          <w:p>
            <w:pPr>
              <w:pStyle w:val="14"/>
              <w:spacing w:line="360" w:lineRule="auto"/>
              <w:jc w:val="left"/>
              <w:rPr>
                <w:rFonts w:ascii="方正仿宋_GBK" w:hAnsi="方正仿宋_GBK" w:eastAsia="方正仿宋_GBK" w:cs="方正仿宋_GBK"/>
                <w:bCs/>
                <w:color w:val="000000"/>
                <w:sz w:val="16"/>
                <w:szCs w:val="16"/>
              </w:rPr>
            </w:pPr>
          </w:p>
        </w:tc>
      </w:tr>
      <w:tr>
        <w:tblPrEx>
          <w:tblCellMar>
            <w:top w:w="0" w:type="dxa"/>
            <w:left w:w="108" w:type="dxa"/>
            <w:bottom w:w="0" w:type="dxa"/>
            <w:right w:w="108" w:type="dxa"/>
          </w:tblCellMar>
        </w:tblPrEx>
        <w:trPr>
          <w:trHeight w:val="570"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GLSJ2-5-3</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除不可抗力外，中标人不按照与招标人签订的合同履行义务，情节严重</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30分/次</w:t>
            </w:r>
          </w:p>
        </w:tc>
        <w:tc>
          <w:tcPr>
            <w:tcW w:w="1353" w:type="dxa"/>
            <w:tcBorders>
              <w:top w:val="single" w:color="000000" w:sz="4" w:space="0"/>
              <w:left w:val="nil"/>
              <w:bottom w:val="single" w:color="000000" w:sz="4" w:space="0"/>
              <w:right w:val="single" w:color="000000" w:sz="4" w:space="0"/>
            </w:tcBorders>
            <w:vAlign w:val="center"/>
          </w:tcPr>
          <w:p>
            <w:pPr>
              <w:pStyle w:val="14"/>
              <w:spacing w:line="360" w:lineRule="auto"/>
              <w:jc w:val="left"/>
              <w:rPr>
                <w:rFonts w:ascii="方正仿宋_GBK" w:hAnsi="方正仿宋_GBK" w:eastAsia="方正仿宋_GBK" w:cs="方正仿宋_GBK"/>
                <w:bCs/>
                <w:color w:val="000000"/>
                <w:sz w:val="16"/>
                <w:szCs w:val="16"/>
              </w:rPr>
            </w:pPr>
          </w:p>
        </w:tc>
      </w:tr>
      <w:tr>
        <w:tblPrEx>
          <w:tblCellMar>
            <w:top w:w="0" w:type="dxa"/>
            <w:left w:w="108" w:type="dxa"/>
            <w:bottom w:w="0" w:type="dxa"/>
            <w:right w:w="108" w:type="dxa"/>
          </w:tblCellMar>
        </w:tblPrEx>
        <w:trPr>
          <w:trHeight w:val="301"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GLSJ2-5-4</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地质勘察时间滞后，地质勘察成果未利用</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353" w:type="dxa"/>
            <w:tcBorders>
              <w:top w:val="single" w:color="000000" w:sz="4" w:space="0"/>
              <w:left w:val="nil"/>
              <w:bottom w:val="single" w:color="000000" w:sz="4" w:space="0"/>
              <w:right w:val="single" w:color="000000" w:sz="4" w:space="0"/>
            </w:tcBorders>
            <w:vAlign w:val="center"/>
          </w:tcPr>
          <w:p>
            <w:pPr>
              <w:pStyle w:val="14"/>
              <w:spacing w:line="360" w:lineRule="auto"/>
              <w:jc w:val="left"/>
              <w:rPr>
                <w:rFonts w:ascii="方正仿宋_GBK" w:hAnsi="方正仿宋_GBK" w:eastAsia="方正仿宋_GBK" w:cs="方正仿宋_GBK"/>
                <w:bCs/>
                <w:color w:val="000000"/>
                <w:sz w:val="16"/>
                <w:szCs w:val="16"/>
              </w:rPr>
            </w:pPr>
          </w:p>
        </w:tc>
      </w:tr>
      <w:tr>
        <w:tblPrEx>
          <w:tblCellMar>
            <w:top w:w="0" w:type="dxa"/>
            <w:left w:w="108" w:type="dxa"/>
            <w:bottom w:w="0" w:type="dxa"/>
            <w:right w:w="108" w:type="dxa"/>
          </w:tblCellMar>
        </w:tblPrEx>
        <w:trPr>
          <w:trHeight w:val="278"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GLSJ2-5-5</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地质勘察深度不足</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353" w:type="dxa"/>
            <w:tcBorders>
              <w:top w:val="single" w:color="000000" w:sz="4" w:space="0"/>
              <w:left w:val="nil"/>
              <w:bottom w:val="single" w:color="000000" w:sz="4" w:space="0"/>
              <w:right w:val="single" w:color="000000" w:sz="4" w:space="0"/>
            </w:tcBorders>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单次审查、验收或者检查为一次。</w:t>
            </w:r>
          </w:p>
        </w:tc>
      </w:tr>
      <w:tr>
        <w:tblPrEx>
          <w:tblCellMar>
            <w:top w:w="0" w:type="dxa"/>
            <w:left w:w="108" w:type="dxa"/>
            <w:bottom w:w="0" w:type="dxa"/>
            <w:right w:w="108" w:type="dxa"/>
          </w:tblCellMar>
        </w:tblPrEx>
        <w:trPr>
          <w:trHeight w:val="459"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GLSJ2-5-6</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提供虚假地质勘察资料</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10分/项次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23"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GLSJ2-5-7</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设计单位指定建筑材料生产厂家、供应商</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292"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GLSJ2-5-8</w:t>
            </w:r>
          </w:p>
        </w:tc>
        <w:tc>
          <w:tcPr>
            <w:tcW w:w="3373" w:type="dxa"/>
            <w:tcBorders>
              <w:top w:val="single" w:color="000000" w:sz="4" w:space="0"/>
              <w:left w:val="nil"/>
              <w:bottom w:val="single" w:color="000000" w:sz="4" w:space="0"/>
              <w:right w:val="single" w:color="000000" w:sz="4" w:space="0"/>
            </w:tcBorders>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未按要求签订廉政合同</w:t>
            </w:r>
          </w:p>
        </w:tc>
        <w:tc>
          <w:tcPr>
            <w:tcW w:w="1446" w:type="dxa"/>
            <w:tcBorders>
              <w:top w:val="single" w:color="000000" w:sz="4" w:space="0"/>
              <w:left w:val="nil"/>
              <w:bottom w:val="single" w:color="000000" w:sz="4" w:space="0"/>
              <w:right w:val="single" w:color="000000" w:sz="4" w:space="0"/>
            </w:tcBorders>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239"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GLSJ2-5-9</w:t>
            </w:r>
          </w:p>
        </w:tc>
        <w:tc>
          <w:tcPr>
            <w:tcW w:w="3373" w:type="dxa"/>
            <w:tcBorders>
              <w:top w:val="single" w:color="000000" w:sz="4" w:space="0"/>
              <w:left w:val="nil"/>
              <w:bottom w:val="single" w:color="000000" w:sz="4" w:space="0"/>
              <w:right w:val="single" w:color="000000" w:sz="4" w:space="0"/>
            </w:tcBorders>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违反廉政合同</w:t>
            </w:r>
          </w:p>
        </w:tc>
        <w:tc>
          <w:tcPr>
            <w:tcW w:w="1446" w:type="dxa"/>
            <w:tcBorders>
              <w:top w:val="single" w:color="000000" w:sz="4" w:space="0"/>
              <w:left w:val="nil"/>
              <w:bottom w:val="single" w:color="000000" w:sz="4" w:space="0"/>
              <w:right w:val="single" w:color="000000" w:sz="4" w:space="0"/>
            </w:tcBorders>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570" w:hRule="atLeast"/>
        </w:trPr>
        <w:tc>
          <w:tcPr>
            <w:tcW w:w="893" w:type="dxa"/>
            <w:vMerge w:val="restart"/>
            <w:tcBorders>
              <w:top w:val="nil"/>
              <w:left w:val="single" w:color="000000" w:sz="4" w:space="0"/>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其他行为（行为代码GLSJ3）</w:t>
            </w:r>
          </w:p>
        </w:tc>
        <w:tc>
          <w:tcPr>
            <w:tcW w:w="1026"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较重或严重失信行为（行为代码GLSJ3-1）</w:t>
            </w: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GLSJ3-1-1</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被司法机关认定有单位行贿、受贿行为，并构成犯罪</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570"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GLSJ3-1-2</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项目运营期间发生重大及以上质量或者安全生产事故，负有责任的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570"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GLSJ3-1-3</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交通运输部、市交通主管部门要求企业填报向社会公布的信息存在虚假的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570"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GLSJ3-1-4</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资质抽查中，发现人员、技术装备、业绩等指标低于相关资质标准要求或者弄虚作假的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368"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GLSJ3-1-5</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被交通运输部通报批评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1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其他失信行为（行为代码GLSJ3-2）</w:t>
            </w: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GLSJ3-2-1</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信用评价弄虚作假或者以不正当手段骗取较高信用等级</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95"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GLSJ3-2-2</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发生廉政事件但未触犯刑事法律</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8分/次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07"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GLSJ3-2-3</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被市交通主管部门或者市公路事务机构或者区县交通主管部门通报批评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bl>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exact"/>
        <w:rPr>
          <w:rFonts w:ascii="方正黑体_GBK" w:eastAsia="方正黑体_GBK"/>
          <w:color w:val="000000"/>
          <w:sz w:val="32"/>
        </w:rPr>
      </w:pPr>
      <w:r>
        <w:rPr>
          <w:rFonts w:hint="eastAsia" w:ascii="方正黑体_GBK" w:eastAsia="方正黑体_GBK"/>
          <w:color w:val="000000"/>
          <w:sz w:val="32"/>
        </w:rPr>
        <w:t>附件1-3</w:t>
      </w:r>
    </w:p>
    <w:p>
      <w:pPr>
        <w:pStyle w:val="14"/>
        <w:spacing w:line="500" w:lineRule="exact"/>
        <w:jc w:val="center"/>
        <w:rPr>
          <w:rFonts w:ascii="方正小标宋_GBK" w:eastAsia="方正小标宋_GBK"/>
          <w:color w:val="000000"/>
          <w:sz w:val="36"/>
          <w:szCs w:val="36"/>
        </w:rPr>
      </w:pPr>
    </w:p>
    <w:p>
      <w:pPr>
        <w:pStyle w:val="14"/>
        <w:spacing w:line="500" w:lineRule="exact"/>
        <w:jc w:val="center"/>
        <w:rPr>
          <w:rFonts w:ascii="方正小标宋_GBK" w:eastAsia="方正小标宋_GBK"/>
          <w:color w:val="000000"/>
          <w:spacing w:val="-10"/>
          <w:sz w:val="44"/>
          <w:szCs w:val="44"/>
        </w:rPr>
      </w:pPr>
      <w:r>
        <w:rPr>
          <w:rFonts w:hint="eastAsia" w:ascii="方正小标宋_GBK" w:eastAsia="方正小标宋_GBK"/>
          <w:color w:val="000000"/>
          <w:spacing w:val="-10"/>
          <w:sz w:val="44"/>
          <w:szCs w:val="44"/>
        </w:rPr>
        <w:t>重庆市公路建设市场施工企业信用行为评定标准</w:t>
      </w:r>
    </w:p>
    <w:p>
      <w:pPr>
        <w:pStyle w:val="14"/>
        <w:spacing w:line="500" w:lineRule="exact"/>
        <w:jc w:val="center"/>
        <w:rPr>
          <w:rFonts w:ascii="方正小标宋_GBK" w:eastAsia="方正小标宋_GBK"/>
          <w:color w:val="000000"/>
          <w:spacing w:val="-10"/>
          <w:sz w:val="44"/>
          <w:szCs w:val="44"/>
        </w:rPr>
      </w:pPr>
    </w:p>
    <w:tbl>
      <w:tblPr>
        <w:tblStyle w:val="1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7"/>
        <w:gridCol w:w="992"/>
        <w:gridCol w:w="1134"/>
        <w:gridCol w:w="3119"/>
        <w:gridCol w:w="1418"/>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trPr>
        <w:tc>
          <w:tcPr>
            <w:tcW w:w="1809" w:type="dxa"/>
            <w:gridSpan w:val="3"/>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评定内容</w:t>
            </w:r>
          </w:p>
        </w:tc>
        <w:tc>
          <w:tcPr>
            <w:tcW w:w="1134" w:type="dxa"/>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w:t>
            </w:r>
          </w:p>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代码</w:t>
            </w:r>
          </w:p>
        </w:tc>
        <w:tc>
          <w:tcPr>
            <w:tcW w:w="3119" w:type="dxa"/>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不良行为</w:t>
            </w:r>
          </w:p>
        </w:tc>
        <w:tc>
          <w:tcPr>
            <w:tcW w:w="1418" w:type="dxa"/>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行为等级和</w:t>
            </w:r>
          </w:p>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扣分标准</w:t>
            </w:r>
          </w:p>
        </w:tc>
        <w:tc>
          <w:tcPr>
            <w:tcW w:w="1700" w:type="dxa"/>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rPr>
        <w:tc>
          <w:tcPr>
            <w:tcW w:w="817" w:type="dxa"/>
            <w:gridSpan w:val="2"/>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投标行为（满分100分，扣完为止。行为代码GLSG1）</w:t>
            </w: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较重或严重失信行为（行为代码GLSG1-1）</w:t>
            </w: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GLSG1-1-1</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超越资质等级承揽工程</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GLSG1-1-2</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出借资质，允许其他单位或者个人以本单位名义承揽工程</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GLSG1-1-3</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借用他人资质证书承揽工程</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GLSG1-1-4</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与招标人或者与其他投标人串通投标</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GLSG1-1-5</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投标中有行贿行为</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bookmarkStart w:id="4" w:name="RANGE!D8"/>
            <w:bookmarkEnd w:id="4"/>
            <w:r>
              <w:rPr>
                <w:rFonts w:hint="eastAsia" w:ascii="方正仿宋_GBK" w:hAnsi="方正仿宋_GBK" w:eastAsia="方正仿宋_GBK" w:cs="方正仿宋_GBK"/>
                <w:bCs/>
                <w:color w:val="000000"/>
                <w:sz w:val="20"/>
                <w:szCs w:val="20"/>
              </w:rPr>
              <w:t>GLSG1-1-6</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因违反法律、法规、规章被禁止投标后，在禁止期内仍参与投标</w:t>
            </w:r>
          </w:p>
        </w:tc>
        <w:tc>
          <w:tcPr>
            <w:tcW w:w="1418" w:type="dxa"/>
            <w:vAlign w:val="center"/>
          </w:tcPr>
          <w:p>
            <w:pPr>
              <w:pStyle w:val="14"/>
              <w:spacing w:line="260" w:lineRule="atLeast"/>
              <w:ind w:left="106" w:right="-107" w:hanging="106"/>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直接定为D级；已为D级的，延期半年</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GLSG1-1-7</w:t>
            </w:r>
          </w:p>
        </w:tc>
        <w:tc>
          <w:tcPr>
            <w:tcW w:w="3119" w:type="dxa"/>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资审材料或者投标文件虚假</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GLSG1-1-8</w:t>
            </w:r>
          </w:p>
        </w:tc>
        <w:tc>
          <w:tcPr>
            <w:tcW w:w="3119" w:type="dxa"/>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捏造事实、伪造材料或者以非法手段取得证明材料进行投诉</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其他失信行为（行为代码GLSG1-2）</w:t>
            </w:r>
          </w:p>
        </w:tc>
        <w:tc>
          <w:tcPr>
            <w:tcW w:w="1134"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GLSG1-2-1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中标人拒不按照招标文件要求提交履约保证金</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700" w:type="dxa"/>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GLSG1-2-2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中标后无正当理由放弃中标</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因评标时间过长,材料价格上涨过快造成成本价发生较大变化的除外。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GLSG1-2-3</w:t>
            </w:r>
          </w:p>
        </w:tc>
        <w:tc>
          <w:tcPr>
            <w:tcW w:w="3119" w:type="dxa"/>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未按时确认补遗书等招标人发出的通知</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700" w:type="dxa"/>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GLSG1-2-4</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无正当理由未在规定时间内签订合同</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700" w:type="dxa"/>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trPr>
        <w:tc>
          <w:tcPr>
            <w:tcW w:w="817" w:type="dxa"/>
            <w:gridSpan w:val="2"/>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履约行为（满分100分，扣完为止。行为代码GLSG2）</w:t>
            </w: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较重或严重失信行为（行为代码GLSG2-1）</w:t>
            </w: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GLSG2-1-1</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将中标合同转让</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GLSG2-1-2</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将合同段全部工作内容肢解后分别分包</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GLSG2-1-3</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发生重大及以上质量或者安全生产事故，负有责任的</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GLSG2-1-4</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经质监机构鉴定合同段工程质量不合格,或者施工管理综合评价为差</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GLSG2-1-5</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因施工单位原因造成合同终止的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GLSG2-1-6</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将承包工程违法分包</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直接定为C级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GLSG2-1-7</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违反公路工程建设强制性标准</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直接定为C级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GLSG2-1-8</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发生较大质量或者安全生产事故，负有主要责任的</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人员、设备到位（满分10分，扣完为止。行为代码GLSG2-2）</w:t>
            </w: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签订合同后无正当理由不按投标文件承诺时间进场</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2分/延迟十日</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项目经理未按投标承诺到位，或者出勤率不满足合同要求，或者在施工期间所更换项目经理资格降低，或者未经批准擅自更换</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4分/人次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GLSG2-2-3</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项目经理在施工期间不低于原资格更换</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0.5分/人次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项目法人要求更换的除外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GLSG2-2-4</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技术负责人未按投标承诺到位，或者在施工期间更换人员资格降低，或者未经批准擅自更换</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3分/人次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GLSG2-2-5</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技术负责人在施工期间不低于原人员资格更换</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0.3分/人次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项目法人要求更换的除外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GLSG2-2-6</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安全员或者其他注册执业人员未按投标承诺到位,或者无正当理由更换</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0.5分/人次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项目法人要求更换的除外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GLSG2-2-7</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主要工程管理、技术人员未按投标承诺到位</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0.2分/人次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GLSG2-2-8</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未按投标承诺或者工程需要，施工机械未到位扣1分/台套，试验检测设备未到位0.5分/台套</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0.5～1分/台套</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GLSG2-2-9</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有关人员未按要求持证上岗</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1分/人次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按照有关管理文件、招标文件要求检查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GLSG2-2-10</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未按规定签订劳务用工合同</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GLSG2-2-11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聘用信用评价为D级的从业人员，或者信用评价为C级的人员从事主要岗位的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质量管理、进度管理（满分50分，扣完为止。行为代码GLSG2-3）</w:t>
            </w: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拒绝或者阻碍依法进行公路建设监督检查工作</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8分/次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未对职工进行专项教育和培训</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0.5分/人次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GLSG2-3-3</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质量保证体系或者质量保证措施不健全</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GLSG2-3-4</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特殊季节施工预防措施不健全</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spacing w:line="200" w:lineRule="exac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对季节性施工有特殊预防要求的，如雨季、冬季施工，应有相应预防措施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GLSG2-3-5</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未建立工程质量责任登记制度</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8分</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GLSG2-3-6</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使用不合格的建筑材料、建筑构配件和设备</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GLSG2-3-7</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不按设计图纸施工，导致工程加固补强、返工或者报废</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8分/次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GLSG2-3-8</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不按施工技术标准、规范施工，导致工程加固补强、返工或者报废</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GLSG2-3-9</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未经监理签认进入下道工序或者分项工程</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GLSG2-3-10</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未经监理签认将建筑材料、建筑构配件和设备在工程上使用或者安装</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监理下达停工指令拒不执行</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未对建筑材料、建筑构配件、设备和商品混凝土进行检验，或者未对涉及结构安全的试块、试件以及有关材料取样检测直接使用</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GLSG2-3-13</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施工过程中偷工减料</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GLSG2-3-14</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原材料堆放混乱，对使用质量造成影响</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如1、砂石、水泥、钢筋、添加剂等原材料堆放未分界、场地未硬化、未采取防雨防潮措施等。2、材料堆放未设置材料标识标牌及不合格明显标识。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GLSG2-3-15</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工程检查中抽测涉及关键指标的实体质量不合格，导致工程加固补强、返工或者报废</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指交通主管部门或者其质量监督机构组织的督查或者项目法人组织的正式检查。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GLSG2-3-16</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因施工原因出现工程非关键指标质量问题，对工程实体质量影响不大</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GLSG2-3-17</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发生质量或者安全生产事故，负有责任的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15～20分/次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发生较大质量或者安全生产事故扣20分/起；发生一般质量或者安全生产事故扣15分/起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GLSG2-3-18</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因施工原因发生一般质量责任或者安全事故，未按规定如实及时上报</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GLSG2-3-19</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出现质量问题经整改仍达不到要求的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被建设管理单位、交通主管部门或者其质量监督机构发现有质量问题并要求整改，整改不合格的。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GLSG2-3-20</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内业资料不全或者不规范</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1～2分</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工地试验室不符合要求</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试验检测数据或者内业资料虚假</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GLSG2-3-23</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因施工单位原因造成工程进度滞后计划工期或者合同工期</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1分/延迟十日</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GLSG2-3-24</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未达到合同约定的质量标准</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GLSG2-3-25</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不配合业主办理施工许可、进行交工验收等有关管理工作的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GLSG2-3-26</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不履行保修义务或者拖延履行保修义务</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GLSG2-3-27</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未认真复核施工现场情况，与设计文件存在较大偏差而施工，造成工程损失的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1～10分/次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GLSG2-3-28</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机</w:t>
            </w:r>
            <w:r>
              <w:rPr>
                <w:rFonts w:hint="eastAsia" w:ascii="方正仿宋_GBK" w:hAnsi="方正仿宋_GBK" w:eastAsia="方正仿宋_GBK" w:cs="方正仿宋_GBK"/>
                <w:color w:val="000000"/>
                <w:spacing w:val="-6"/>
                <w:sz w:val="20"/>
                <w:szCs w:val="20"/>
              </w:rPr>
              <w:t>电工程联合设计施工图有实质性缺陷；工程量清单不详实，材料和设备规格、型号、厂家名称不齐全，所选用材料和设备低于投标文件承诺的标准。</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GLSG2-3-29</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所用设备、原材料、半成品和制成品，不符合有关产品标准、规范或者合同的要求，没有符合国家认可标准要求的质检机构出具的检验合格证和出厂合格证。</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GLSG2-3-30</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违反市交通主管部门颁布的有关质量强制性要求</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与上述质量管理不良行为不重复扣分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GLSG2-3-31</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承包人疏于管理，分包工程再次分包</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不含劳务分包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GLSG2-3-32</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高速公路施工标准化验收不达标</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财务管理（满分10分，扣完为止。行为代码GLSG2-4）</w:t>
            </w: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GLSG2-4-1</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财务管理制度不健全</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GLSG2-4-2</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财务管理混乱，管理台帐不完备</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GLSG2-4-3</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工程变更弄虚作假</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GLSG2-4-4</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虚假计量</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GLSG2-4-5</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流动资金不能满足工程建设</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GLSG2-4-6</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挪用工程款，造成管理混乱、进度滞后等不良影响</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GLSG2-4-7</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因施工企业原因拖欠工程款、农民工工资、材料款，尚未造成影响</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0.5分/次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安全生产（满分20分，扣完为止。行为代码GLSG2-5）</w:t>
            </w: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因施工企业原因未签订安全生产合同</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未建立健全安全生产规章制度、操作规程或者安全生产保证体系</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相关规章制度未建立扣3分，未健全则扣1-2分。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GLSG2-5-3</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项目负责人、专职安全生产管理人员、作业人员或者特种作业人员，未经安全教育培训或者考核不合格即从事相关工作</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GLSG2-5-4</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未对职工进行安全生产教育和培训，或者未如实告知有关安全生产事项</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2"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GLSG2-5-5</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未在施工现场的危险部位设置明显的安全警示标志和安全防护，或者未按照国家有关规定在施工现场设置消防通道、消防水源、配备消防设施和灭火器材</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GLSG2-5-6</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未向作业人员提供安全防护用具和安全防护服装</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4"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GLSG2-5-7</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特种设备未经具有专业资质的机构检测、检验合格，取得安全使用证或者安全标志，投入使用。或者使用未经验收或者验收不合格的施工起重机械和整体提升脚手架、模板等自升式架设设施</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GLSG2-5-8</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使用国家明令淘汰、禁止使用的危及生产安全的工艺、设备</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GLSG2-5-9</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储存、使用危险物品，未建立专门安全管理制度、未采取可靠的安全措施或者不接受有关主管部门依法实施的监督管理</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GLSG2-5-10</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对重大危险源未登记建档，或者未进行评估、监控，或者未制定应急预案</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进行爆破、吊装等危险作业，未安排专门管理人员进行现场安全管理</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两个以上单位在同一作业区域内进行可能危及对方安全生产的生产经营活动，因自身原因未签订安全生产管理协议或者未指定专职安全生产管理人员进行安全检查与协调</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6"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GLSG2-5-13</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储存、使用危险物品的车间、仓库与员工宿舍在同一座建筑内，或者与员工宿舍的距离不符合安全要求；施工现场和员工宿舍未设有符合紧急疏散需要、标志明显、保持畅通的出口，或者封闭、堵塞施工现场或者员工宿舍出口</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GLSG2-5-14</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从业人员不服从管理，违反安全生产规章制度或者操作规程</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GLSG2-5-15</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未及时、如实报告生产安全事故</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GLSG2-5-16</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主要负责人在本单位发生重大生产安全事故时，不立即组织抢救或者在事故调查处理期间擅离职守或者逃匿</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GLSG2-5-17</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挪用列入建设工程概算的安全生产作业环境及安全施工措施所需费用</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GLSG2-5-18</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每项工程实施前，未进行安全生产技术交底</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GLSG2-5-19</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未根据不同施工阶段和周围环境及季节、气候的变化，在施工现场采取相应的安全施工措施</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1分/次</w:t>
            </w:r>
          </w:p>
        </w:tc>
        <w:tc>
          <w:tcPr>
            <w:tcW w:w="1700" w:type="dxa"/>
            <w:vAlign w:val="center"/>
          </w:tcPr>
          <w:p>
            <w:pPr>
              <w:pStyle w:val="14"/>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GLSG2-5-20</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施工现场临时搭建的建筑物不符合安全使用要求</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对危险性较大的工程未编制专项施工方案并附安全验算结果</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未对因建设工程施工可能造成损害的毗邻建筑物、构筑物和地下管线等采取专项防护措施</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GLSG2-5-23</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安全防护用具、机械设备、施工机具及配件在进入施工现场前未经查验或者查验不合格即投入使用</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GLSG2-5-24</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委托不具有相应资质的单位承担施工现场安装、拆卸施工起重机械和整体提升脚手架、模板等自升式架设设施</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7"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GLSG2-5-25</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未取得安全生产许可证擅自进行生产，安全生产许可证有效期满未办理延期手续，继续进行生产；逾期仍不办理延期手续，继续进行生产</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GLSG2-5-26</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使用伪造的安全生产许可证</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GLSG2-5-27</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多次整改仍然存在安全问题；对存在重大安全事故隐患但拒绝整改或者整改效果不明显</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被建设管理单位、交通主管部门或者其质量监督机构发现有安全生产问题并要求整改，整改不合格的。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GLSG2-5-28</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在沿海水域进行水上水下施工以及划定相应的安全作业区，未报经主管机关核准公告；施工单位擅自扩大安全作业区范围</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GLSG2-5-29</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施工现场防护不到位，存在安全隐患</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GLSG2-5-30</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未编制安全生产应急预案并落实人员、器材，组织演练</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GLSG2-5-31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发生一般安全生产责任事故</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GLSG2-5-32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未办理施工现场人员人身意外伤害保险</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GLSG2-5-33</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违反市交通主管部门颁布的有关施工安全强制性要求</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与上述安全生产不良行为不重复扣分。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GLSG2-5-34</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“平安工地”建设验收不达标</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社会责任（满分10分，扣完为止。行为代码GLSG2-6）</w:t>
            </w: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在崩塌滑坡危险区、泥石流易发区范围内取土、挖砂或者采石</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8分/次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施工产生的废渣随意堆放或者丢弃，废水随意排放</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GLSG2-6-3</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施工中造成生态环境破坏或者乱占土地</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3～20分/次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GLSG2-6-4</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施工过程中造成水土流失，不进行治理</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GLSG2-6-5</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生活区、办公区设置杂乱，卫生环境差</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GLSG2-6-6</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建设项目出现突发事件，拒不执行应急或者救援任务</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GLSG2-6-7</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乱占土地、草场</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GLSG2-6-8</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临时占用农田、林地等未及时复垦或者恢复原状</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GLSG2-6-9</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未按要求签订廉政合同</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GLSG2-6-10</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违反廉政合同</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GLSG2-6-11</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施工进场后，由于施工单位责任，造成地下管线破坏，产生不良社会影响。</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0"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其它行为（行为代码GLSG3）</w:t>
            </w:r>
          </w:p>
        </w:tc>
        <w:tc>
          <w:tcPr>
            <w:tcW w:w="999" w:type="dxa"/>
            <w:gridSpan w:val="2"/>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较重或严重失信行为（行为代码GLSG3-1）</w:t>
            </w:r>
          </w:p>
        </w:tc>
        <w:tc>
          <w:tcPr>
            <w:tcW w:w="1134"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GLSG3-1-1</w:t>
            </w:r>
          </w:p>
        </w:tc>
        <w:tc>
          <w:tcPr>
            <w:tcW w:w="3119" w:type="dxa"/>
            <w:vAlign w:val="center"/>
          </w:tcPr>
          <w:p>
            <w:pPr>
              <w:pStyle w:val="14"/>
              <w:spacing w:line="220" w:lineRule="exac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被司法机关认定有行贿、受贿行为，并构成犯罪</w:t>
            </w:r>
          </w:p>
        </w:tc>
        <w:tc>
          <w:tcPr>
            <w:tcW w:w="1418"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trPr>
        <w:tc>
          <w:tcPr>
            <w:tcW w:w="810" w:type="dxa"/>
            <w:vMerge w:val="continue"/>
            <w:vAlign w:val="center"/>
          </w:tcPr>
          <w:p>
            <w:pPr>
              <w:rPr>
                <w:rFonts w:ascii="方正仿宋_GBK" w:hAnsi="方正仿宋_GBK" w:eastAsia="方正仿宋_GBK" w:cs="方正仿宋_GBK"/>
                <w:color w:val="000000"/>
                <w:sz w:val="20"/>
              </w:rPr>
            </w:pPr>
          </w:p>
        </w:tc>
        <w:tc>
          <w:tcPr>
            <w:tcW w:w="999" w:type="dxa"/>
            <w:gridSpan w:val="2"/>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GLSG3-1-2</w:t>
            </w:r>
          </w:p>
        </w:tc>
        <w:tc>
          <w:tcPr>
            <w:tcW w:w="3119" w:type="dxa"/>
            <w:vAlign w:val="center"/>
          </w:tcPr>
          <w:p>
            <w:pPr>
              <w:pStyle w:val="14"/>
              <w:spacing w:line="220" w:lineRule="exac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项目运营期间发生重大及以上质量或者安全生产事故，负有责任的</w:t>
            </w:r>
          </w:p>
        </w:tc>
        <w:tc>
          <w:tcPr>
            <w:tcW w:w="1418"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10" w:type="dxa"/>
            <w:vMerge w:val="continue"/>
            <w:vAlign w:val="center"/>
          </w:tcPr>
          <w:p>
            <w:pPr>
              <w:rPr>
                <w:rFonts w:ascii="方正仿宋_GBK" w:hAnsi="方正仿宋_GBK" w:eastAsia="方正仿宋_GBK" w:cs="方正仿宋_GBK"/>
                <w:color w:val="000000"/>
                <w:sz w:val="20"/>
              </w:rPr>
            </w:pPr>
          </w:p>
        </w:tc>
        <w:tc>
          <w:tcPr>
            <w:tcW w:w="999" w:type="dxa"/>
            <w:gridSpan w:val="2"/>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GLSG3-1-3</w:t>
            </w:r>
          </w:p>
        </w:tc>
        <w:tc>
          <w:tcPr>
            <w:tcW w:w="3119" w:type="dxa"/>
            <w:vAlign w:val="center"/>
          </w:tcPr>
          <w:p>
            <w:pPr>
              <w:pStyle w:val="14"/>
              <w:spacing w:line="220" w:lineRule="exac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因拖欠问题造成群体事件或者不良社会影响，经有关部门协调后仍未能在限期内进行整改的。</w:t>
            </w:r>
          </w:p>
        </w:tc>
        <w:tc>
          <w:tcPr>
            <w:tcW w:w="1418"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2" w:hRule="atLeast"/>
        </w:trPr>
        <w:tc>
          <w:tcPr>
            <w:tcW w:w="810" w:type="dxa"/>
            <w:vMerge w:val="continue"/>
            <w:vAlign w:val="center"/>
          </w:tcPr>
          <w:p>
            <w:pPr>
              <w:rPr>
                <w:rFonts w:ascii="方正仿宋_GBK" w:hAnsi="方正仿宋_GBK" w:eastAsia="方正仿宋_GBK" w:cs="方正仿宋_GBK"/>
                <w:color w:val="000000"/>
                <w:sz w:val="20"/>
              </w:rPr>
            </w:pPr>
          </w:p>
        </w:tc>
        <w:tc>
          <w:tcPr>
            <w:tcW w:w="999" w:type="dxa"/>
            <w:gridSpan w:val="2"/>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GLSG3-1-4</w:t>
            </w:r>
          </w:p>
        </w:tc>
        <w:tc>
          <w:tcPr>
            <w:tcW w:w="3119" w:type="dxa"/>
            <w:vAlign w:val="center"/>
          </w:tcPr>
          <w:p>
            <w:pPr>
              <w:pStyle w:val="14"/>
              <w:spacing w:line="220" w:lineRule="exac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未按规定拒不修复工程缺陷的，或者无正当理由未按要求及规定时限完成工程设计变更、工程结算、竣工决算等竣工验收各项准备工作，拒不整改的。</w:t>
            </w:r>
          </w:p>
        </w:tc>
        <w:tc>
          <w:tcPr>
            <w:tcW w:w="1418"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10" w:type="dxa"/>
            <w:vMerge w:val="continue"/>
            <w:vAlign w:val="center"/>
          </w:tcPr>
          <w:p>
            <w:pPr>
              <w:rPr>
                <w:rFonts w:ascii="方正仿宋_GBK" w:hAnsi="方正仿宋_GBK" w:eastAsia="方正仿宋_GBK" w:cs="方正仿宋_GBK"/>
                <w:color w:val="000000"/>
                <w:sz w:val="20"/>
              </w:rPr>
            </w:pPr>
          </w:p>
        </w:tc>
        <w:tc>
          <w:tcPr>
            <w:tcW w:w="999" w:type="dxa"/>
            <w:gridSpan w:val="2"/>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GLSG3-1-5</w:t>
            </w:r>
          </w:p>
        </w:tc>
        <w:tc>
          <w:tcPr>
            <w:tcW w:w="3119" w:type="dxa"/>
            <w:vAlign w:val="center"/>
          </w:tcPr>
          <w:p>
            <w:pPr>
              <w:pStyle w:val="14"/>
              <w:spacing w:line="220" w:lineRule="exac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交通运输部、市交通主管部门要求企业填报向社会公布的信息存在虚假的</w:t>
            </w:r>
          </w:p>
        </w:tc>
        <w:tc>
          <w:tcPr>
            <w:tcW w:w="1418"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7" w:hRule="atLeast"/>
        </w:trPr>
        <w:tc>
          <w:tcPr>
            <w:tcW w:w="810" w:type="dxa"/>
            <w:vMerge w:val="continue"/>
            <w:vAlign w:val="center"/>
          </w:tcPr>
          <w:p>
            <w:pPr>
              <w:rPr>
                <w:rFonts w:ascii="方正仿宋_GBK" w:hAnsi="方正仿宋_GBK" w:eastAsia="方正仿宋_GBK" w:cs="方正仿宋_GBK"/>
                <w:color w:val="000000"/>
                <w:sz w:val="20"/>
              </w:rPr>
            </w:pPr>
          </w:p>
        </w:tc>
        <w:tc>
          <w:tcPr>
            <w:tcW w:w="999" w:type="dxa"/>
            <w:gridSpan w:val="2"/>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GLSG3-1-6</w:t>
            </w:r>
          </w:p>
        </w:tc>
        <w:tc>
          <w:tcPr>
            <w:tcW w:w="3119" w:type="dxa"/>
            <w:vAlign w:val="center"/>
          </w:tcPr>
          <w:p>
            <w:pPr>
              <w:pStyle w:val="14"/>
              <w:spacing w:line="220" w:lineRule="exac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资质抽查中，发现人员、技术装备、业绩等指标低于相关资质标准要求或者弄虚作假的</w:t>
            </w:r>
          </w:p>
        </w:tc>
        <w:tc>
          <w:tcPr>
            <w:tcW w:w="1418"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700" w:type="dxa"/>
            <w:vAlign w:val="center"/>
          </w:tcPr>
          <w:p>
            <w:pPr>
              <w:pStyle w:val="14"/>
              <w:rPr>
                <w:rFonts w:ascii="方正仿宋_GBK" w:hAnsi="方正仿宋_GBK" w:eastAsia="方正仿宋_GBK" w:cs="方正仿宋_GBK"/>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0" w:type="dxa"/>
            <w:vMerge w:val="continue"/>
            <w:vAlign w:val="center"/>
          </w:tcPr>
          <w:p>
            <w:pPr>
              <w:rPr>
                <w:rFonts w:ascii="方正仿宋_GBK" w:hAnsi="方正仿宋_GBK" w:eastAsia="方正仿宋_GBK" w:cs="方正仿宋_GBK"/>
                <w:color w:val="000000"/>
                <w:sz w:val="20"/>
              </w:rPr>
            </w:pPr>
          </w:p>
        </w:tc>
        <w:tc>
          <w:tcPr>
            <w:tcW w:w="999" w:type="dxa"/>
            <w:gridSpan w:val="2"/>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GLSG3-1-7</w:t>
            </w:r>
          </w:p>
        </w:tc>
        <w:tc>
          <w:tcPr>
            <w:tcW w:w="3119" w:type="dxa"/>
            <w:vAlign w:val="center"/>
          </w:tcPr>
          <w:p>
            <w:pPr>
              <w:pStyle w:val="14"/>
              <w:spacing w:line="220" w:lineRule="exac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被交通运输部通报批评</w:t>
            </w:r>
          </w:p>
        </w:tc>
        <w:tc>
          <w:tcPr>
            <w:tcW w:w="1418"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6" w:hRule="atLeast"/>
        </w:trPr>
        <w:tc>
          <w:tcPr>
            <w:tcW w:w="810" w:type="dxa"/>
            <w:vMerge w:val="continue"/>
            <w:vAlign w:val="center"/>
          </w:tcPr>
          <w:p>
            <w:pPr>
              <w:rPr>
                <w:rFonts w:ascii="方正仿宋_GBK" w:hAnsi="方正仿宋_GBK" w:eastAsia="方正仿宋_GBK" w:cs="方正仿宋_GBK"/>
                <w:color w:val="000000"/>
                <w:sz w:val="20"/>
              </w:rPr>
            </w:pPr>
          </w:p>
        </w:tc>
        <w:tc>
          <w:tcPr>
            <w:tcW w:w="999" w:type="dxa"/>
            <w:gridSpan w:val="2"/>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其他失信行为（行为代码GLSG3-2）</w:t>
            </w: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GLSG3-2-1</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恶意拖欠工程款、农民工工资、材料款被司法机关强制执行，或者因拖欠问题造成群体事件或者不良社会影响</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0" w:type="dxa"/>
            <w:vMerge w:val="continue"/>
            <w:vAlign w:val="center"/>
          </w:tcPr>
          <w:p>
            <w:pPr>
              <w:rPr>
                <w:rFonts w:ascii="方正仿宋_GBK" w:hAnsi="方正仿宋_GBK" w:eastAsia="方正仿宋_GBK" w:cs="方正仿宋_GBK"/>
                <w:color w:val="000000"/>
                <w:sz w:val="20"/>
              </w:rPr>
            </w:pPr>
          </w:p>
        </w:tc>
        <w:tc>
          <w:tcPr>
            <w:tcW w:w="999" w:type="dxa"/>
            <w:gridSpan w:val="2"/>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GLSG3-2-2</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信用评价弄虚作假或者以不正当手段骗取较高信用等级</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15分/次</w:t>
            </w:r>
          </w:p>
        </w:tc>
        <w:tc>
          <w:tcPr>
            <w:tcW w:w="1700" w:type="dxa"/>
            <w:vAlign w:val="center"/>
          </w:tcPr>
          <w:p>
            <w:pPr>
              <w:pStyle w:val="14"/>
              <w:jc w:val="lef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trPr>
        <w:tc>
          <w:tcPr>
            <w:tcW w:w="810" w:type="dxa"/>
            <w:vMerge w:val="continue"/>
            <w:vAlign w:val="center"/>
          </w:tcPr>
          <w:p>
            <w:pPr>
              <w:rPr>
                <w:rFonts w:ascii="方正仿宋_GBK" w:hAnsi="方正仿宋_GBK" w:eastAsia="方正仿宋_GBK" w:cs="方正仿宋_GBK"/>
                <w:color w:val="000000"/>
                <w:sz w:val="20"/>
              </w:rPr>
            </w:pPr>
          </w:p>
        </w:tc>
        <w:tc>
          <w:tcPr>
            <w:tcW w:w="999" w:type="dxa"/>
            <w:gridSpan w:val="2"/>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GLSG3-2-3</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拒绝参与交通运输主管部门组织的应急抢险任务</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0" w:type="dxa"/>
            <w:vMerge w:val="continue"/>
            <w:vAlign w:val="center"/>
          </w:tcPr>
          <w:p>
            <w:pPr>
              <w:rPr>
                <w:rFonts w:ascii="方正仿宋_GBK" w:hAnsi="方正仿宋_GBK" w:eastAsia="方正仿宋_GBK" w:cs="方正仿宋_GBK"/>
                <w:color w:val="000000"/>
                <w:sz w:val="20"/>
              </w:rPr>
            </w:pPr>
          </w:p>
        </w:tc>
        <w:tc>
          <w:tcPr>
            <w:tcW w:w="999" w:type="dxa"/>
            <w:gridSpan w:val="2"/>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GLSG3-2-4</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被市交通主管部门或者市公路事务机构或者区县交通主管部门通报批评</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bl>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sz w:val="32"/>
        </w:rPr>
      </w:pPr>
      <w:r>
        <w:rPr>
          <w:rFonts w:hint="eastAsia" w:ascii="方正黑体_GBK" w:eastAsia="方正黑体_GBK"/>
          <w:color w:val="000000"/>
          <w:sz w:val="32"/>
        </w:rPr>
        <w:t>附件1-4</w:t>
      </w:r>
    </w:p>
    <w:p>
      <w:pPr>
        <w:pStyle w:val="14"/>
        <w:spacing w:line="480" w:lineRule="exact"/>
        <w:jc w:val="center"/>
        <w:rPr>
          <w:rFonts w:ascii="方正小标宋_GBK" w:eastAsia="方正小标宋_GBK"/>
          <w:color w:val="000000"/>
          <w:sz w:val="36"/>
          <w:szCs w:val="36"/>
        </w:rPr>
      </w:pPr>
    </w:p>
    <w:p>
      <w:pPr>
        <w:pStyle w:val="14"/>
        <w:spacing w:line="480" w:lineRule="exact"/>
        <w:jc w:val="center"/>
        <w:rPr>
          <w:rFonts w:ascii="方正小标宋_GBK" w:eastAsia="方正小标宋_GBK"/>
          <w:color w:val="000000"/>
          <w:spacing w:val="-10"/>
          <w:sz w:val="44"/>
          <w:szCs w:val="44"/>
        </w:rPr>
      </w:pPr>
      <w:r>
        <w:rPr>
          <w:rFonts w:hint="eastAsia" w:ascii="方正小标宋_GBK" w:eastAsia="方正小标宋_GBK"/>
          <w:color w:val="000000"/>
          <w:spacing w:val="-10"/>
          <w:sz w:val="44"/>
          <w:szCs w:val="44"/>
        </w:rPr>
        <w:t>重庆市公路建设市场监理企业信用行为评定标准</w:t>
      </w:r>
    </w:p>
    <w:p>
      <w:pPr>
        <w:pStyle w:val="14"/>
        <w:spacing w:line="480" w:lineRule="exact"/>
        <w:jc w:val="center"/>
        <w:rPr>
          <w:rFonts w:ascii="方正小标宋_GBK" w:eastAsia="方正小标宋_GBK"/>
          <w:color w:val="000000"/>
          <w:spacing w:val="-10"/>
          <w:sz w:val="44"/>
          <w:szCs w:val="44"/>
        </w:rPr>
      </w:pPr>
    </w:p>
    <w:tbl>
      <w:tblPr>
        <w:tblStyle w:val="10"/>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1134"/>
        <w:gridCol w:w="3119"/>
        <w:gridCol w:w="1418"/>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trPr>
        <w:tc>
          <w:tcPr>
            <w:tcW w:w="1809" w:type="dxa"/>
            <w:gridSpan w:val="2"/>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评定内容</w:t>
            </w:r>
          </w:p>
        </w:tc>
        <w:tc>
          <w:tcPr>
            <w:tcW w:w="1134" w:type="dxa"/>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w:t>
            </w:r>
          </w:p>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代码</w:t>
            </w:r>
          </w:p>
        </w:tc>
        <w:tc>
          <w:tcPr>
            <w:tcW w:w="3119" w:type="dxa"/>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不良行为</w:t>
            </w:r>
          </w:p>
        </w:tc>
        <w:tc>
          <w:tcPr>
            <w:tcW w:w="1418" w:type="dxa"/>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行为等级和</w:t>
            </w:r>
          </w:p>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扣分标准</w:t>
            </w:r>
          </w:p>
        </w:tc>
        <w:tc>
          <w:tcPr>
            <w:tcW w:w="1899" w:type="dxa"/>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17"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投标行为</w:t>
            </w:r>
          </w:p>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（100分，行为代码GLJL1）</w:t>
            </w: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较重或严重失信行为（行为代码GLJL1-1）</w:t>
            </w: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GLJL1-1-1</w:t>
            </w:r>
          </w:p>
        </w:tc>
        <w:tc>
          <w:tcPr>
            <w:tcW w:w="3119" w:type="dxa"/>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超越资质等级承揽工程监理</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GLJL1-1-2</w:t>
            </w:r>
          </w:p>
        </w:tc>
        <w:tc>
          <w:tcPr>
            <w:tcW w:w="3119" w:type="dxa"/>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出借资质，允许其他单位或者个人以本单位名义承揽工程监理</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GLJL1-1-3</w:t>
            </w:r>
          </w:p>
        </w:tc>
        <w:tc>
          <w:tcPr>
            <w:tcW w:w="3119" w:type="dxa"/>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借用他人资质证书承揽工程监理</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GLJL1-1-4</w:t>
            </w:r>
          </w:p>
        </w:tc>
        <w:tc>
          <w:tcPr>
            <w:tcW w:w="3119" w:type="dxa"/>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与招标人或者与其他投标人串通投标</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GLJL1-1-5</w:t>
            </w:r>
          </w:p>
        </w:tc>
        <w:tc>
          <w:tcPr>
            <w:tcW w:w="3119" w:type="dxa"/>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投标中有行贿行为</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GLJL1-1-6</w:t>
            </w:r>
          </w:p>
        </w:tc>
        <w:tc>
          <w:tcPr>
            <w:tcW w:w="3119" w:type="dxa"/>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因违反法律、法规、规章被禁止投标后，在禁止期内仍参与投标</w:t>
            </w:r>
          </w:p>
        </w:tc>
        <w:tc>
          <w:tcPr>
            <w:tcW w:w="1418" w:type="dxa"/>
            <w:vAlign w:val="center"/>
          </w:tcPr>
          <w:p>
            <w:pPr>
              <w:pStyle w:val="14"/>
              <w:spacing w:line="260" w:lineRule="atLeast"/>
              <w:ind w:left="106" w:right="-107" w:hanging="106"/>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直接定为D级；已为D级的，延期半年</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GLSJ1-1-7</w:t>
            </w:r>
          </w:p>
        </w:tc>
        <w:tc>
          <w:tcPr>
            <w:tcW w:w="3119" w:type="dxa"/>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资审材料或者投标文件虚假</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GLSJ1-1-8</w:t>
            </w:r>
          </w:p>
        </w:tc>
        <w:tc>
          <w:tcPr>
            <w:tcW w:w="3119" w:type="dxa"/>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捏造事实、伪造材料或者以非法手段取得证明材料进行投诉</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其他失信行为（行为代码GLJL1-2）</w:t>
            </w:r>
          </w:p>
        </w:tc>
        <w:tc>
          <w:tcPr>
            <w:tcW w:w="1134"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GLJL1-2-1</w:t>
            </w:r>
          </w:p>
        </w:tc>
        <w:tc>
          <w:tcPr>
            <w:tcW w:w="3119" w:type="dxa"/>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中标人拒不按照招标文件要求提交履约保证金</w:t>
            </w:r>
          </w:p>
        </w:tc>
        <w:tc>
          <w:tcPr>
            <w:tcW w:w="1418"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899" w:type="dxa"/>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GLJL1-2-2</w:t>
            </w:r>
          </w:p>
        </w:tc>
        <w:tc>
          <w:tcPr>
            <w:tcW w:w="3119" w:type="dxa"/>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中标后无正当理由放弃中标</w:t>
            </w:r>
          </w:p>
        </w:tc>
        <w:tc>
          <w:tcPr>
            <w:tcW w:w="1418"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899"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GLJL1-2-3</w:t>
            </w:r>
          </w:p>
        </w:tc>
        <w:tc>
          <w:tcPr>
            <w:tcW w:w="3119" w:type="dxa"/>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未按时确认补遗书等招标人发出的通知</w:t>
            </w:r>
          </w:p>
        </w:tc>
        <w:tc>
          <w:tcPr>
            <w:tcW w:w="1418"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899" w:type="dxa"/>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GLJL1-2-4</w:t>
            </w:r>
          </w:p>
        </w:tc>
        <w:tc>
          <w:tcPr>
            <w:tcW w:w="3119" w:type="dxa"/>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无正当理由未在规定时间内签订合同</w:t>
            </w:r>
          </w:p>
        </w:tc>
        <w:tc>
          <w:tcPr>
            <w:tcW w:w="1418"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899" w:type="dxa"/>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履约行为（100分，行为代码GLJL2）</w:t>
            </w: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较重或严重失信行为（行为代码GLJL2-1）</w:t>
            </w: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GLJL2-1-1</w:t>
            </w:r>
          </w:p>
        </w:tc>
        <w:tc>
          <w:tcPr>
            <w:tcW w:w="3119" w:type="dxa"/>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分包、转包工程监理工作的</w:t>
            </w:r>
          </w:p>
        </w:tc>
        <w:tc>
          <w:tcPr>
            <w:tcW w:w="1418" w:type="dxa"/>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GLJL2-1-2</w:t>
            </w:r>
          </w:p>
        </w:tc>
        <w:tc>
          <w:tcPr>
            <w:tcW w:w="3119" w:type="dxa"/>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弄虚作假，故意降低工程质量标准的</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GLJL2-1-3</w:t>
            </w:r>
          </w:p>
        </w:tc>
        <w:tc>
          <w:tcPr>
            <w:tcW w:w="3119" w:type="dxa"/>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发生重大及以上质量或者安全生产事故，负有责任的</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GLJL2-1-4</w:t>
            </w:r>
          </w:p>
        </w:tc>
        <w:tc>
          <w:tcPr>
            <w:tcW w:w="3119" w:type="dxa"/>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因监理单位原因造成合同终止的</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GLJL2-1-5</w:t>
            </w:r>
          </w:p>
        </w:tc>
        <w:tc>
          <w:tcPr>
            <w:tcW w:w="3119" w:type="dxa"/>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发生较大质量或者安全生产事故，负有主要责任的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直接定为C级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质量、安全生产、环保监理（满分50分，扣完为止。行为代码GLJL2-2）</w:t>
            </w: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GLJL2-2-1</w:t>
            </w:r>
          </w:p>
        </w:tc>
        <w:tc>
          <w:tcPr>
            <w:tcW w:w="3119" w:type="dxa"/>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将不合格的单位、分部、分项工程、工序按照合格签字的</w:t>
            </w:r>
          </w:p>
        </w:tc>
        <w:tc>
          <w:tcPr>
            <w:tcW w:w="1418" w:type="dxa"/>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15分∕次</w:t>
            </w:r>
          </w:p>
        </w:tc>
        <w:tc>
          <w:tcPr>
            <w:tcW w:w="1899" w:type="dxa"/>
            <w:vAlign w:val="center"/>
          </w:tcPr>
          <w:p>
            <w:pPr>
              <w:pStyle w:val="14"/>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GLJL2-2-2</w:t>
            </w:r>
          </w:p>
        </w:tc>
        <w:tc>
          <w:tcPr>
            <w:tcW w:w="3119" w:type="dxa"/>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将不合格的建筑材料、建筑构配件或者设备按照合格签字的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GLJL2-2-3</w:t>
            </w:r>
          </w:p>
        </w:tc>
        <w:tc>
          <w:tcPr>
            <w:tcW w:w="3119" w:type="dxa"/>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在环保事件中负有责任的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899"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GLJL2-2-4</w:t>
            </w:r>
          </w:p>
        </w:tc>
        <w:tc>
          <w:tcPr>
            <w:tcW w:w="3119" w:type="dxa"/>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发生质量或者安全生产事故，负有责任的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10～20分∕次</w:t>
            </w:r>
          </w:p>
        </w:tc>
        <w:tc>
          <w:tcPr>
            <w:tcW w:w="1899"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发生较大质量或者安全生产事故扣20分/起；发生一般质量或者安全生产事故扣10分/起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GLJL2-2-5</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工程项目出现重大安全生产事故隐患，监理企业负有责任的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6分/次</w:t>
            </w:r>
          </w:p>
        </w:tc>
        <w:tc>
          <w:tcPr>
            <w:tcW w:w="1899"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指列入重庆市各级交通主管部门挂牌督办范围的重大隐患。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GLJL2-2-6</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工程项目出现质量问题，监理企业负有责任的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899"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被交通主管部门或者质量监督机构责令返工、报废处理，或者结构物加固补强造成永久性质量缺陷等情况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GLJL2-2-7</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对交通主管部门或者质量监督机构检查（督查）提出的监理问题未整改、整改不及时或者经整改达不到要求的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899"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GLJL2-2-8</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未按规定对施工组织设计、专项施工方案等进行审批的，或者监理计划（规划）、监理实施细则未按规定审批的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899"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指监理未对施工单位提交的施工组织设计进行审批，包括安全技术措施、环保技术措施、施工现场临时用电方案、专项施工方案等，或者监理计划（规划）、监理实施细则未按规定审批的，扣5分/次。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GLJL2-2-9</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未按规定进行隐蔽工程验收或者进行中间交工验收和质量评定的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899"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GLJL2-2-10</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存在假数据、假资料问题的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5分∕类·次</w:t>
            </w:r>
          </w:p>
        </w:tc>
        <w:tc>
          <w:tcPr>
            <w:tcW w:w="1899" w:type="dxa"/>
            <w:vAlign w:val="center"/>
          </w:tcPr>
          <w:p>
            <w:pPr>
              <w:pStyle w:val="14"/>
              <w:spacing w:line="180" w:lineRule="exact"/>
              <w:ind w:right="-8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主要扣分情况分以下几类：</w:t>
            </w:r>
          </w:p>
          <w:p>
            <w:pPr>
              <w:pStyle w:val="14"/>
              <w:spacing w:line="18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（1）监理企业抽检数据不真实或者出现严重偏差的；</w:t>
            </w:r>
          </w:p>
          <w:p>
            <w:pPr>
              <w:pStyle w:val="14"/>
              <w:spacing w:line="18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（2）巡视、旁站、监理日志等记录不真实，与实际施工情况或者监理事项不符；</w:t>
            </w:r>
          </w:p>
          <w:p>
            <w:pPr>
              <w:pStyle w:val="14"/>
              <w:spacing w:line="18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（3）质量安全问题处理复查记录存在编造或者不属实；</w:t>
            </w:r>
          </w:p>
          <w:p>
            <w:pPr>
              <w:pStyle w:val="14"/>
              <w:spacing w:line="18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（4）标准试验、配合比设计验证审批资料虚假；</w:t>
            </w:r>
          </w:p>
          <w:p>
            <w:pPr>
              <w:pStyle w:val="14"/>
              <w:spacing w:line="18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（5）其他监理文件和资料存在编造或者不属实的；</w:t>
            </w:r>
          </w:p>
          <w:p>
            <w:pPr>
              <w:pStyle w:val="14"/>
              <w:spacing w:line="18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（6）监理资料中存在违规代签现象的。</w:t>
            </w:r>
          </w:p>
          <w:p>
            <w:pPr>
              <w:pStyle w:val="14"/>
              <w:spacing w:line="180" w:lineRule="exac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以上各类情况发现一次扣5分/类，多类同时发现的累加扣分。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GLJL2-2-11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对施工现场发现的质量问题、安全隐患、环保问题，未及时提出书面指令督促施工单位整改的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3分/项·次</w:t>
            </w:r>
          </w:p>
        </w:tc>
        <w:tc>
          <w:tcPr>
            <w:tcW w:w="1899" w:type="dxa"/>
            <w:vAlign w:val="center"/>
          </w:tcPr>
          <w:p>
            <w:pPr>
              <w:pStyle w:val="14"/>
              <w:spacing w:line="180" w:lineRule="exac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指工程现场发生质量问题、安全隐患或者环保问题时，监理应及时向施工单位发出书面监理指令，督促施工单位整改，并对整改情况予以验收和书面确认。未按上述程序实施的，扣3分/项•次，“项”指的是按照质量问题、安全隐患、环保问题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GLJL2-2-12</w:t>
            </w:r>
          </w:p>
        </w:tc>
        <w:tc>
          <w:tcPr>
            <w:tcW w:w="3119" w:type="dxa"/>
            <w:vAlign w:val="center"/>
          </w:tcPr>
          <w:p>
            <w:pPr>
              <w:pStyle w:val="14"/>
              <w:spacing w:line="2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未按规定频率进行抽检和质量检验（评定）的</w:t>
            </w:r>
          </w:p>
        </w:tc>
        <w:tc>
          <w:tcPr>
            <w:tcW w:w="1418" w:type="dxa"/>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899" w:type="dxa"/>
            <w:vAlign w:val="center"/>
          </w:tcPr>
          <w:p>
            <w:pPr>
              <w:pStyle w:val="14"/>
              <w:spacing w:line="200" w:lineRule="exact"/>
              <w:jc w:val="center"/>
              <w:rPr>
                <w:rFonts w:ascii="方正仿宋_GBK" w:hAnsi="方正仿宋_GBK" w:eastAsia="方正仿宋_GBK" w:cs="方正仿宋_GBK"/>
                <w:color w:val="000000"/>
                <w:sz w:val="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GLJL2-2-13</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监理日志、巡视、旁站记录中重要内容未记录的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2分/项·次</w:t>
            </w:r>
          </w:p>
        </w:tc>
        <w:tc>
          <w:tcPr>
            <w:tcW w:w="1899" w:type="dxa"/>
            <w:vAlign w:val="center"/>
          </w:tcPr>
          <w:p>
            <w:pPr>
              <w:pStyle w:val="14"/>
              <w:spacing w:line="200" w:lineRule="exac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监理日志、巡视、旁站记录中重要内容未记录的，扣2分/项·次，“项”指的是按照监理日志、巡视和旁站分项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0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费用监理（满分10分，扣完为止。行为代码GLJL2-3）</w:t>
            </w: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GLJL2-3-1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工程量计量不真实的</w:t>
            </w:r>
          </w:p>
        </w:tc>
        <w:tc>
          <w:tcPr>
            <w:tcW w:w="1418" w:type="dxa"/>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899" w:type="dxa"/>
            <w:vAlign w:val="center"/>
          </w:tcPr>
          <w:p>
            <w:pPr>
              <w:pStyle w:val="14"/>
              <w:spacing w:line="20" w:lineRule="atLeast"/>
              <w:jc w:val="center"/>
              <w:rPr>
                <w:rFonts w:ascii="方正仿宋_GBK" w:hAnsi="方正仿宋_GBK" w:eastAsia="方正仿宋_GBK" w:cs="方正仿宋_GBK"/>
                <w:color w:val="000000"/>
                <w:sz w:val="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spacing w:line="200" w:lineRule="exact"/>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GLJL2-3-2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对施工单位农民工工资发放监管不到位</w:t>
            </w:r>
          </w:p>
        </w:tc>
        <w:tc>
          <w:tcPr>
            <w:tcW w:w="1418" w:type="dxa"/>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1分/次</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Align w:val="center"/>
          </w:tcPr>
          <w:p>
            <w:pPr>
              <w:pStyle w:val="14"/>
              <w:spacing w:line="20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进度监理（满分10分，扣完为止。行为代码GLJL2-4）</w:t>
            </w:r>
          </w:p>
        </w:tc>
        <w:tc>
          <w:tcPr>
            <w:tcW w:w="1134" w:type="dxa"/>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GLJL2-4-1</w:t>
            </w:r>
          </w:p>
        </w:tc>
        <w:tc>
          <w:tcPr>
            <w:tcW w:w="3119" w:type="dxa"/>
            <w:vAlign w:val="center"/>
          </w:tcPr>
          <w:p>
            <w:pPr>
              <w:pStyle w:val="14"/>
              <w:spacing w:line="2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由于施工单位原因导致工期滞后，监理未及时提出书面指令督促施工单位整改的</w:t>
            </w:r>
          </w:p>
        </w:tc>
        <w:tc>
          <w:tcPr>
            <w:tcW w:w="1418" w:type="dxa"/>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人员设备到位（满分20分，扣完为止。行为代码GLJL2-5）</w:t>
            </w: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企业所属监理人员冒用他人证书从事监理工作的</w:t>
            </w:r>
          </w:p>
        </w:tc>
        <w:tc>
          <w:tcPr>
            <w:tcW w:w="1418" w:type="dxa"/>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10分∕人次</w:t>
            </w:r>
          </w:p>
        </w:tc>
        <w:tc>
          <w:tcPr>
            <w:tcW w:w="1899" w:type="dxa"/>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监理人员使用假证书从事监理工作的</w:t>
            </w:r>
          </w:p>
        </w:tc>
        <w:tc>
          <w:tcPr>
            <w:tcW w:w="1418" w:type="dxa"/>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5分∕人次</w:t>
            </w:r>
          </w:p>
        </w:tc>
        <w:tc>
          <w:tcPr>
            <w:tcW w:w="1899" w:type="dxa"/>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7" w:type="dxa"/>
            <w:vMerge w:val="continue"/>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投标行为</w:t>
            </w:r>
          </w:p>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（100分，行为代码GLJL1）</w:t>
            </w: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GLJL2-5-3</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监理人员有吃拿卡要行为的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7"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GLJL2-5-4</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未按投标承诺的条件配备总监、副总监、驻地监理、总监代表的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16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指监理企业派驻现场关键人的岗位能力不满足合同要求，如主要业绩、职称、专业、资格要求等。主要扣分情况分以下几类：</w:t>
            </w:r>
          </w:p>
          <w:p>
            <w:pPr>
              <w:pStyle w:val="14"/>
              <w:spacing w:line="16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（1）派驻关键人条件有降低的，即使有履行变更手续经业主同意的情形，或者关键人到岗时间不足合同约定时间的2/3，扣5分/人次；</w:t>
            </w:r>
          </w:p>
          <w:p>
            <w:pPr>
              <w:pStyle w:val="14"/>
              <w:spacing w:line="16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（2）关键人条件无降低，但每一个关键人岗位在施工监理期内累计变更次数达到两次（含）以上的，从第二次变更起，施工监理期每变更一次扣2分/人次（只变更一次不扣分）；</w:t>
            </w:r>
          </w:p>
          <w:p>
            <w:pPr>
              <w:pStyle w:val="14"/>
              <w:spacing w:line="16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（3）关键人条件有降低，且每一个岗位在施工监理期内累计变更次数超过两次（含）以上，应按照上述第（2）和（3）条累加扣分。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GLJL2-5-5</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派驻到工程建设项目上的总监、副总监、驻地监理、总监代表未在中标监理企业从业登记的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160" w:lineRule="exact"/>
              <w:jc w:val="center"/>
              <w:rPr>
                <w:rFonts w:ascii="方正仿宋_GBK" w:hAnsi="方正仿宋_GBK" w:eastAsia="方正仿宋_GBK" w:cs="方正仿宋_GBK"/>
                <w:color w:val="000000"/>
                <w:sz w:val="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GLJL2-5-6</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派驻到工程建设项目上的监理工程师在中标监理企业从业登记的人数不足合同约定监理工程师总人数50%的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每少1人，扣5分/人次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16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指监理工程师在中标企业从业登记人数少于合同约定监理工程师总人数的50%时，每少1人扣5分/次，不够1人按1人扣分计算；登记在中标企业监理工程师人数大于等于总人数50%时不扣分。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GLJL2-5-7</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聘用信用评价为D级的从业人员，或者信用评价为C级的人员从事主要岗位的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GLJL2-5-8</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未经业主许可调换总监、副总监、驻地监理、总监代表的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GLJL2-5-9</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实际到岗监理工程师不足合同约定70%的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GLJL2-5-10</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监理工地试验室未经质量监督机构备案审核或者实际工作中不满足备案要求的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GLJL2-5-11</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监理工程师同时在两个及以上公路工程项目中从业的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2分/人次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此处“公路工程项目”指本细则第十四条第一款中纳入定期评价的公路项目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spacing w:line="200" w:lineRule="exact"/>
              <w:rPr>
                <w:rFonts w:ascii="方正仿宋_GBK" w:hAnsi="方正仿宋_GBK" w:eastAsia="方正仿宋_GBK" w:cs="方正仿宋_GBK"/>
                <w:color w:val="000000"/>
                <w:sz w:val="20"/>
              </w:rPr>
            </w:pPr>
            <w:r>
              <w:rPr>
                <w:rFonts w:hint="eastAsia" w:ascii="方正仿宋_GBK" w:hAnsi="方正仿宋_GBK" w:eastAsia="方正仿宋_GBK" w:cs="方正仿宋_GBK"/>
                <w:color w:val="000000"/>
                <w:sz w:val="20"/>
              </w:rPr>
              <w:t>其他失信行为（满分10分，扣完为止。行为代码GLJL2-6）</w:t>
            </w: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GLJL2-6-1</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未按要求签订廉政合同</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lef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GLJL2-6-2</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违反廉政合同</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lef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17"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其他行为（行为代码GLJ</w:t>
            </w:r>
          </w:p>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L3）</w:t>
            </w: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较重或严重失信行为（行为代码GLJL3-1）</w:t>
            </w: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GLJL3-1-1</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color w:val="000000"/>
                <w:sz w:val="20"/>
                <w:szCs w:val="20"/>
              </w:rPr>
              <w:t>被司法机关认定有行贿、受贿行为，并构成犯罪</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GLJL3-1-2</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项目运营期间发生重大及以上质量或者安全生产事故，负有责任的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GLJL3-1-3</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交通运输部、市交通主管部门要求企业填报向社会公布的信息存在虚假的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GLJL3-1-4</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资质抽查中，发现人员、技术装备、业绩等指标低于相关资质标准要求或者弄虚作假的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GLJL3-1-5</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被交通运输部通报批评的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其他失信行为（行为代码GLJL3-2）</w:t>
            </w: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GLJL3-2-1</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在申请资质许可、定期检验、资质复查及变更等过程中存在企业业绩弄虚作假的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10分/项次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GLJL3-2-2</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监理企业在资质许可、资质复查、定期检验等过程中，存在监理工程师业绩等虚假的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2分/人次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GLJL3-2-3</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信用评价弄虚作假或者以不正当手段骗取较高信用等级</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GLJL3-2-4</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被市交通主管部门或者市公路事务机构或者区县交通主管部门通报批评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jc w:val="left"/>
              <w:rPr>
                <w:rFonts w:ascii="方正仿宋_GBK" w:hAnsi="方正仿宋_GBK" w:eastAsia="方正仿宋_GBK" w:cs="方正仿宋_GBK"/>
                <w:color w:val="000000"/>
                <w:sz w:val="16"/>
                <w:szCs w:val="16"/>
              </w:rPr>
            </w:pPr>
          </w:p>
        </w:tc>
      </w:tr>
    </w:tbl>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sz w:val="32"/>
        </w:rPr>
      </w:pPr>
      <w:r>
        <w:rPr>
          <w:rFonts w:hint="eastAsia" w:ascii="方正黑体_GBK" w:eastAsia="方正黑体_GBK"/>
          <w:color w:val="000000"/>
          <w:sz w:val="32"/>
        </w:rPr>
        <w:t>附件1-5</w:t>
      </w:r>
    </w:p>
    <w:p>
      <w:pPr>
        <w:pStyle w:val="14"/>
        <w:spacing w:line="500" w:lineRule="atLeast"/>
        <w:rPr>
          <w:rFonts w:ascii="方正黑体_GBK" w:eastAsia="方正黑体_GBK"/>
          <w:color w:val="000000"/>
        </w:rPr>
      </w:pPr>
    </w:p>
    <w:p>
      <w:pPr>
        <w:pStyle w:val="14"/>
        <w:spacing w:line="54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重庆市公路建设市场其他从业单位</w:t>
      </w:r>
    </w:p>
    <w:p>
      <w:pPr>
        <w:pStyle w:val="14"/>
        <w:spacing w:line="54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信用行为评定标准</w:t>
      </w:r>
    </w:p>
    <w:p>
      <w:pPr>
        <w:pStyle w:val="14"/>
        <w:spacing w:line="540" w:lineRule="exact"/>
        <w:jc w:val="center"/>
        <w:rPr>
          <w:rFonts w:ascii="方正小标宋_GBK" w:eastAsia="方正小标宋_GBK"/>
          <w:color w:val="000000"/>
          <w:sz w:val="44"/>
          <w:szCs w:val="44"/>
        </w:rPr>
      </w:pPr>
    </w:p>
    <w:tbl>
      <w:tblPr>
        <w:tblStyle w:val="10"/>
        <w:tblW w:w="0" w:type="auto"/>
        <w:tblInd w:w="0" w:type="dxa"/>
        <w:tblLayout w:type="fixed"/>
        <w:tblCellMar>
          <w:top w:w="0" w:type="dxa"/>
          <w:left w:w="108" w:type="dxa"/>
          <w:bottom w:w="0" w:type="dxa"/>
          <w:right w:w="108" w:type="dxa"/>
        </w:tblCellMar>
      </w:tblPr>
      <w:tblGrid>
        <w:gridCol w:w="810"/>
        <w:gridCol w:w="7"/>
        <w:gridCol w:w="992"/>
        <w:gridCol w:w="1309"/>
        <w:gridCol w:w="3485"/>
        <w:gridCol w:w="1652"/>
        <w:gridCol w:w="925"/>
      </w:tblGrid>
      <w:tr>
        <w:tblPrEx>
          <w:tblCellMar>
            <w:top w:w="0" w:type="dxa"/>
            <w:left w:w="108" w:type="dxa"/>
            <w:bottom w:w="0" w:type="dxa"/>
            <w:right w:w="108" w:type="dxa"/>
          </w:tblCellMar>
        </w:tblPrEx>
        <w:trPr>
          <w:trHeight w:val="498" w:hRule="atLeast"/>
          <w:tblHeader/>
        </w:trPr>
        <w:tc>
          <w:tcPr>
            <w:tcW w:w="1809" w:type="dxa"/>
            <w:gridSpan w:val="3"/>
            <w:tcBorders>
              <w:top w:val="single" w:color="000000" w:sz="4" w:space="0"/>
              <w:left w:val="single" w:color="000000" w:sz="4" w:space="0"/>
              <w:bottom w:val="single" w:color="000000" w:sz="4" w:space="0"/>
              <w:right w:val="single" w:color="000000" w:sz="4" w:space="0"/>
            </w:tcBorders>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评定内容</w:t>
            </w: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行为代码</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不良行为</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行为等级和</w:t>
            </w:r>
          </w:p>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扣分标准</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备注</w:t>
            </w:r>
          </w:p>
        </w:tc>
      </w:tr>
      <w:tr>
        <w:tblPrEx>
          <w:tblCellMar>
            <w:top w:w="0" w:type="dxa"/>
            <w:left w:w="108" w:type="dxa"/>
            <w:bottom w:w="0" w:type="dxa"/>
            <w:right w:w="108" w:type="dxa"/>
          </w:tblCellMar>
        </w:tblPrEx>
        <w:trPr>
          <w:trHeight w:val="567" w:hRule="atLeast"/>
        </w:trPr>
        <w:tc>
          <w:tcPr>
            <w:tcW w:w="817" w:type="dxa"/>
            <w:gridSpan w:val="2"/>
            <w:vMerge w:val="restart"/>
            <w:tcBorders>
              <w:top w:val="nil"/>
              <w:left w:val="single" w:color="000000" w:sz="4" w:space="0"/>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投标行为（行为代码GLQT1）</w:t>
            </w:r>
          </w:p>
        </w:tc>
        <w:tc>
          <w:tcPr>
            <w:tcW w:w="992"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较重或严重失信行为（行为代码GLQT1-1）</w:t>
            </w: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GLQT1-1-1</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超越资质等级承揽项目</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GLQT1-1-2</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出借资质，允许其他单位或者个人以本单位名义承揽项目</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GLQT1-1-3</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借用他人资质证书承揽项目</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GLQT1-1-4</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与招标人或者与其他投标人串通投标</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GLQT1-1-5</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投标中有行贿行为</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GLQT1-1-6</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因违反法律、法规、规章被禁止投标后，在禁止期内仍参与投标</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ind w:left="106" w:right="-107" w:hanging="106"/>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直接定为D级；已为D级的，延期半年</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GLQT1-1-7</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资审材料或者投标文件虚假</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GLQT1-1-8</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捏造事实、伪造材料或者以非法手段取得证明材料进行投诉</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restart"/>
            <w:tcBorders>
              <w:top w:val="nil"/>
              <w:left w:val="single" w:color="000000" w:sz="4" w:space="0"/>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履约行为（行为代码GLQT2）</w:t>
            </w:r>
          </w:p>
        </w:tc>
        <w:tc>
          <w:tcPr>
            <w:tcW w:w="992"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较重或严重失信行为（行为代码GLQT2-1）</w:t>
            </w: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将中标合同转让</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GLQT2-1-2</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将合同段全部工作内容肢解后分别分包</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GLQT2-1-3</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发生重大质量或者重大及以上安全生产责任事故</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GLQT2-1-4</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经质监机构鉴定合同段工程质量不合格,或者竣工验收施工管理综合评价为差</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GLQT2-1-5</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因从业单位原因造成合同终止的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GLQT2-1-6</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将承包工程或者服务违法分包</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GLQT2-1-7</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违反公路工程建设强制性标准</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962"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GLQT2-1-8</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因拖欠问题造成群体事件或者不良社会影响，经有关部门协调后仍未能在限期内进行整改的。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1203"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GLQT2-1-9</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未按规定拒不修复工程缺陷的，或者无正当理由未按要求及规定时限完成工程设计变更、工程结算、竣工决算等竣工验收各项准备工作，拒不整改的。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10"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GLQT2-1-10</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发生较大质量或者安全生产事故，负有主要责任的</w:t>
            </w:r>
          </w:p>
        </w:tc>
        <w:tc>
          <w:tcPr>
            <w:tcW w:w="1652"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rPr>
          <w:trHeight w:val="510"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GLQT2-1-11</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授意投标人撤换、修改投标文件或者为其提供方便</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vMerge w:val="restart"/>
            <w:tcBorders>
              <w:top w:val="nil"/>
              <w:left w:val="nil"/>
              <w:bottom w:val="single" w:color="000000" w:sz="4" w:space="0"/>
              <w:right w:val="single" w:color="000000" w:sz="4" w:space="0"/>
            </w:tcBorders>
            <w:vAlign w:val="center"/>
          </w:tcPr>
          <w:p>
            <w:pPr>
              <w:pStyle w:val="14"/>
              <w:spacing w:line="200" w:lineRule="exac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仅招标代理机构</w:t>
            </w:r>
          </w:p>
        </w:tc>
      </w:tr>
      <w:tr>
        <w:tblPrEx>
          <w:tblCellMar>
            <w:top w:w="0" w:type="dxa"/>
            <w:left w:w="108" w:type="dxa"/>
            <w:bottom w:w="0" w:type="dxa"/>
            <w:right w:w="108" w:type="dxa"/>
          </w:tblCellMar>
        </w:tblPrEx>
        <w:trPr>
          <w:trHeight w:val="510"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GLQT2-1-12</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在所代理的招标项目中投标或者有关联企业投标、代理投标</w:t>
            </w:r>
          </w:p>
        </w:tc>
        <w:tc>
          <w:tcPr>
            <w:tcW w:w="1652"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bCs/>
                <w:color w:val="000000"/>
                <w:sz w:val="22"/>
                <w:szCs w:val="36"/>
              </w:rPr>
            </w:pPr>
            <w:r>
              <w:rPr>
                <w:rFonts w:hint="eastAsia" w:ascii="方正仿宋_GBK" w:hAnsi="方正仿宋_GBK" w:eastAsia="方正仿宋_GBK" w:cs="方正仿宋_GBK"/>
                <w:bCs/>
                <w:color w:val="000000"/>
                <w:sz w:val="20"/>
                <w:szCs w:val="20"/>
              </w:rPr>
              <w:t>直接定为C级</w:t>
            </w:r>
          </w:p>
        </w:tc>
        <w:tc>
          <w:tcPr>
            <w:tcW w:w="925" w:type="dxa"/>
            <w:vMerge w:val="continue"/>
            <w:tcBorders>
              <w:top w:val="nil"/>
              <w:left w:val="nil"/>
              <w:bottom w:val="single" w:color="000000" w:sz="4" w:space="0"/>
              <w:right w:val="single" w:color="000000" w:sz="4" w:space="0"/>
            </w:tcBorders>
            <w:vAlign w:val="center"/>
          </w:tcPr>
          <w:p>
            <w:pPr>
              <w:spacing w:line="200" w:lineRule="exac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GLQT2-1-13</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邀请或者接受未通过资格预审的单位参加投标</w:t>
            </w:r>
          </w:p>
        </w:tc>
        <w:tc>
          <w:tcPr>
            <w:tcW w:w="1652"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bCs/>
                <w:color w:val="000000"/>
                <w:sz w:val="22"/>
                <w:szCs w:val="36"/>
              </w:rPr>
            </w:pPr>
            <w:r>
              <w:rPr>
                <w:rFonts w:hint="eastAsia" w:ascii="方正仿宋_GBK" w:hAnsi="方正仿宋_GBK" w:eastAsia="方正仿宋_GBK" w:cs="方正仿宋_GBK"/>
                <w:bCs/>
                <w:color w:val="000000"/>
                <w:sz w:val="20"/>
                <w:szCs w:val="20"/>
              </w:rPr>
              <w:t>直接定为C级</w:t>
            </w:r>
          </w:p>
        </w:tc>
        <w:tc>
          <w:tcPr>
            <w:tcW w:w="925" w:type="dxa"/>
            <w:vMerge w:val="continue"/>
            <w:tcBorders>
              <w:top w:val="nil"/>
              <w:left w:val="nil"/>
              <w:bottom w:val="single" w:color="000000" w:sz="4" w:space="0"/>
              <w:right w:val="single" w:color="000000" w:sz="4" w:space="0"/>
            </w:tcBorders>
            <w:vAlign w:val="center"/>
          </w:tcPr>
          <w:p>
            <w:pPr>
              <w:spacing w:line="200" w:lineRule="exac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735"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GLQT2-1-14</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在资格审查或者评标过程中，发表倾向性言论、诱导评标专家或者在评标过程中干扰评标委员会评审工作</w:t>
            </w:r>
          </w:p>
        </w:tc>
        <w:tc>
          <w:tcPr>
            <w:tcW w:w="1652"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bCs/>
                <w:color w:val="000000"/>
                <w:sz w:val="22"/>
                <w:szCs w:val="36"/>
              </w:rPr>
            </w:pPr>
            <w:r>
              <w:rPr>
                <w:rFonts w:hint="eastAsia" w:ascii="方正仿宋_GBK" w:hAnsi="方正仿宋_GBK" w:eastAsia="方正仿宋_GBK" w:cs="方正仿宋_GBK"/>
                <w:bCs/>
                <w:color w:val="000000"/>
                <w:sz w:val="20"/>
                <w:szCs w:val="20"/>
              </w:rPr>
              <w:t>直接定为C级</w:t>
            </w:r>
          </w:p>
        </w:tc>
        <w:tc>
          <w:tcPr>
            <w:tcW w:w="925" w:type="dxa"/>
            <w:vMerge w:val="continue"/>
            <w:tcBorders>
              <w:top w:val="nil"/>
              <w:left w:val="nil"/>
              <w:bottom w:val="single" w:color="000000" w:sz="4" w:space="0"/>
              <w:right w:val="single" w:color="000000" w:sz="4" w:space="0"/>
            </w:tcBorders>
            <w:vAlign w:val="center"/>
          </w:tcPr>
          <w:p>
            <w:pPr>
              <w:spacing w:line="200" w:lineRule="exact"/>
              <w:rPr>
                <w:rFonts w:ascii="方正仿宋_GBK" w:hAnsi="方正仿宋_GBK" w:eastAsia="方正仿宋_GBK" w:cs="方正仿宋_GBK"/>
                <w:color w:val="000000"/>
                <w:sz w:val="16"/>
                <w:szCs w:val="16"/>
              </w:rPr>
            </w:pPr>
          </w:p>
        </w:tc>
      </w:tr>
      <w:tr>
        <w:trPr>
          <w:trHeight w:val="35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GLQT2-1-15</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未遵循保密规定，泄露评标专家信息的</w:t>
            </w:r>
          </w:p>
        </w:tc>
        <w:tc>
          <w:tcPr>
            <w:tcW w:w="1652"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bCs/>
                <w:color w:val="000000"/>
                <w:sz w:val="22"/>
                <w:szCs w:val="36"/>
              </w:rPr>
            </w:pPr>
            <w:r>
              <w:rPr>
                <w:rFonts w:hint="eastAsia" w:ascii="方正仿宋_GBK" w:hAnsi="方正仿宋_GBK" w:eastAsia="方正仿宋_GBK" w:cs="方正仿宋_GBK"/>
                <w:bCs/>
                <w:color w:val="000000"/>
                <w:sz w:val="20"/>
                <w:szCs w:val="20"/>
              </w:rPr>
              <w:t>直接定为C级</w:t>
            </w:r>
          </w:p>
        </w:tc>
        <w:tc>
          <w:tcPr>
            <w:tcW w:w="925" w:type="dxa"/>
            <w:vMerge w:val="continue"/>
            <w:tcBorders>
              <w:top w:val="nil"/>
              <w:left w:val="nil"/>
              <w:bottom w:val="single" w:color="000000" w:sz="4" w:space="0"/>
              <w:right w:val="single" w:color="000000" w:sz="4" w:space="0"/>
            </w:tcBorders>
            <w:vAlign w:val="center"/>
          </w:tcPr>
          <w:p>
            <w:pPr>
              <w:spacing w:line="200" w:lineRule="exac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873"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GLQT2-1-16</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shd w:val="clear" w:color="auto" w:fill="FFFFFF"/>
              </w:rPr>
              <w:t>在公路工程造价活动中，出具虚假记载、误导性陈述的工程造价成果文件，给发包人造成重大经济损失的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vMerge w:val="restart"/>
            <w:tcBorders>
              <w:top w:val="nil"/>
              <w:left w:val="nil"/>
              <w:bottom w:val="single" w:color="000000" w:sz="4" w:space="0"/>
              <w:right w:val="single" w:color="000000" w:sz="4" w:space="0"/>
            </w:tcBorders>
            <w:vAlign w:val="center"/>
          </w:tcPr>
          <w:p>
            <w:pPr>
              <w:pStyle w:val="14"/>
              <w:spacing w:line="200" w:lineRule="exac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仅造价咨询企业或者审计咨询单位</w:t>
            </w: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GLQT2-1-17</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shd w:val="clear" w:color="auto" w:fill="FFFFFF"/>
              </w:rPr>
            </w:pPr>
            <w:r>
              <w:rPr>
                <w:rFonts w:hint="eastAsia" w:ascii="方正仿宋_GBK" w:hAnsi="方正仿宋_GBK" w:eastAsia="方正仿宋_GBK" w:cs="方正仿宋_GBK"/>
                <w:bCs/>
                <w:color w:val="000000"/>
                <w:sz w:val="20"/>
                <w:szCs w:val="20"/>
                <w:shd w:val="clear" w:color="auto" w:fill="FFFFFF"/>
              </w:rPr>
              <w:t>拒绝接受行政主管部门的监督检查，提供虚假材料的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vMerge w:val="continue"/>
            <w:tcBorders>
              <w:top w:val="nil"/>
              <w:left w:val="nil"/>
              <w:bottom w:val="single" w:color="000000" w:sz="4" w:space="0"/>
              <w:right w:val="single" w:color="000000" w:sz="4" w:space="0"/>
            </w:tcBorders>
            <w:vAlign w:val="center"/>
          </w:tcPr>
          <w:p>
            <w:pPr>
              <w:spacing w:line="200" w:lineRule="exac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715"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GLQT2-1-18</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对材料（设备）供应商提供的材料（设备）日常巡查或者专项抽检不合格，再次取样试验不合格同时拒不整改的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vMerge w:val="restart"/>
            <w:tcBorders>
              <w:top w:val="nil"/>
              <w:left w:val="nil"/>
              <w:bottom w:val="single" w:color="000000" w:sz="4" w:space="0"/>
              <w:right w:val="single" w:color="000000" w:sz="4" w:space="0"/>
            </w:tcBorders>
            <w:vAlign w:val="center"/>
          </w:tcPr>
          <w:p>
            <w:pPr>
              <w:pStyle w:val="14"/>
              <w:spacing w:line="200" w:lineRule="exac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仅材料（设备）供应商</w:t>
            </w:r>
          </w:p>
        </w:tc>
      </w:tr>
      <w:tr>
        <w:trPr>
          <w:trHeight w:val="731"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GLQT2-1-19</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对材料（设备）供应商提供的材料（设备）日常巡查或者专项抽检不合格，再次取样试验不合格</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r>
      <w:tr>
        <w:tblPrEx>
          <w:tblCellMar>
            <w:top w:w="0" w:type="dxa"/>
            <w:left w:w="108" w:type="dxa"/>
            <w:bottom w:w="0" w:type="dxa"/>
            <w:right w:w="108" w:type="dxa"/>
          </w:tblCellMar>
        </w:tblPrEx>
        <w:trPr>
          <w:trHeight w:val="567" w:hRule="atLeast"/>
        </w:trPr>
        <w:tc>
          <w:tcPr>
            <w:tcW w:w="810" w:type="dxa"/>
            <w:vMerge w:val="restart"/>
            <w:tcBorders>
              <w:top w:val="nil"/>
              <w:left w:val="single" w:color="000000" w:sz="4" w:space="0"/>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其它行为（行为代码GLQT3）</w:t>
            </w:r>
          </w:p>
        </w:tc>
        <w:tc>
          <w:tcPr>
            <w:tcW w:w="999" w:type="dxa"/>
            <w:gridSpan w:val="2"/>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较重或严重失信行为（行为代码GLQT3-1）</w:t>
            </w: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GLQT3-1-1</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被司法机关认定有行贿、受贿行为，并构成犯罪</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0"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9" w:type="dxa"/>
            <w:gridSpan w:val="2"/>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GLQT3-1-2</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项目运营期间发生重大及以上质量或者安全生产事故，负有责任的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393" w:hRule="atLeast"/>
        </w:trPr>
        <w:tc>
          <w:tcPr>
            <w:tcW w:w="810"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9" w:type="dxa"/>
            <w:gridSpan w:val="2"/>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GLQT3-1-3</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被交通运输部通报批评的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rPr>
          <w:trHeight w:val="636" w:hRule="atLeast"/>
        </w:trPr>
        <w:tc>
          <w:tcPr>
            <w:tcW w:w="810"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9" w:type="dxa"/>
            <w:gridSpan w:val="2"/>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GLQT3-1-4</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在公路建设市场信用系统中由企业自主填报并向社会公开的重要信用信息，存在弄虚作假的。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690" w:hRule="atLeast"/>
        </w:trPr>
        <w:tc>
          <w:tcPr>
            <w:tcW w:w="810"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9" w:type="dxa"/>
            <w:gridSpan w:val="2"/>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GLQT3-1-5</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资质抽查中，发现人员、技术装备、业绩等指标低于相关资质标准要求或者弄虚作假的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332" w:hRule="atLeast"/>
        </w:trPr>
        <w:tc>
          <w:tcPr>
            <w:tcW w:w="810"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9" w:type="dxa"/>
            <w:gridSpan w:val="2"/>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GLQT3-1-6</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被市交通主管部门或者市公路事务机构或者区县交通主管部门通报批评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bl>
    <w:p>
      <w:pPr>
        <w:pStyle w:val="14"/>
        <w:rPr>
          <w:rFonts w:ascii="宋体" w:hAnsi="宋体"/>
          <w:color w:val="000000"/>
          <w:sz w:val="18"/>
          <w:szCs w:val="18"/>
        </w:rPr>
      </w:pPr>
    </w:p>
    <w:p>
      <w:pPr>
        <w:widowControl/>
        <w:jc w:val="left"/>
        <w:rPr>
          <w:rFonts w:ascii="方正仿宋_GBK" w:eastAsia="方正仿宋_GBK"/>
          <w:color w:val="000000"/>
          <w:sz w:val="32"/>
          <w:szCs w:val="32"/>
        </w:rPr>
      </w:pPr>
    </w:p>
    <w:p>
      <w:pPr>
        <w:widowControl/>
        <w:jc w:val="left"/>
        <w:rPr>
          <w:rFonts w:ascii="方正仿宋_GBK" w:eastAsia="方正仿宋_GBK"/>
          <w:color w:val="000000"/>
          <w:sz w:val="32"/>
          <w:szCs w:val="32"/>
        </w:rPr>
      </w:pPr>
    </w:p>
    <w:p>
      <w:pPr>
        <w:widowControl/>
        <w:jc w:val="left"/>
        <w:rPr>
          <w:rFonts w:ascii="方正仿宋_GBK" w:eastAsia="方正仿宋_GBK"/>
          <w:color w:val="000000"/>
          <w:sz w:val="32"/>
          <w:szCs w:val="32"/>
        </w:rPr>
      </w:pPr>
    </w:p>
    <w:p>
      <w:pPr>
        <w:widowControl/>
        <w:jc w:val="left"/>
        <w:rPr>
          <w:rFonts w:ascii="方正仿宋_GBK" w:eastAsia="方正仿宋_GBK"/>
          <w:color w:val="000000"/>
          <w:sz w:val="32"/>
          <w:szCs w:val="32"/>
        </w:rPr>
      </w:pPr>
    </w:p>
    <w:p>
      <w:pPr>
        <w:widowControl/>
        <w:jc w:val="left"/>
        <w:rPr>
          <w:rFonts w:ascii="方正仿宋_GBK" w:eastAsia="方正仿宋_GBK"/>
          <w:color w:val="000000"/>
          <w:sz w:val="32"/>
          <w:szCs w:val="32"/>
        </w:rPr>
      </w:pPr>
    </w:p>
    <w:p>
      <w:pPr>
        <w:widowControl/>
        <w:jc w:val="left"/>
        <w:rPr>
          <w:rFonts w:ascii="方正仿宋_GBK" w:eastAsia="方正仿宋_GBK"/>
          <w:color w:val="000000"/>
          <w:sz w:val="32"/>
          <w:szCs w:val="32"/>
        </w:rPr>
      </w:pPr>
    </w:p>
    <w:p>
      <w:pPr>
        <w:widowControl/>
        <w:jc w:val="left"/>
        <w:rPr>
          <w:rFonts w:ascii="方正仿宋_GBK" w:eastAsia="方正仿宋_GBK"/>
          <w:color w:val="000000"/>
          <w:sz w:val="32"/>
          <w:szCs w:val="32"/>
        </w:rPr>
      </w:pPr>
    </w:p>
    <w:p>
      <w:pPr>
        <w:widowControl/>
        <w:jc w:val="left"/>
        <w:rPr>
          <w:rFonts w:ascii="方正仿宋_GBK" w:eastAsia="方正仿宋_GBK"/>
          <w:color w:val="000000"/>
          <w:sz w:val="32"/>
          <w:szCs w:val="32"/>
        </w:rPr>
      </w:pPr>
    </w:p>
    <w:p>
      <w:pPr>
        <w:widowControl/>
        <w:jc w:val="left"/>
        <w:rPr>
          <w:rFonts w:ascii="方正仿宋_GBK" w:eastAsia="方正仿宋_GBK"/>
          <w:color w:val="000000"/>
          <w:sz w:val="32"/>
          <w:szCs w:val="32"/>
        </w:rPr>
      </w:pPr>
    </w:p>
    <w:p>
      <w:pPr>
        <w:widowControl/>
        <w:jc w:val="left"/>
        <w:rPr>
          <w:rFonts w:ascii="方正仿宋_GBK" w:eastAsia="方正仿宋_GBK"/>
          <w:color w:val="000000"/>
          <w:sz w:val="32"/>
          <w:szCs w:val="32"/>
        </w:rPr>
      </w:pPr>
    </w:p>
    <w:p>
      <w:pPr>
        <w:widowControl/>
        <w:jc w:val="left"/>
        <w:rPr>
          <w:rFonts w:ascii="方正仿宋_GBK" w:eastAsia="方正仿宋_GBK"/>
          <w:color w:val="000000"/>
          <w:sz w:val="32"/>
          <w:szCs w:val="32"/>
        </w:rPr>
      </w:pPr>
    </w:p>
    <w:p>
      <w:pPr>
        <w:pStyle w:val="14"/>
        <w:jc w:val="left"/>
        <w:rPr>
          <w:rFonts w:ascii="方正黑体_GBK" w:eastAsia="方正黑体_GBK"/>
          <w:color w:val="000000"/>
          <w:sz w:val="32"/>
        </w:rPr>
      </w:pPr>
      <w:r>
        <w:rPr>
          <w:rFonts w:hint="eastAsia" w:ascii="方正黑体_GBK" w:eastAsia="方正黑体_GBK"/>
          <w:color w:val="000000"/>
          <w:sz w:val="32"/>
        </w:rPr>
        <w:t>附件1-6</w:t>
      </w:r>
    </w:p>
    <w:p>
      <w:pPr>
        <w:spacing w:line="360" w:lineRule="auto"/>
        <w:jc w:val="center"/>
        <w:outlineLvl w:val="2"/>
        <w:rPr>
          <w:rFonts w:ascii="方正小标宋_GBK" w:eastAsia="方正小标宋_GBK"/>
          <w:color w:val="000000"/>
          <w:sz w:val="36"/>
          <w:szCs w:val="36"/>
        </w:rPr>
      </w:pPr>
    </w:p>
    <w:p>
      <w:pPr>
        <w:spacing w:line="360" w:lineRule="auto"/>
        <w:jc w:val="center"/>
        <w:outlineLvl w:val="2"/>
        <w:rPr>
          <w:rFonts w:ascii="方正小标宋_GBK" w:eastAsia="方正小标宋_GBK"/>
          <w:color w:val="000000"/>
          <w:spacing w:val="-10"/>
          <w:sz w:val="44"/>
          <w:szCs w:val="44"/>
        </w:rPr>
      </w:pPr>
      <w:r>
        <w:rPr>
          <w:rFonts w:hint="eastAsia" w:ascii="方正小标宋_GBK" w:eastAsia="方正小标宋_GBK"/>
          <w:color w:val="000000"/>
          <w:spacing w:val="-10"/>
          <w:sz w:val="44"/>
          <w:szCs w:val="44"/>
        </w:rPr>
        <w:t>重庆市公路建设市场从业单位信用评价计算方法</w:t>
      </w:r>
    </w:p>
    <w:p>
      <w:pPr>
        <w:spacing w:line="360" w:lineRule="auto"/>
        <w:jc w:val="center"/>
        <w:outlineLvl w:val="2"/>
        <w:rPr>
          <w:rFonts w:ascii="方正小标宋_GBK" w:eastAsia="方正小标宋_GBK"/>
          <w:color w:val="000000"/>
          <w:sz w:val="36"/>
          <w:szCs w:val="36"/>
        </w:rPr>
      </w:pPr>
    </w:p>
    <w:p>
      <w:pPr>
        <w:pStyle w:val="6"/>
        <w:snapToGrid w:val="0"/>
        <w:spacing w:line="600" w:lineRule="exact"/>
        <w:rPr>
          <w:rFonts w:ascii="方正黑体_GBK" w:hAnsi="黑体" w:eastAsia="方正黑体_GBK"/>
          <w:bCs/>
          <w:color w:val="000000"/>
          <w:szCs w:val="32"/>
        </w:rPr>
      </w:pPr>
      <w:r>
        <w:rPr>
          <w:rFonts w:hint="eastAsia" w:ascii="方正黑体_GBK" w:hAnsi="黑体" w:eastAsia="方正黑体_GBK"/>
          <w:bCs/>
          <w:color w:val="000000"/>
          <w:szCs w:val="32"/>
        </w:rPr>
        <w:t>一、评价单元的单项评价</w:t>
      </w:r>
    </w:p>
    <w:p>
      <w:pPr>
        <w:pStyle w:val="6"/>
        <w:snapToGrid w:val="0"/>
        <w:spacing w:line="600" w:lineRule="exact"/>
        <w:rPr>
          <w:rFonts w:ascii="方正仿宋_GBK" w:eastAsia="方正仿宋_GBK"/>
          <w:bCs/>
          <w:color w:val="000000"/>
          <w:szCs w:val="32"/>
        </w:rPr>
      </w:pPr>
      <w:r>
        <w:rPr>
          <w:rFonts w:hint="eastAsia" w:ascii="方正仿宋_GBK" w:eastAsia="方正仿宋_GBK"/>
          <w:bCs/>
          <w:color w:val="000000"/>
          <w:szCs w:val="32"/>
        </w:rPr>
        <w:t>（一）投标行为评价得分：</w:t>
      </w:r>
      <w:r>
        <w:rPr>
          <w:rFonts w:ascii="方正仿宋_GBK" w:eastAsia="方正仿宋_GBK"/>
          <w:bCs/>
          <w:color w:val="000000"/>
          <w:szCs w:val="32"/>
        </w:rPr>
        <w:t xml:space="preserve"> </w:t>
      </w:r>
      <w:r>
        <w:rPr>
          <w:rFonts w:ascii="方正仿宋_GBK" w:eastAsia="方正仿宋_GBK"/>
          <w:bCs/>
          <w:color w:val="000000"/>
          <w:position w:val="-28"/>
          <w:szCs w:val="32"/>
        </w:rPr>
        <w:object>
          <v:shape id="_x0000_i1025" o:spt="75" type="#_x0000_t75" style="height:38.25pt;width:79.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pPr>
        <w:pStyle w:val="6"/>
        <w:snapToGrid w:val="0"/>
        <w:spacing w:line="600" w:lineRule="exact"/>
        <w:rPr>
          <w:rFonts w:ascii="方正仿宋_GBK" w:eastAsia="方正仿宋_GBK"/>
          <w:bCs/>
          <w:color w:val="000000"/>
          <w:szCs w:val="32"/>
        </w:rPr>
      </w:pPr>
      <w:r>
        <w:rPr>
          <w:rFonts w:hint="eastAsia" w:ascii="方正仿宋_GBK" w:eastAsia="方正仿宋_GBK"/>
          <w:bCs/>
          <w:color w:val="000000"/>
          <w:szCs w:val="32"/>
        </w:rPr>
        <w:t>其中，</w:t>
      </w:r>
      <w:r>
        <w:rPr>
          <w:rFonts w:ascii="方正仿宋_GBK" w:eastAsia="方正仿宋_GBK"/>
          <w:bCs/>
          <w:color w:val="000000"/>
          <w:position w:val="-6"/>
          <w:szCs w:val="32"/>
        </w:rPr>
        <w:object>
          <v:shape id="_x0000_i1026" o:spt="75" type="#_x0000_t75" style="height:13.5pt;width:6.7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hint="eastAsia" w:ascii="方正仿宋_GBK" w:eastAsia="方正仿宋_GBK"/>
          <w:bCs/>
          <w:color w:val="000000"/>
          <w:szCs w:val="32"/>
        </w:rPr>
        <w:t>为不良行为数量，</w:t>
      </w:r>
      <w:r>
        <w:rPr>
          <w:rFonts w:ascii="方正仿宋_GBK" w:eastAsia="方正仿宋_GBK"/>
          <w:bCs/>
          <w:color w:val="000000"/>
          <w:position w:val="-12"/>
          <w:szCs w:val="32"/>
        </w:rPr>
        <w:object>
          <v:shape id="_x0000_i1027" o:spt="75" type="#_x0000_t75" style="height:18pt;width:12.7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hint="eastAsia" w:ascii="方正仿宋_GBK" w:eastAsia="方正仿宋_GBK"/>
          <w:bCs/>
          <w:color w:val="000000"/>
          <w:szCs w:val="32"/>
        </w:rPr>
        <w:t>为不良行为对应的扣分标准。</w:t>
      </w:r>
    </w:p>
    <w:p>
      <w:pPr>
        <w:pStyle w:val="6"/>
        <w:snapToGrid w:val="0"/>
        <w:spacing w:line="600" w:lineRule="exact"/>
        <w:rPr>
          <w:rFonts w:ascii="方正仿宋_GBK" w:eastAsia="方正仿宋_GBK"/>
          <w:bCs/>
          <w:color w:val="000000"/>
          <w:szCs w:val="32"/>
        </w:rPr>
      </w:pPr>
      <w:r>
        <w:rPr>
          <w:rFonts w:hint="eastAsia" w:ascii="方正仿宋_GBK" w:eastAsia="方正仿宋_GBK"/>
          <w:bCs/>
          <w:color w:val="000000"/>
          <w:szCs w:val="32"/>
        </w:rPr>
        <w:t>（二）履约行为评价得分</w:t>
      </w:r>
    </w:p>
    <w:p>
      <w:pPr>
        <w:pStyle w:val="6"/>
        <w:adjustRightInd w:val="0"/>
        <w:snapToGrid w:val="0"/>
        <w:spacing w:line="600" w:lineRule="exact"/>
        <w:jc w:val="left"/>
        <w:rPr>
          <w:rFonts w:ascii="方正仿宋_GBK" w:eastAsia="方正仿宋_GBK" w:cs="宋体"/>
          <w:bCs/>
          <w:color w:val="000000"/>
          <w:szCs w:val="32"/>
        </w:rPr>
      </w:pPr>
      <w:r>
        <w:rPr>
          <w:rFonts w:ascii="方正仿宋_GBK" w:eastAsia="方正仿宋_GBK"/>
          <w:bCs/>
          <w:color w:val="000000"/>
          <w:szCs w:val="32"/>
        </w:rPr>
        <w:t>1</w:t>
      </w:r>
      <w:r>
        <w:rPr>
          <w:rFonts w:hint="eastAsia" w:ascii="方正仿宋_GBK" w:eastAsia="方正仿宋_GBK"/>
          <w:bCs/>
          <w:color w:val="000000"/>
          <w:szCs w:val="32"/>
        </w:rPr>
        <w:t>．建设管理单位：</w:t>
      </w:r>
      <w:r>
        <w:rPr>
          <w:rFonts w:ascii="方正仿宋_GBK" w:eastAsia="方正仿宋_GBK" w:cs="宋体"/>
          <w:bCs/>
          <w:color w:val="000000"/>
          <w:position w:val="-28"/>
          <w:szCs w:val="32"/>
        </w:rPr>
        <w:object>
          <v:shape id="_x0000_i1028" o:spt="75" type="#_x0000_t75" style="height:39pt;width:85.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p>
    <w:p>
      <w:pPr>
        <w:pStyle w:val="6"/>
        <w:adjustRightInd w:val="0"/>
        <w:snapToGrid w:val="0"/>
        <w:spacing w:line="600" w:lineRule="exact"/>
        <w:rPr>
          <w:rFonts w:ascii="方正仿宋_GBK" w:eastAsia="方正仿宋_GBK" w:cs="宋体"/>
          <w:bCs/>
          <w:color w:val="000000"/>
          <w:szCs w:val="32"/>
        </w:rPr>
      </w:pPr>
      <w:r>
        <w:rPr>
          <w:rFonts w:hint="eastAsia" w:ascii="方正仿宋_GBK" w:eastAsia="方正仿宋_GBK" w:cs="宋体"/>
          <w:color w:val="000000"/>
          <w:szCs w:val="32"/>
        </w:rPr>
        <w:t>其中，</w:t>
      </w:r>
      <w:r>
        <w:rPr>
          <w:rFonts w:ascii="方正仿宋_GBK" w:eastAsia="方正仿宋_GBK"/>
          <w:bCs/>
          <w:color w:val="000000"/>
          <w:position w:val="-6"/>
          <w:szCs w:val="32"/>
        </w:rPr>
        <w:object>
          <v:shape id="_x0000_i1029" o:spt="75" type="#_x0000_t75" style="height:13.5pt;width:6.75pt;" o:ole="t" filled="f" o:preferrelative="t" stroked="f" coordsize="21600,21600">
            <v:path/>
            <v:fill on="f" focussize="0,0"/>
            <v:stroke on="f" joinstyle="miter"/>
            <v:imagedata r:id="rId9" o:title=""/>
            <o:lock v:ext="edit" aspectratio="t"/>
            <w10:wrap type="none"/>
            <w10:anchorlock/>
          </v:shape>
          <o:OLEObject Type="Embed" ProgID="Equation.DSMT4" ShapeID="_x0000_i1029" DrawAspect="Content" ObjectID="_1468075729" r:id="rId14">
            <o:LockedField>false</o:LockedField>
          </o:OLEObject>
        </w:object>
      </w:r>
      <w:r>
        <w:rPr>
          <w:rFonts w:hint="eastAsia" w:ascii="方正仿宋_GBK" w:eastAsia="方正仿宋_GBK" w:cs="宋体"/>
          <w:bCs/>
          <w:color w:val="000000"/>
          <w:szCs w:val="32"/>
        </w:rPr>
        <w:t>为</w:t>
      </w:r>
      <w:r>
        <w:rPr>
          <w:rFonts w:hint="eastAsia" w:ascii="方正仿宋_GBK" w:eastAsia="方正仿宋_GBK"/>
          <w:bCs/>
          <w:color w:val="000000"/>
          <w:szCs w:val="32"/>
        </w:rPr>
        <w:t>不良行为</w:t>
      </w:r>
      <w:r>
        <w:rPr>
          <w:rFonts w:hint="eastAsia" w:ascii="方正仿宋_GBK" w:eastAsia="方正仿宋_GBK" w:cs="宋体"/>
          <w:bCs/>
          <w:color w:val="000000"/>
          <w:szCs w:val="32"/>
        </w:rPr>
        <w:t>数量，</w:t>
      </w:r>
      <w:r>
        <w:rPr>
          <w:rFonts w:ascii="方正仿宋_GBK" w:eastAsia="方正仿宋_GBK"/>
          <w:bCs/>
          <w:color w:val="000000"/>
          <w:position w:val="-12"/>
          <w:szCs w:val="32"/>
        </w:rPr>
        <w:object>
          <v:shape id="_x0000_i1030" o:spt="75" type="#_x0000_t75" style="height:18pt;width:12.7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hint="eastAsia" w:ascii="方正仿宋_GBK" w:eastAsia="方正仿宋_GBK" w:cs="宋体"/>
          <w:bCs/>
          <w:color w:val="000000"/>
          <w:szCs w:val="32"/>
        </w:rPr>
        <w:t>为</w:t>
      </w:r>
      <w:r>
        <w:rPr>
          <w:rFonts w:hint="eastAsia" w:ascii="方正仿宋_GBK" w:eastAsia="方正仿宋_GBK"/>
          <w:bCs/>
          <w:color w:val="000000"/>
          <w:szCs w:val="32"/>
        </w:rPr>
        <w:t>不良行为</w:t>
      </w:r>
      <w:r>
        <w:rPr>
          <w:rFonts w:hint="eastAsia" w:ascii="方正仿宋_GBK" w:eastAsia="方正仿宋_GBK" w:cs="宋体"/>
          <w:bCs/>
          <w:color w:val="000000"/>
          <w:szCs w:val="32"/>
        </w:rPr>
        <w:t>对应的扣分标准。</w:t>
      </w:r>
    </w:p>
    <w:p>
      <w:pPr>
        <w:pStyle w:val="6"/>
        <w:snapToGrid w:val="0"/>
        <w:spacing w:line="600" w:lineRule="exact"/>
        <w:rPr>
          <w:rFonts w:ascii="方正仿宋_GBK" w:eastAsia="方正仿宋_GBK"/>
          <w:bCs/>
          <w:color w:val="000000"/>
          <w:szCs w:val="32"/>
        </w:rPr>
      </w:pPr>
      <w:r>
        <w:rPr>
          <w:rFonts w:ascii="方正仿宋_GBK" w:eastAsia="方正仿宋_GBK"/>
          <w:bCs/>
          <w:color w:val="000000"/>
          <w:szCs w:val="32"/>
        </w:rPr>
        <w:t>2</w:t>
      </w:r>
      <w:r>
        <w:rPr>
          <w:rFonts w:hint="eastAsia" w:ascii="方正仿宋_GBK" w:eastAsia="方正仿宋_GBK"/>
          <w:bCs/>
          <w:color w:val="000000"/>
          <w:szCs w:val="32"/>
        </w:rPr>
        <w:t>．施工、设计和监理企业：</w:t>
      </w:r>
      <w:r>
        <w:rPr>
          <w:rFonts w:ascii="宋体" w:eastAsia="宋体"/>
          <w:bCs/>
          <w:color w:val="000000"/>
          <w:position w:val="-28"/>
          <w:szCs w:val="32"/>
        </w:rPr>
        <w:object>
          <v:shape id="_x0000_i1031" o:spt="75" type="#_x0000_t75" style="height:36.75pt;width:80.25pt;" o:ole="t" filled="f" o:preferrelative="t" stroked="f" coordsize="21600,21600">
            <v:path/>
            <v:fill on="f" focussize="0,0"/>
            <v:stroke on="f" joinstyle="miter"/>
            <v:imagedata r:id="rId18" o:title=""/>
            <o:lock v:ext="edit" aspectratio="t"/>
            <w10:wrap type="none"/>
            <w10:anchorlock/>
          </v:shape>
          <o:OLEObject Type="Embed" ProgID="Equation.3" ShapeID="_x0000_i1031" DrawAspect="Content" ObjectID="_1468075731" r:id="rId17">
            <o:LockedField>false</o:LockedField>
          </o:OLEObject>
        </w:object>
      </w:r>
    </w:p>
    <w:p>
      <w:pPr>
        <w:pStyle w:val="6"/>
        <w:snapToGrid w:val="0"/>
        <w:spacing w:line="600" w:lineRule="exact"/>
        <w:rPr>
          <w:rFonts w:ascii="方正仿宋_GBK" w:eastAsia="方正仿宋_GBK"/>
          <w:bCs/>
          <w:color w:val="000000"/>
          <w:szCs w:val="32"/>
        </w:rPr>
      </w:pPr>
      <w:r>
        <w:rPr>
          <w:rFonts w:hint="eastAsia" w:ascii="方正仿宋_GBK" w:eastAsia="方正仿宋_GBK"/>
          <w:bCs/>
          <w:color w:val="000000"/>
          <w:szCs w:val="32"/>
        </w:rPr>
        <w:t>其中，</w:t>
      </w:r>
      <w:r>
        <w:rPr>
          <w:rFonts w:ascii="方正仿宋_GBK" w:eastAsia="方正仿宋_GBK"/>
          <w:bCs/>
          <w:color w:val="000000"/>
          <w:position w:val="-6"/>
          <w:szCs w:val="32"/>
        </w:rPr>
        <w:object>
          <v:shape id="_x0000_i1032" o:spt="75" type="#_x0000_t75" style="height:13.5pt;width:5.25pt;" o:ole="t" filled="f" o:preferrelative="t" stroked="f" coordsize="21600,21600">
            <v:path/>
            <v:fill on="f" focussize="0,0"/>
            <v:stroke on="f" joinstyle="miter"/>
            <v:imagedata r:id="rId9" o:title=""/>
            <o:lock v:ext="edit" aspectratio="t"/>
            <w10:wrap type="none"/>
            <w10:anchorlock/>
          </v:shape>
          <o:OLEObject Type="Embed" ProgID="Equation.DSMT4" ShapeID="_x0000_i1032" DrawAspect="Content" ObjectID="_1468075732" r:id="rId19">
            <o:LockedField>false</o:LockedField>
          </o:OLEObject>
        </w:object>
      </w:r>
      <w:r>
        <w:rPr>
          <w:rFonts w:hint="eastAsia" w:ascii="方正仿宋_GBK" w:eastAsia="方正仿宋_GBK"/>
          <w:bCs/>
          <w:color w:val="000000"/>
          <w:szCs w:val="32"/>
        </w:rPr>
        <w:t>为履约评价得分名次，</w:t>
      </w:r>
      <w:r>
        <w:rPr>
          <w:rFonts w:ascii="方正仿宋_GBK" w:eastAsia="方正仿宋_GBK"/>
          <w:bCs/>
          <w:color w:val="000000"/>
          <w:position w:val="-6"/>
          <w:szCs w:val="32"/>
        </w:rPr>
        <w:object>
          <v:shape id="_x0000_i1033" o:spt="75" type="#_x0000_t75" style="height:13.5pt;width:6.75pt;" o:ole="t" filled="f" o:preferrelative="t" stroked="f" coordsize="21600,21600">
            <v:path/>
            <v:fill on="f" focussize="0,0"/>
            <v:stroke on="f" joinstyle="miter"/>
            <v:imagedata r:id="rId9" o:title=""/>
            <o:lock v:ext="edit" aspectratio="t"/>
            <w10:wrap type="none"/>
            <w10:anchorlock/>
          </v:shape>
          <o:OLEObject Type="Embed" ProgID="Equation.DSMT4" ShapeID="_x0000_i1033" DrawAspect="Content" ObjectID="_1468075733" r:id="rId20">
            <o:LockedField>false</o:LockedField>
          </o:OLEObject>
        </w:object>
      </w:r>
      <w:r>
        <w:rPr>
          <w:rFonts w:ascii="方正仿宋_GBK" w:eastAsia="方正仿宋_GBK"/>
          <w:bCs/>
          <w:color w:val="000000"/>
          <w:szCs w:val="32"/>
        </w:rPr>
        <w:t>=1</w:t>
      </w:r>
      <w:r>
        <w:rPr>
          <w:rFonts w:hint="eastAsia" w:ascii="方正仿宋_GBK" w:eastAsia="方正仿宋_GBK"/>
          <w:bCs/>
          <w:color w:val="000000"/>
          <w:szCs w:val="32"/>
        </w:rPr>
        <w:t>、</w:t>
      </w:r>
      <w:r>
        <w:rPr>
          <w:rFonts w:ascii="方正仿宋_GBK" w:eastAsia="方正仿宋_GBK"/>
          <w:bCs/>
          <w:color w:val="000000"/>
          <w:szCs w:val="32"/>
        </w:rPr>
        <w:t>2</w:t>
      </w:r>
      <w:r>
        <w:rPr>
          <w:rFonts w:hint="eastAsia" w:ascii="方正仿宋_GBK" w:eastAsia="方正仿宋_GBK"/>
          <w:bCs/>
          <w:color w:val="000000"/>
          <w:szCs w:val="32"/>
        </w:rPr>
        <w:t>，</w:t>
      </w:r>
      <w:r>
        <w:rPr>
          <w:rFonts w:ascii="方正仿宋_GBK" w:eastAsia="方正仿宋_GBK"/>
          <w:color w:val="000000"/>
          <w:position w:val="-6"/>
          <w:szCs w:val="32"/>
        </w:rPr>
        <w:object>
          <v:shape id="_x0000_i1034" o:spt="75" type="#_x0000_t75" style="height:14.25pt;width:15pt;" o:ole="t" filled="f" o:preferrelative="t" stroked="f" coordsize="21600,21600">
            <v:path/>
            <v:fill on="f" focussize="0,0"/>
            <v:stroke on="f" joinstyle="miter"/>
            <v:imagedata r:id="rId22" o:title=""/>
            <o:lock v:ext="edit" aspectratio="t"/>
            <w10:wrap type="none"/>
            <w10:anchorlock/>
          </v:shape>
          <o:OLEObject Type="Embed" ProgID="Equation.3" ShapeID="_x0000_i1034" DrawAspect="Content" ObjectID="_1468075734" r:id="rId21">
            <o:LockedField>false</o:LockedField>
          </o:OLEObject>
        </w:object>
      </w:r>
      <w:r>
        <w:rPr>
          <w:rFonts w:hint="eastAsia" w:ascii="方正仿宋_GBK" w:eastAsia="方正仿宋_GBK"/>
          <w:bCs/>
          <w:color w:val="000000"/>
          <w:szCs w:val="32"/>
        </w:rPr>
        <w:t>为建设管理单位或者质量监督机构对企业的履约行为评价得分，且</w:t>
      </w:r>
      <w:r>
        <w:rPr>
          <w:rFonts w:ascii="方正仿宋_GBK" w:eastAsia="方正仿宋_GBK"/>
          <w:color w:val="000000"/>
          <w:position w:val="-10"/>
          <w:szCs w:val="32"/>
        </w:rPr>
        <w:object>
          <v:shape id="_x0000_i1035" o:spt="75" type="#_x0000_t75" style="height:17.25pt;width:12.75pt;" o:ole="t" filled="f" o:preferrelative="t" stroked="f" coordsize="21600,21600">
            <v:path/>
            <v:fill on="f" focussize="0,0"/>
            <v:stroke on="f" joinstyle="miter"/>
            <v:imagedata r:id="rId24" o:title=""/>
            <o:lock v:ext="edit" aspectratio="t"/>
            <w10:wrap type="none"/>
            <w10:anchorlock/>
          </v:shape>
          <o:OLEObject Type="Embed" ProgID="Equation.3" ShapeID="_x0000_i1035" DrawAspect="Content" ObjectID="_1468075735" r:id="rId23">
            <o:LockedField>false</o:LockedField>
          </o:OLEObject>
        </w:object>
      </w:r>
      <w:r>
        <w:rPr>
          <w:rFonts w:hint="eastAsia" w:ascii="方正仿宋_GBK" w:eastAsia="方正仿宋_GBK"/>
          <w:bCs/>
          <w:color w:val="000000"/>
          <w:szCs w:val="32"/>
        </w:rPr>
        <w:t>≥</w:t>
      </w:r>
      <w:r>
        <w:rPr>
          <w:rFonts w:ascii="方正仿宋_GBK" w:eastAsia="方正仿宋_GBK"/>
          <w:color w:val="000000"/>
          <w:position w:val="-10"/>
          <w:szCs w:val="32"/>
        </w:rPr>
        <w:object>
          <v:shape id="_x0000_i1036" o:spt="75" type="#_x0000_t75" style="height:17.25pt;width:15pt;" o:ole="t" filled="f" o:preferrelative="t" stroked="f" coordsize="21600,21600">
            <v:path/>
            <v:fill on="f" focussize="0,0"/>
            <v:stroke on="f" joinstyle="miter"/>
            <v:imagedata r:id="rId26" o:title=""/>
            <o:lock v:ext="edit" aspectratio="t"/>
            <w10:wrap type="none"/>
            <w10:anchorlock/>
          </v:shape>
          <o:OLEObject Type="Embed" ProgID="Equation.3" ShapeID="_x0000_i1036" DrawAspect="Content" ObjectID="_1468075736" r:id="rId25">
            <o:LockedField>false</o:LockedField>
          </o:OLEObject>
        </w:object>
      </w:r>
      <w:r>
        <w:rPr>
          <w:rFonts w:hint="eastAsia" w:ascii="方正仿宋_GBK" w:eastAsia="方正仿宋_GBK"/>
          <w:color w:val="000000"/>
          <w:szCs w:val="32"/>
        </w:rPr>
        <w:t>。</w:t>
      </w:r>
    </w:p>
    <w:p>
      <w:pPr>
        <w:pStyle w:val="6"/>
        <w:snapToGrid w:val="0"/>
        <w:spacing w:line="600" w:lineRule="exact"/>
        <w:rPr>
          <w:rFonts w:ascii="方正仿宋_GBK" w:eastAsia="方正仿宋_GBK"/>
          <w:bCs/>
          <w:color w:val="000000"/>
          <w:spacing w:val="-10"/>
          <w:szCs w:val="32"/>
        </w:rPr>
      </w:pPr>
      <w:r>
        <w:rPr>
          <w:rFonts w:hint="eastAsia" w:ascii="方正仿宋_GBK" w:eastAsia="方正仿宋_GBK"/>
          <w:bCs/>
          <w:color w:val="000000"/>
          <w:szCs w:val="32"/>
        </w:rPr>
        <w:t>建</w:t>
      </w:r>
      <w:r>
        <w:rPr>
          <w:rFonts w:hint="eastAsia" w:ascii="方正仿宋_GBK" w:eastAsia="方正仿宋_GBK"/>
          <w:bCs/>
          <w:color w:val="000000"/>
          <w:spacing w:val="-10"/>
          <w:szCs w:val="32"/>
        </w:rPr>
        <w:t>设管理单位或者质量监督机构对企业的履约行为评价得分：</w:t>
      </w:r>
    </w:p>
    <w:p>
      <w:pPr>
        <w:pStyle w:val="6"/>
        <w:snapToGrid w:val="0"/>
        <w:spacing w:line="600" w:lineRule="exact"/>
        <w:ind w:firstLine="320" w:firstLineChars="100"/>
        <w:jc w:val="center"/>
        <w:rPr>
          <w:rFonts w:ascii="方正仿宋_GBK" w:eastAsia="方正仿宋_GBK"/>
          <w:bCs/>
          <w:color w:val="000000"/>
          <w:szCs w:val="32"/>
        </w:rPr>
      </w:pPr>
      <w:r>
        <w:rPr>
          <w:color w:val="000000"/>
          <w:position w:val="-28"/>
          <w:szCs w:val="32"/>
        </w:rPr>
        <w:object>
          <v:shape id="_x0000_i1037" o:spt="75" type="#_x0000_t75" style="height:33.75pt;width:165pt;" o:ole="t" filled="f" o:preferrelative="t" stroked="f" coordsize="21600,21600">
            <v:path/>
            <v:fill on="f" focussize="0,0"/>
            <v:stroke on="f" joinstyle="miter"/>
            <v:imagedata r:id="rId28" o:title=""/>
            <o:lock v:ext="edit" aspectratio="f"/>
            <w10:wrap type="none"/>
            <w10:anchorlock/>
          </v:shape>
          <o:OLEObject Type="Embed" ProgID="Equation.DSMT4" ShapeID="_x0000_i1037" DrawAspect="Content" ObjectID="_1468075737" r:id="rId27">
            <o:LockedField>false</o:LockedField>
          </o:OLEObject>
        </w:object>
      </w:r>
    </w:p>
    <w:p>
      <w:pPr>
        <w:pStyle w:val="6"/>
        <w:snapToGrid w:val="0"/>
        <w:spacing w:line="600" w:lineRule="exact"/>
        <w:rPr>
          <w:rFonts w:ascii="方正仿宋_GBK" w:eastAsia="方正仿宋_GBK"/>
          <w:bCs/>
          <w:color w:val="000000"/>
          <w:szCs w:val="32"/>
        </w:rPr>
      </w:pPr>
      <w:r>
        <w:rPr>
          <w:rFonts w:hint="eastAsia" w:ascii="方正仿宋_GBK" w:eastAsia="方正仿宋_GBK"/>
          <w:bCs/>
          <w:color w:val="000000"/>
          <w:szCs w:val="32"/>
        </w:rPr>
        <w:t>其中，</w:t>
      </w:r>
      <w:r>
        <w:rPr>
          <w:rFonts w:ascii="方正仿宋_GBK" w:eastAsia="方正仿宋_GBK"/>
          <w:bCs/>
          <w:color w:val="000000"/>
          <w:position w:val="-28"/>
          <w:szCs w:val="32"/>
        </w:rPr>
        <w:object>
          <v:shape id="_x0000_i1038" o:spt="75" type="#_x0000_t75" style="height:33pt;width:48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29">
            <o:LockedField>false</o:LockedField>
          </o:OLEObject>
        </w:object>
      </w:r>
      <w:r>
        <w:rPr>
          <w:rFonts w:hint="eastAsia" w:ascii="方正仿宋_GBK" w:eastAsia="方正仿宋_GBK"/>
          <w:bCs/>
          <w:color w:val="000000"/>
          <w:szCs w:val="32"/>
        </w:rPr>
        <w:t>为每次履约检查累计扣分值，</w:t>
      </w:r>
      <w:r>
        <w:rPr>
          <w:rFonts w:ascii="方正仿宋_GBK" w:eastAsia="方正仿宋_GBK"/>
          <w:bCs/>
          <w:color w:val="000000"/>
          <w:position w:val="-6"/>
          <w:szCs w:val="32"/>
        </w:rPr>
        <w:object>
          <v:shape id="_x0000_i1039" o:spt="75" type="#_x0000_t75" style="height:13.5pt;width:6.75pt;" o:ole="t" filled="f" o:preferrelative="t" stroked="f" coordsize="21600,21600">
            <v:path/>
            <v:fill on="f" focussize="0,0"/>
            <v:stroke on="f" joinstyle="miter"/>
            <v:imagedata r:id="rId9" o:title=""/>
            <o:lock v:ext="edit" aspectratio="t"/>
            <w10:wrap type="none"/>
            <w10:anchorlock/>
          </v:shape>
          <o:OLEObject Type="Embed" ProgID="Equation.DSMT4" ShapeID="_x0000_i1039" DrawAspect="Content" ObjectID="_1468075739" r:id="rId31">
            <o:LockedField>false</o:LockedField>
          </o:OLEObject>
        </w:object>
      </w:r>
      <w:r>
        <w:rPr>
          <w:rFonts w:hint="eastAsia" w:ascii="方正仿宋_GBK" w:eastAsia="方正仿宋_GBK"/>
          <w:bCs/>
          <w:color w:val="000000"/>
          <w:szCs w:val="32"/>
        </w:rPr>
        <w:t>为每次履约检查不良行为数量，</w:t>
      </w:r>
      <w:r>
        <w:rPr>
          <w:rFonts w:ascii="方正仿宋_GBK" w:eastAsia="方正仿宋_GBK"/>
          <w:color w:val="000000"/>
          <w:position w:val="-12"/>
          <w:szCs w:val="32"/>
        </w:rPr>
        <w:object>
          <v:shape id="_x0000_i1040" o:spt="75" type="#_x0000_t75" style="height:18.75pt;width:12.75pt;" o:ole="t" filled="f" o:preferrelative="t" stroked="f" coordsize="21600,21600">
            <v:path/>
            <v:fill on="f" focussize="0,0"/>
            <v:stroke on="f" joinstyle="miter"/>
            <v:imagedata r:id="rId33" o:title=""/>
            <o:lock v:ext="edit" aspectratio="t"/>
            <w10:wrap type="none"/>
            <w10:anchorlock/>
          </v:shape>
          <o:OLEObject Type="Embed" ProgID="Equation.DSMT4" ShapeID="_x0000_i1040" DrawAspect="Content" ObjectID="_1468075740" r:id="rId32">
            <o:LockedField>false</o:LockedField>
          </o:OLEObject>
        </w:object>
      </w:r>
      <w:r>
        <w:rPr>
          <w:rFonts w:hint="eastAsia" w:ascii="方正仿宋_GBK" w:eastAsia="方正仿宋_GBK"/>
          <w:bCs/>
          <w:color w:val="000000"/>
          <w:szCs w:val="32"/>
        </w:rPr>
        <w:t>为不良行为对应的扣分标准，</w:t>
      </w:r>
      <w:r>
        <w:rPr>
          <w:rFonts w:ascii="方正仿宋_GBK" w:eastAsia="方正仿宋_GBK"/>
          <w:bCs/>
          <w:color w:val="000000"/>
          <w:position w:val="-10"/>
          <w:szCs w:val="32"/>
        </w:rPr>
        <w:object>
          <v:shape id="_x0000_i1041" o:spt="75" type="#_x0000_t75" style="height:15pt;width:9.75pt;" o:ole="t" filled="f" o:preferrelative="t" stroked="f" coordsize="21600,21600">
            <v:path/>
            <v:fill on="f" focussize="0,0"/>
            <v:stroke on="f" joinstyle="miter"/>
            <v:imagedata r:id="rId35" o:title=""/>
            <o:lock v:ext="edit" aspectratio="t"/>
            <w10:wrap type="none"/>
            <w10:anchorlock/>
          </v:shape>
          <o:OLEObject Type="Embed" ProgID="Equation.DSMT4" ShapeID="_x0000_i1041" DrawAspect="Content" ObjectID="_1468075741" r:id="rId34">
            <o:LockedField>false</o:LockedField>
          </o:OLEObject>
        </w:object>
      </w:r>
      <w:r>
        <w:rPr>
          <w:rFonts w:hint="eastAsia" w:ascii="方正仿宋_GBK" w:eastAsia="方正仿宋_GBK"/>
          <w:bCs/>
          <w:color w:val="000000"/>
          <w:szCs w:val="32"/>
        </w:rPr>
        <w:t>为评价期内履约检查次数，</w:t>
      </w:r>
      <w:r>
        <w:rPr>
          <w:rFonts w:ascii="方正仿宋_GBK" w:eastAsia="方正仿宋_GBK"/>
          <w:bCs/>
          <w:color w:val="000000"/>
          <w:position w:val="-6"/>
          <w:szCs w:val="32"/>
        </w:rPr>
        <w:object>
          <v:shape id="_x0000_i1042" o:spt="75" type="#_x0000_t75" style="height:14.25pt;width:9.75pt;" o:ole="t" filled="f" o:preferrelative="t" stroked="f" coordsize="21600,21600">
            <v:path/>
            <v:fill on="f" focussize="0,0"/>
            <v:stroke on="f" joinstyle="miter"/>
            <v:imagedata r:id="rId37" o:title=""/>
            <o:lock v:ext="edit" aspectratio="t"/>
            <w10:wrap type="none"/>
            <w10:anchorlock/>
          </v:shape>
          <o:OLEObject Type="Embed" ProgID="Equation.DSMT4" ShapeID="_x0000_i1042" DrawAspect="Content" ObjectID="_1468075742" r:id="rId36">
            <o:LockedField>false</o:LockedField>
          </o:OLEObject>
        </w:object>
      </w:r>
      <w:r>
        <w:rPr>
          <w:rFonts w:hint="eastAsia" w:ascii="方正仿宋_GBK" w:eastAsia="方正仿宋_GBK"/>
          <w:bCs/>
          <w:color w:val="000000"/>
          <w:szCs w:val="32"/>
        </w:rPr>
        <w:t>为每次履约检查累计扣分值由大到小的序次，</w:t>
      </w:r>
      <w:r>
        <w:rPr>
          <w:rFonts w:ascii="方正仿宋_GBK" w:eastAsia="方正仿宋_GBK"/>
          <w:bCs/>
          <w:color w:val="000000"/>
          <w:position w:val="-6"/>
          <w:szCs w:val="32"/>
        </w:rPr>
        <w:object>
          <v:shape id="_x0000_i1043" o:spt="75" type="#_x0000_t75" style="height:14.25pt;width:9.75pt;" o:ole="t" filled="f" o:preferrelative="t" stroked="f" coordsize="21600,21600">
            <v:path/>
            <v:fill on="f" focussize="0,0"/>
            <v:stroke on="f" joinstyle="miter"/>
            <v:imagedata r:id="rId39" o:title=""/>
            <o:lock v:ext="edit" aspectratio="t"/>
            <w10:wrap type="none"/>
            <w10:anchorlock/>
          </v:shape>
          <o:OLEObject Type="Embed" ProgID="Equation.DSMT4" ShapeID="_x0000_i1043" DrawAspect="Content" ObjectID="_1468075743" r:id="rId38">
            <o:LockedField>false</o:LockedField>
          </o:OLEObject>
        </w:object>
      </w:r>
      <w:r>
        <w:rPr>
          <w:rFonts w:ascii="方正仿宋_GBK" w:eastAsia="方正仿宋_GBK"/>
          <w:bCs/>
          <w:color w:val="000000"/>
          <w:szCs w:val="32"/>
        </w:rPr>
        <w:t>=1</w:t>
      </w:r>
      <w:r>
        <w:rPr>
          <w:rFonts w:hint="eastAsia" w:ascii="方正仿宋_GBK" w:eastAsia="方正仿宋_GBK"/>
          <w:bCs/>
          <w:color w:val="000000"/>
          <w:szCs w:val="32"/>
        </w:rPr>
        <w:t>、</w:t>
      </w:r>
      <w:r>
        <w:rPr>
          <w:rFonts w:ascii="方正仿宋_GBK" w:eastAsia="方正仿宋_GBK"/>
          <w:bCs/>
          <w:color w:val="000000"/>
          <w:szCs w:val="32"/>
        </w:rPr>
        <w:t>2</w:t>
      </w:r>
      <w:r>
        <w:rPr>
          <w:rFonts w:hint="eastAsia" w:ascii="方正仿宋_GBK" w:eastAsia="方正仿宋_GBK"/>
          <w:bCs/>
          <w:color w:val="000000"/>
          <w:szCs w:val="32"/>
        </w:rPr>
        <w:t>。</w:t>
      </w:r>
    </w:p>
    <w:p>
      <w:pPr>
        <w:pStyle w:val="6"/>
        <w:snapToGrid w:val="0"/>
        <w:spacing w:line="600" w:lineRule="exact"/>
        <w:rPr>
          <w:rFonts w:ascii="方正仿宋_GBK" w:hAnsi="宋体" w:eastAsia="方正仿宋_GBK"/>
          <w:bCs/>
          <w:color w:val="000000"/>
          <w:szCs w:val="32"/>
        </w:rPr>
      </w:pPr>
      <w:r>
        <w:rPr>
          <w:rFonts w:hint="eastAsia" w:ascii="方正仿宋_GBK" w:hAnsi="宋体" w:eastAsia="方正仿宋_GBK"/>
          <w:bCs/>
          <w:color w:val="000000"/>
          <w:szCs w:val="32"/>
        </w:rPr>
        <w:t>算例：评价期内，建设管理单位和质监机构对某企业某合同段履约检查分别为</w:t>
      </w:r>
      <w:r>
        <w:rPr>
          <w:rFonts w:ascii="方正仿宋_GBK" w:hAnsi="宋体" w:eastAsia="方正仿宋_GBK"/>
          <w:bCs/>
          <w:color w:val="000000"/>
          <w:szCs w:val="32"/>
        </w:rPr>
        <w:t>3</w:t>
      </w:r>
      <w:r>
        <w:rPr>
          <w:rFonts w:hint="eastAsia" w:ascii="方正仿宋_GBK" w:hAnsi="宋体" w:eastAsia="方正仿宋_GBK"/>
          <w:bCs/>
          <w:color w:val="000000"/>
          <w:szCs w:val="32"/>
        </w:rPr>
        <w:t>次和</w:t>
      </w:r>
      <w:r>
        <w:rPr>
          <w:rFonts w:ascii="方正仿宋_GBK" w:hAnsi="宋体" w:eastAsia="方正仿宋_GBK"/>
          <w:bCs/>
          <w:color w:val="000000"/>
          <w:szCs w:val="32"/>
        </w:rPr>
        <w:t>5</w:t>
      </w:r>
      <w:r>
        <w:rPr>
          <w:rFonts w:hint="eastAsia" w:ascii="方正仿宋_GBK" w:hAnsi="宋体" w:eastAsia="方正仿宋_GBK"/>
          <w:bCs/>
          <w:color w:val="000000"/>
          <w:szCs w:val="32"/>
        </w:rPr>
        <w:t>次，每次对应累计扣分值分别为</w:t>
      </w:r>
      <w:r>
        <w:rPr>
          <w:rFonts w:ascii="方正仿宋_GBK" w:hAnsi="宋体" w:eastAsia="方正仿宋_GBK"/>
          <w:bCs/>
          <w:color w:val="000000"/>
          <w:szCs w:val="32"/>
        </w:rPr>
        <w:t>5</w:t>
      </w:r>
      <w:r>
        <w:rPr>
          <w:rFonts w:hint="eastAsia" w:ascii="方正仿宋_GBK" w:hAnsi="宋体" w:eastAsia="方正仿宋_GBK"/>
          <w:bCs/>
          <w:color w:val="000000"/>
          <w:szCs w:val="32"/>
        </w:rPr>
        <w:t>、</w:t>
      </w:r>
      <w:r>
        <w:rPr>
          <w:rFonts w:ascii="方正仿宋_GBK" w:hAnsi="宋体" w:eastAsia="方正仿宋_GBK"/>
          <w:bCs/>
          <w:color w:val="000000"/>
          <w:szCs w:val="32"/>
        </w:rPr>
        <w:t>10</w:t>
      </w:r>
      <w:r>
        <w:rPr>
          <w:rFonts w:hint="eastAsia" w:ascii="方正仿宋_GBK" w:hAnsi="宋体" w:eastAsia="方正仿宋_GBK"/>
          <w:bCs/>
          <w:color w:val="000000"/>
          <w:szCs w:val="32"/>
        </w:rPr>
        <w:t>、</w:t>
      </w:r>
      <w:r>
        <w:rPr>
          <w:rFonts w:ascii="方正仿宋_GBK" w:hAnsi="宋体" w:eastAsia="方正仿宋_GBK"/>
          <w:bCs/>
          <w:color w:val="000000"/>
          <w:szCs w:val="32"/>
        </w:rPr>
        <w:t>6</w:t>
      </w:r>
      <w:r>
        <w:rPr>
          <w:rFonts w:hint="eastAsia" w:ascii="方正仿宋_GBK" w:hAnsi="宋体" w:eastAsia="方正仿宋_GBK"/>
          <w:bCs/>
          <w:color w:val="000000"/>
          <w:szCs w:val="32"/>
        </w:rPr>
        <w:t>和</w:t>
      </w:r>
      <w:r>
        <w:rPr>
          <w:rFonts w:ascii="方正仿宋_GBK" w:hAnsi="宋体" w:eastAsia="方正仿宋_GBK"/>
          <w:bCs/>
          <w:color w:val="000000"/>
          <w:szCs w:val="32"/>
        </w:rPr>
        <w:t>6</w:t>
      </w:r>
      <w:r>
        <w:rPr>
          <w:rFonts w:hint="eastAsia" w:ascii="方正仿宋_GBK" w:hAnsi="宋体" w:eastAsia="方正仿宋_GBK"/>
          <w:bCs/>
          <w:color w:val="000000"/>
          <w:szCs w:val="32"/>
        </w:rPr>
        <w:t>、</w:t>
      </w:r>
      <w:r>
        <w:rPr>
          <w:rFonts w:ascii="方正仿宋_GBK" w:hAnsi="宋体" w:eastAsia="方正仿宋_GBK"/>
          <w:bCs/>
          <w:color w:val="000000"/>
          <w:szCs w:val="32"/>
        </w:rPr>
        <w:t>10</w:t>
      </w:r>
      <w:r>
        <w:rPr>
          <w:rFonts w:hint="eastAsia" w:ascii="方正仿宋_GBK" w:hAnsi="宋体" w:eastAsia="方正仿宋_GBK"/>
          <w:bCs/>
          <w:color w:val="000000"/>
          <w:szCs w:val="32"/>
        </w:rPr>
        <w:t>、</w:t>
      </w:r>
      <w:r>
        <w:rPr>
          <w:rFonts w:ascii="方正仿宋_GBK" w:hAnsi="宋体" w:eastAsia="方正仿宋_GBK"/>
          <w:bCs/>
          <w:color w:val="000000"/>
          <w:szCs w:val="32"/>
        </w:rPr>
        <w:t>8</w:t>
      </w:r>
      <w:r>
        <w:rPr>
          <w:rFonts w:hint="eastAsia" w:ascii="方正仿宋_GBK" w:hAnsi="宋体" w:eastAsia="方正仿宋_GBK"/>
          <w:bCs/>
          <w:color w:val="000000"/>
          <w:szCs w:val="32"/>
        </w:rPr>
        <w:t>、</w:t>
      </w:r>
      <w:r>
        <w:rPr>
          <w:rFonts w:ascii="方正仿宋_GBK" w:hAnsi="宋体" w:eastAsia="方正仿宋_GBK"/>
          <w:bCs/>
          <w:color w:val="000000"/>
          <w:szCs w:val="32"/>
        </w:rPr>
        <w:t>5</w:t>
      </w:r>
      <w:r>
        <w:rPr>
          <w:rFonts w:hint="eastAsia" w:ascii="方正仿宋_GBK" w:hAnsi="宋体" w:eastAsia="方正仿宋_GBK"/>
          <w:bCs/>
          <w:color w:val="000000"/>
          <w:szCs w:val="32"/>
        </w:rPr>
        <w:t>、</w:t>
      </w:r>
      <w:r>
        <w:rPr>
          <w:rFonts w:ascii="方正仿宋_GBK" w:hAnsi="宋体" w:eastAsia="方正仿宋_GBK"/>
          <w:bCs/>
          <w:color w:val="000000"/>
          <w:szCs w:val="32"/>
        </w:rPr>
        <w:t>7</w:t>
      </w:r>
      <w:r>
        <w:rPr>
          <w:rFonts w:hint="eastAsia" w:ascii="方正仿宋_GBK" w:hAnsi="宋体" w:eastAsia="方正仿宋_GBK"/>
          <w:bCs/>
          <w:color w:val="000000"/>
          <w:szCs w:val="32"/>
        </w:rPr>
        <w:t>，则：</w:t>
      </w:r>
    </w:p>
    <w:p>
      <w:pPr>
        <w:pStyle w:val="6"/>
        <w:snapToGrid w:val="0"/>
        <w:spacing w:line="600" w:lineRule="exact"/>
        <w:rPr>
          <w:rFonts w:ascii="方正仿宋_GBK" w:hAnsi="宋体" w:eastAsia="方正仿宋_GBK"/>
          <w:bCs/>
          <w:color w:val="000000"/>
          <w:szCs w:val="32"/>
        </w:rPr>
      </w:pPr>
      <w:r>
        <w:rPr>
          <w:rFonts w:hint="eastAsia" w:ascii="方正仿宋_GBK" w:hAnsi="宋体" w:eastAsia="方正仿宋_GBK"/>
          <w:bCs/>
          <w:color w:val="000000"/>
          <w:szCs w:val="32"/>
        </w:rPr>
        <w:t>建设管理单位对某企业的履约行为评价得分：L</w:t>
      </w:r>
      <w:r>
        <w:rPr>
          <w:rFonts w:hint="eastAsia" w:ascii="方正仿宋_GBK" w:hAnsi="宋体" w:eastAsia="方正仿宋_GBK"/>
          <w:bCs/>
          <w:color w:val="000000"/>
          <w:szCs w:val="32"/>
          <w:vertAlign w:val="subscript"/>
        </w:rPr>
        <w:t>1</w:t>
      </w:r>
      <w:r>
        <w:rPr>
          <w:rFonts w:hint="eastAsia" w:ascii="方正仿宋_GBK" w:hAnsi="宋体" w:eastAsia="方正仿宋_GBK"/>
          <w:bCs/>
          <w:color w:val="000000"/>
          <w:szCs w:val="32"/>
        </w:rPr>
        <w:t>=100-(10+6)=84.00</w:t>
      </w:r>
    </w:p>
    <w:p>
      <w:pPr>
        <w:pStyle w:val="6"/>
        <w:snapToGrid w:val="0"/>
        <w:spacing w:line="600" w:lineRule="exact"/>
        <w:rPr>
          <w:rFonts w:ascii="方正仿宋_GBK" w:hAnsi="宋体" w:eastAsia="方正仿宋_GBK"/>
          <w:bCs/>
          <w:color w:val="000000"/>
          <w:szCs w:val="32"/>
        </w:rPr>
      </w:pPr>
      <w:r>
        <w:rPr>
          <w:rFonts w:hint="eastAsia" w:ascii="方正仿宋_GBK" w:hAnsi="宋体" w:eastAsia="方正仿宋_GBK"/>
          <w:bCs/>
          <w:color w:val="000000"/>
          <w:szCs w:val="32"/>
        </w:rPr>
        <w:t>质监机构对某企业的履约行为评价得分：L</w:t>
      </w:r>
      <w:r>
        <w:rPr>
          <w:rFonts w:hint="eastAsia" w:ascii="方正仿宋_GBK" w:hAnsi="宋体" w:eastAsia="方正仿宋_GBK"/>
          <w:bCs/>
          <w:color w:val="000000"/>
          <w:szCs w:val="32"/>
          <w:vertAlign w:val="subscript"/>
        </w:rPr>
        <w:t>2</w:t>
      </w:r>
      <w:r>
        <w:rPr>
          <w:rFonts w:hint="eastAsia" w:ascii="方正仿宋_GBK" w:hAnsi="宋体" w:eastAsia="方正仿宋_GBK"/>
          <w:bCs/>
          <w:color w:val="000000"/>
          <w:szCs w:val="32"/>
        </w:rPr>
        <w:t>=100-(10+8)=82.00</w:t>
      </w:r>
    </w:p>
    <w:p>
      <w:pPr>
        <w:pStyle w:val="6"/>
        <w:snapToGrid w:val="0"/>
        <w:spacing w:line="600" w:lineRule="exact"/>
        <w:rPr>
          <w:rFonts w:ascii="方正仿宋_GBK" w:hAnsi="宋体" w:eastAsia="方正仿宋_GBK"/>
          <w:bCs/>
          <w:color w:val="000000"/>
          <w:szCs w:val="32"/>
        </w:rPr>
      </w:pPr>
      <w:r>
        <w:rPr>
          <w:rFonts w:hint="eastAsia" w:ascii="方正仿宋_GBK" w:hAnsi="宋体" w:eastAsia="方正仿宋_GBK"/>
          <w:bCs/>
          <w:color w:val="000000"/>
          <w:szCs w:val="32"/>
        </w:rPr>
        <w:t>某企业在该合同段的履约行为评价得分：L=(1×84+2×82)/（1+2）=82.67</w:t>
      </w:r>
    </w:p>
    <w:p>
      <w:pPr>
        <w:pStyle w:val="6"/>
        <w:snapToGrid w:val="0"/>
        <w:spacing w:line="600" w:lineRule="exact"/>
        <w:rPr>
          <w:rFonts w:ascii="方正黑体_GBK" w:hAnsi="黑体" w:eastAsia="方正黑体_GBK"/>
          <w:bCs/>
          <w:color w:val="000000"/>
          <w:szCs w:val="32"/>
        </w:rPr>
      </w:pPr>
      <w:r>
        <w:rPr>
          <w:rFonts w:hint="eastAsia" w:ascii="方正黑体_GBK" w:hAnsi="黑体" w:eastAsia="方正黑体_GBK"/>
          <w:bCs/>
          <w:color w:val="000000"/>
          <w:szCs w:val="32"/>
        </w:rPr>
        <w:t>二、重庆市综合评价</w:t>
      </w:r>
    </w:p>
    <w:p>
      <w:pPr>
        <w:pStyle w:val="6"/>
        <w:snapToGrid w:val="0"/>
        <w:spacing w:line="600" w:lineRule="exact"/>
        <w:rPr>
          <w:rFonts w:ascii="方正仿宋_GBK" w:eastAsia="方正仿宋_GBK"/>
          <w:bCs/>
          <w:color w:val="000000"/>
          <w:szCs w:val="32"/>
        </w:rPr>
      </w:pPr>
      <w:r>
        <w:rPr>
          <w:rFonts w:hint="eastAsia" w:ascii="Times New Roman" w:eastAsia="方正仿宋_GBK"/>
          <w:bCs/>
          <w:color w:val="000000"/>
          <w:szCs w:val="32"/>
        </w:rPr>
        <w:t>（一）重庆市投标行为评价得分：</w:t>
      </w:r>
      <w:r>
        <w:rPr>
          <w:rFonts w:ascii="方正仿宋_GBK" w:eastAsia="方正仿宋_GBK"/>
          <w:bCs/>
          <w:color w:val="000000"/>
          <w:position w:val="-28"/>
          <w:szCs w:val="32"/>
        </w:rPr>
        <w:object>
          <v:shape id="_x0000_i1044" o:spt="75" type="#_x0000_t75" style="height:36.75pt;width:66pt;" o:ole="t" filled="f" o:preferrelative="t" stroked="f" coordsize="21600,21600">
            <v:path/>
            <v:fill on="f" focussize="0,0"/>
            <v:stroke on="f" joinstyle="miter"/>
            <v:imagedata r:id="rId41" o:title=""/>
            <o:lock v:ext="edit" aspectratio="t"/>
            <w10:wrap type="none"/>
            <w10:anchorlock/>
          </v:shape>
          <o:OLEObject Type="Embed" ProgID="Equation.DSMT4" ShapeID="_x0000_i1044" DrawAspect="Content" ObjectID="_1468075744" r:id="rId40">
            <o:LockedField>false</o:LockedField>
          </o:OLEObject>
        </w:object>
      </w:r>
    </w:p>
    <w:p>
      <w:pPr>
        <w:pStyle w:val="6"/>
        <w:snapToGrid w:val="0"/>
        <w:spacing w:line="600" w:lineRule="exact"/>
        <w:rPr>
          <w:rFonts w:ascii="方正仿宋_GBK" w:eastAsia="方正仿宋_GBK"/>
          <w:bCs/>
          <w:color w:val="000000"/>
          <w:szCs w:val="32"/>
        </w:rPr>
      </w:pPr>
      <w:r>
        <w:rPr>
          <w:rFonts w:hint="eastAsia" w:ascii="方正仿宋_GBK" w:eastAsia="方正仿宋_GBK"/>
          <w:bCs/>
          <w:color w:val="000000"/>
          <w:szCs w:val="32"/>
        </w:rPr>
        <w:t>其中，</w:t>
      </w:r>
      <w:r>
        <w:rPr>
          <w:rFonts w:ascii="方正仿宋_GBK" w:eastAsia="方正仿宋_GBK"/>
          <w:bCs/>
          <w:color w:val="000000"/>
          <w:position w:val="-6"/>
          <w:szCs w:val="32"/>
        </w:rPr>
        <w:object>
          <v:shape id="_x0000_i1045" o:spt="75" type="#_x0000_t75" style="height:13.5pt;width:6.75pt;" o:ole="t" filled="f" o:preferrelative="t" stroked="f" coordsize="21600,21600">
            <v:path/>
            <v:fill on="f" focussize="0,0"/>
            <v:stroke on="f" joinstyle="miter"/>
            <v:imagedata r:id="rId9" o:title=""/>
            <o:lock v:ext="edit" aspectratio="t"/>
            <w10:wrap type="none"/>
            <w10:anchorlock/>
          </v:shape>
          <o:OLEObject Type="Embed" ProgID="Equation.DSMT4" ShapeID="_x0000_i1045" DrawAspect="Content" ObjectID="_1468075745" r:id="rId42">
            <o:LockedField>false</o:LockedField>
          </o:OLEObject>
        </w:object>
      </w:r>
      <w:r>
        <w:rPr>
          <w:rFonts w:hint="eastAsia" w:ascii="方正仿宋_GBK" w:eastAsia="方正仿宋_GBK"/>
          <w:bCs/>
          <w:color w:val="000000"/>
          <w:szCs w:val="32"/>
        </w:rPr>
        <w:t>为被评价投标行为的合同段数量，</w:t>
      </w:r>
      <w:r>
        <w:rPr>
          <w:rFonts w:ascii="方正仿宋_GBK" w:eastAsia="方正仿宋_GBK"/>
          <w:bCs/>
          <w:color w:val="000000"/>
          <w:position w:val="-6"/>
          <w:szCs w:val="32"/>
        </w:rPr>
        <w:object>
          <v:shape id="_x0000_i1046" o:spt="75" type="#_x0000_t75" style="height:13.5pt;width:6.75pt;" o:ole="t" filled="f" o:preferrelative="t" stroked="f" coordsize="21600,21600">
            <v:path/>
            <v:fill on="f" focussize="0,0"/>
            <v:stroke on="f" joinstyle="miter"/>
            <v:imagedata r:id="rId9" o:title=""/>
            <o:lock v:ext="edit" aspectratio="t"/>
            <w10:wrap type="none"/>
            <w10:anchorlock/>
          </v:shape>
          <o:OLEObject Type="Embed" ProgID="Equation.DSMT4" ShapeID="_x0000_i1046" DrawAspect="Content" ObjectID="_1468075746" r:id="rId43">
            <o:LockedField>false</o:LockedField>
          </o:OLEObject>
        </w:object>
      </w:r>
      <w:r>
        <w:rPr>
          <w:rFonts w:ascii="方正仿宋_GBK" w:eastAsia="方正仿宋_GBK"/>
          <w:bCs/>
          <w:color w:val="000000"/>
          <w:szCs w:val="32"/>
        </w:rPr>
        <w:t>=1</w:t>
      </w:r>
      <w:r>
        <w:rPr>
          <w:rFonts w:hint="eastAsia" w:ascii="方正仿宋_GBK" w:eastAsia="方正仿宋_GBK"/>
          <w:bCs/>
          <w:color w:val="000000"/>
          <w:szCs w:val="32"/>
        </w:rPr>
        <w:t>、</w:t>
      </w:r>
      <w:r>
        <w:rPr>
          <w:rFonts w:ascii="方正仿宋_GBK" w:eastAsia="方正仿宋_GBK"/>
          <w:bCs/>
          <w:color w:val="000000"/>
          <w:szCs w:val="32"/>
        </w:rPr>
        <w:t>2</w:t>
      </w:r>
      <w:r>
        <w:rPr>
          <w:rFonts w:hint="eastAsia" w:ascii="方正仿宋_GBK" w:eastAsia="方正仿宋_GBK"/>
          <w:bCs/>
          <w:color w:val="000000"/>
          <w:szCs w:val="32"/>
        </w:rPr>
        <w:t>、…</w:t>
      </w:r>
      <w:r>
        <w:rPr>
          <w:rFonts w:ascii="方正仿宋_GBK" w:eastAsia="方正仿宋_GBK"/>
          <w:bCs/>
          <w:color w:val="000000"/>
          <w:szCs w:val="32"/>
        </w:rPr>
        <w:t>n</w:t>
      </w:r>
      <w:r>
        <w:rPr>
          <w:rFonts w:hint="eastAsia" w:ascii="方正仿宋_GBK" w:eastAsia="方正仿宋_GBK"/>
          <w:bCs/>
          <w:color w:val="000000"/>
          <w:szCs w:val="32"/>
        </w:rPr>
        <w:t>，</w:t>
      </w:r>
      <w:r>
        <w:rPr>
          <w:rFonts w:ascii="方正仿宋_GBK" w:eastAsia="方正仿宋_GBK"/>
          <w:bCs/>
          <w:color w:val="000000"/>
          <w:szCs w:val="32"/>
        </w:rPr>
        <w:t xml:space="preserve"> </w:t>
      </w:r>
      <w:r>
        <w:rPr>
          <w:rFonts w:ascii="方正仿宋_GBK" w:eastAsia="方正仿宋_GBK"/>
          <w:bCs/>
          <w:color w:val="000000"/>
          <w:position w:val="-12"/>
          <w:szCs w:val="32"/>
        </w:rPr>
        <w:object>
          <v:shape id="_x0000_i1047" o:spt="75" type="#_x0000_t75" style="height:18.75pt;width:11.25pt;" o:ole="t" filled="f" o:preferrelative="t" stroked="f" coordsize="21600,21600">
            <v:path/>
            <v:fill on="f" focussize="0,0"/>
            <v:stroke on="f" joinstyle="miter"/>
            <v:imagedata r:id="rId45" o:title=""/>
            <o:lock v:ext="edit" aspectratio="t"/>
            <w10:wrap type="none"/>
            <w10:anchorlock/>
          </v:shape>
          <o:OLEObject Type="Embed" ProgID="Equation.DSMT4" ShapeID="_x0000_i1047" DrawAspect="Content" ObjectID="_1468075747" r:id="rId44">
            <o:LockedField>false</o:LockedField>
          </o:OLEObject>
        </w:object>
      </w:r>
      <w:r>
        <w:rPr>
          <w:rFonts w:hint="eastAsia" w:ascii="方正仿宋_GBK" w:eastAsia="方正仿宋_GBK"/>
          <w:bCs/>
          <w:color w:val="000000"/>
          <w:szCs w:val="32"/>
        </w:rPr>
        <w:t>为在某合同段投标行为评价得分。</w:t>
      </w:r>
    </w:p>
    <w:p>
      <w:pPr>
        <w:pStyle w:val="6"/>
        <w:snapToGrid w:val="0"/>
        <w:spacing w:line="600" w:lineRule="exact"/>
        <w:rPr>
          <w:rFonts w:ascii="方正仿宋_GBK" w:hAnsi="宋体" w:eastAsia="方正仿宋_GBK"/>
          <w:bCs/>
          <w:color w:val="000000"/>
          <w:szCs w:val="32"/>
        </w:rPr>
      </w:pPr>
      <w:r>
        <w:rPr>
          <w:rFonts w:hint="eastAsia" w:ascii="方正仿宋_GBK" w:hAnsi="宋体" w:eastAsia="方正仿宋_GBK"/>
          <w:bCs/>
          <w:color w:val="000000"/>
          <w:szCs w:val="32"/>
        </w:rPr>
        <w:t>算例：评价期内，某企业在重庆市有</w:t>
      </w:r>
      <w:r>
        <w:rPr>
          <w:rFonts w:ascii="方正仿宋_GBK" w:hAnsi="宋体" w:eastAsia="方正仿宋_GBK"/>
          <w:bCs/>
          <w:color w:val="000000"/>
          <w:szCs w:val="32"/>
        </w:rPr>
        <w:t>6</w:t>
      </w:r>
      <w:r>
        <w:rPr>
          <w:rFonts w:hint="eastAsia" w:ascii="方正仿宋_GBK" w:hAnsi="宋体" w:eastAsia="方正仿宋_GBK"/>
          <w:bCs/>
          <w:color w:val="000000"/>
          <w:szCs w:val="32"/>
        </w:rPr>
        <w:t>次投标，其中</w:t>
      </w:r>
      <w:r>
        <w:rPr>
          <w:rFonts w:ascii="方正仿宋_GBK" w:hAnsi="宋体" w:eastAsia="方正仿宋_GBK"/>
          <w:bCs/>
          <w:color w:val="000000"/>
          <w:szCs w:val="32"/>
        </w:rPr>
        <w:t>4</w:t>
      </w:r>
      <w:r>
        <w:rPr>
          <w:rFonts w:hint="eastAsia" w:ascii="方正仿宋_GBK" w:hAnsi="宋体" w:eastAsia="方正仿宋_GBK"/>
          <w:bCs/>
          <w:color w:val="000000"/>
          <w:szCs w:val="32"/>
        </w:rPr>
        <w:t>次有不良行为，对应的行为评价得分为</w:t>
      </w:r>
      <w:r>
        <w:rPr>
          <w:rFonts w:ascii="方正仿宋_GBK" w:hAnsi="宋体" w:eastAsia="方正仿宋_GBK"/>
          <w:bCs/>
          <w:color w:val="000000"/>
          <w:szCs w:val="32"/>
        </w:rPr>
        <w:t>90</w:t>
      </w:r>
      <w:r>
        <w:rPr>
          <w:rFonts w:hint="eastAsia" w:ascii="方正仿宋_GBK" w:hAnsi="宋体" w:eastAsia="方正仿宋_GBK"/>
          <w:bCs/>
          <w:color w:val="000000"/>
          <w:szCs w:val="32"/>
        </w:rPr>
        <w:t>、</w:t>
      </w:r>
      <w:r>
        <w:rPr>
          <w:rFonts w:ascii="方正仿宋_GBK" w:hAnsi="宋体" w:eastAsia="方正仿宋_GBK"/>
          <w:bCs/>
          <w:color w:val="000000"/>
          <w:szCs w:val="32"/>
        </w:rPr>
        <w:t>90</w:t>
      </w:r>
      <w:r>
        <w:rPr>
          <w:rFonts w:hint="eastAsia" w:ascii="方正仿宋_GBK" w:hAnsi="宋体" w:eastAsia="方正仿宋_GBK"/>
          <w:bCs/>
          <w:color w:val="000000"/>
          <w:szCs w:val="32"/>
        </w:rPr>
        <w:t>、</w:t>
      </w:r>
      <w:r>
        <w:rPr>
          <w:rFonts w:ascii="方正仿宋_GBK" w:hAnsi="宋体" w:eastAsia="方正仿宋_GBK"/>
          <w:bCs/>
          <w:color w:val="000000"/>
          <w:szCs w:val="32"/>
        </w:rPr>
        <w:t>99</w:t>
      </w:r>
      <w:r>
        <w:rPr>
          <w:rFonts w:hint="eastAsia" w:ascii="方正仿宋_GBK" w:hAnsi="宋体" w:eastAsia="方正仿宋_GBK"/>
          <w:bCs/>
          <w:color w:val="000000"/>
          <w:szCs w:val="32"/>
        </w:rPr>
        <w:t>、</w:t>
      </w:r>
      <w:r>
        <w:rPr>
          <w:rFonts w:ascii="方正仿宋_GBK" w:hAnsi="宋体" w:eastAsia="方正仿宋_GBK"/>
          <w:bCs/>
          <w:color w:val="000000"/>
          <w:szCs w:val="32"/>
        </w:rPr>
        <w:t>98</w:t>
      </w:r>
      <w:r>
        <w:rPr>
          <w:rFonts w:hint="eastAsia" w:ascii="方正仿宋_GBK" w:hAnsi="宋体" w:eastAsia="方正仿宋_GBK"/>
          <w:bCs/>
          <w:color w:val="000000"/>
          <w:szCs w:val="32"/>
        </w:rPr>
        <w:t>，则该企业在重庆市投标行为评价得分T</w:t>
      </w:r>
      <w:r>
        <w:rPr>
          <w:rFonts w:ascii="方正仿宋_GBK" w:hAnsi="宋体" w:eastAsia="方正仿宋_GBK"/>
          <w:bCs/>
          <w:color w:val="000000"/>
          <w:szCs w:val="32"/>
        </w:rPr>
        <w:t>=</w:t>
      </w:r>
      <w:r>
        <w:rPr>
          <w:rFonts w:hint="eastAsia" w:ascii="方正仿宋_GBK" w:hAnsi="宋体" w:eastAsia="方正仿宋_GBK"/>
          <w:bCs/>
          <w:color w:val="000000"/>
          <w:szCs w:val="32"/>
        </w:rPr>
        <w:t>（</w:t>
      </w:r>
      <w:r>
        <w:rPr>
          <w:rFonts w:ascii="方正仿宋_GBK" w:hAnsi="宋体" w:eastAsia="方正仿宋_GBK"/>
          <w:bCs/>
          <w:color w:val="000000"/>
          <w:szCs w:val="32"/>
        </w:rPr>
        <w:t>90+90+99+98</w:t>
      </w:r>
      <w:r>
        <w:rPr>
          <w:rFonts w:hint="eastAsia" w:ascii="方正仿宋_GBK" w:hAnsi="宋体" w:eastAsia="方正仿宋_GBK"/>
          <w:bCs/>
          <w:color w:val="000000"/>
          <w:szCs w:val="32"/>
        </w:rPr>
        <w:t>）</w:t>
      </w:r>
      <w:r>
        <w:rPr>
          <w:rFonts w:ascii="方正仿宋_GBK" w:hAnsi="宋体" w:eastAsia="方正仿宋_GBK"/>
          <w:bCs/>
          <w:color w:val="000000"/>
          <w:szCs w:val="32"/>
        </w:rPr>
        <w:t>/4=94.25</w:t>
      </w:r>
    </w:p>
    <w:p>
      <w:pPr>
        <w:pStyle w:val="6"/>
        <w:snapToGrid w:val="0"/>
        <w:spacing w:line="600" w:lineRule="exact"/>
        <w:rPr>
          <w:rFonts w:ascii="Times New Roman" w:eastAsia="方正仿宋_GBK"/>
          <w:bCs/>
          <w:color w:val="000000"/>
          <w:szCs w:val="32"/>
        </w:rPr>
      </w:pPr>
      <w:r>
        <w:rPr>
          <w:rFonts w:hint="eastAsia" w:ascii="方正仿宋_GBK" w:eastAsia="方正仿宋_GBK"/>
          <w:bCs/>
          <w:color w:val="000000"/>
          <w:szCs w:val="32"/>
        </w:rPr>
        <w:t>（二）</w:t>
      </w:r>
      <w:r>
        <w:rPr>
          <w:rFonts w:hint="eastAsia" w:ascii="Times New Roman" w:eastAsia="方正仿宋_GBK"/>
          <w:bCs/>
          <w:color w:val="000000"/>
          <w:szCs w:val="32"/>
        </w:rPr>
        <w:t>重庆市</w:t>
      </w:r>
      <w:r>
        <w:rPr>
          <w:rFonts w:hint="eastAsia" w:ascii="方正仿宋_GBK" w:eastAsia="方正仿宋_GBK"/>
          <w:bCs/>
          <w:color w:val="000000"/>
          <w:szCs w:val="32"/>
        </w:rPr>
        <w:t>履约行为评价</w:t>
      </w:r>
      <w:r>
        <w:rPr>
          <w:rFonts w:hint="eastAsia" w:ascii="Times New Roman" w:eastAsia="方正仿宋_GBK"/>
          <w:bCs/>
          <w:color w:val="000000"/>
          <w:szCs w:val="32"/>
        </w:rPr>
        <w:t>得分</w:t>
      </w:r>
    </w:p>
    <w:p>
      <w:pPr>
        <w:pStyle w:val="6"/>
        <w:snapToGrid w:val="0"/>
        <w:spacing w:line="600" w:lineRule="exact"/>
        <w:rPr>
          <w:rFonts w:ascii="方正仿宋_GBK" w:eastAsia="方正仿宋_GBK"/>
          <w:bCs/>
          <w:color w:val="000000"/>
          <w:szCs w:val="32"/>
        </w:rPr>
      </w:pPr>
      <w:r>
        <w:rPr>
          <w:rFonts w:ascii="Times New Roman" w:eastAsia="方正仿宋_GBK"/>
          <w:bCs/>
          <w:color w:val="000000"/>
          <w:szCs w:val="32"/>
        </w:rPr>
        <w:t>1</w:t>
      </w:r>
      <w:r>
        <w:rPr>
          <w:rFonts w:hint="eastAsia" w:ascii="Times New Roman" w:eastAsia="方正仿宋_GBK"/>
          <w:bCs/>
          <w:color w:val="000000"/>
          <w:szCs w:val="32"/>
        </w:rPr>
        <w:t>．建设管理单位和施工企业：</w:t>
      </w:r>
      <w:r>
        <w:rPr>
          <w:rFonts w:ascii="方正仿宋_GBK" w:eastAsia="方正仿宋_GBK"/>
          <w:bCs/>
          <w:color w:val="000000"/>
          <w:position w:val="-28"/>
          <w:szCs w:val="32"/>
        </w:rPr>
        <w:object>
          <v:shape id="_x0000_i1048" o:spt="75" type="#_x0000_t75" style="height:36.75pt;width:128.25pt;" o:ole="t" filled="f" o:preferrelative="t" stroked="f" coordsize="21600,21600">
            <v:path/>
            <v:fill on="f" focussize="0,0"/>
            <v:stroke on="f" joinstyle="miter"/>
            <v:imagedata r:id="rId47" o:title=""/>
            <o:lock v:ext="edit" aspectratio="t"/>
            <w10:wrap type="none"/>
            <w10:anchorlock/>
          </v:shape>
          <o:OLEObject Type="Embed" ProgID="Equation.3" ShapeID="_x0000_i1048" DrawAspect="Content" ObjectID="_1468075748" r:id="rId46">
            <o:LockedField>false</o:LockedField>
          </o:OLEObject>
        </w:object>
      </w:r>
    </w:p>
    <w:p>
      <w:pPr>
        <w:pStyle w:val="6"/>
        <w:snapToGrid w:val="0"/>
        <w:spacing w:line="600" w:lineRule="exact"/>
        <w:rPr>
          <w:rFonts w:ascii="方正仿宋_GBK" w:eastAsia="方正仿宋_GBK"/>
          <w:bCs/>
          <w:color w:val="000000"/>
          <w:szCs w:val="32"/>
        </w:rPr>
      </w:pPr>
      <w:r>
        <w:rPr>
          <w:rFonts w:hint="eastAsia" w:ascii="方正仿宋_GBK" w:eastAsia="方正仿宋_GBK"/>
          <w:bCs/>
          <w:color w:val="000000"/>
          <w:szCs w:val="32"/>
        </w:rPr>
        <w:t>其中，</w:t>
      </w:r>
      <w:r>
        <w:rPr>
          <w:rFonts w:ascii="方正仿宋_GBK" w:eastAsia="方正仿宋_GBK"/>
          <w:bCs/>
          <w:color w:val="000000"/>
          <w:position w:val="-6"/>
          <w:szCs w:val="32"/>
        </w:rPr>
        <w:object>
          <v:shape id="_x0000_i1049" o:spt="75" type="#_x0000_t75" style="height:13.5pt;width:6.75pt;" o:ole="t" filled="f" o:preferrelative="t" stroked="f" coordsize="21600,21600">
            <v:path/>
            <v:fill on="f" focussize="0,0"/>
            <v:stroke on="f" joinstyle="miter"/>
            <v:imagedata r:id="rId9" o:title=""/>
            <o:lock v:ext="edit" aspectratio="t"/>
            <w10:wrap type="none"/>
            <w10:anchorlock/>
          </v:shape>
          <o:OLEObject Type="Embed" ProgID="Equation.DSMT4" ShapeID="_x0000_i1049" DrawAspect="Content" ObjectID="_1468075749" r:id="rId48">
            <o:LockedField>false</o:LockedField>
          </o:OLEObject>
        </w:object>
      </w:r>
      <w:r>
        <w:rPr>
          <w:rFonts w:hint="eastAsia" w:ascii="方正仿宋_GBK" w:eastAsia="方正仿宋_GBK"/>
          <w:bCs/>
          <w:color w:val="000000"/>
          <w:szCs w:val="32"/>
        </w:rPr>
        <w:t>为在不同项目（合同段）履约行为评价得分名次，</w:t>
      </w:r>
      <w:r>
        <w:rPr>
          <w:rFonts w:ascii="方正仿宋_GBK" w:eastAsia="方正仿宋_GBK"/>
          <w:bCs/>
          <w:color w:val="000000"/>
          <w:position w:val="-6"/>
          <w:szCs w:val="32"/>
        </w:rPr>
        <w:object>
          <v:shape id="_x0000_i1050" o:spt="75" type="#_x0000_t75" style="height:13.5pt;width:6.75pt;" o:ole="t" filled="f" o:preferrelative="t" stroked="f" coordsize="21600,21600">
            <v:path/>
            <v:fill on="f" focussize="0,0"/>
            <v:stroke on="f" joinstyle="miter"/>
            <v:imagedata r:id="rId9" o:title=""/>
            <o:lock v:ext="edit" aspectratio="t"/>
            <w10:wrap type="none"/>
            <w10:anchorlock/>
          </v:shape>
          <o:OLEObject Type="Embed" ProgID="Equation.DSMT4" ShapeID="_x0000_i1050" DrawAspect="Content" ObjectID="_1468075750" r:id="rId49">
            <o:LockedField>false</o:LockedField>
          </o:OLEObject>
        </w:object>
      </w:r>
      <w:r>
        <w:rPr>
          <w:rFonts w:ascii="方正仿宋_GBK" w:eastAsia="方正仿宋_GBK"/>
          <w:bCs/>
          <w:color w:val="000000"/>
          <w:szCs w:val="32"/>
        </w:rPr>
        <w:t>=1</w:t>
      </w:r>
      <w:r>
        <w:rPr>
          <w:rFonts w:hint="eastAsia" w:ascii="方正仿宋_GBK" w:eastAsia="方正仿宋_GBK"/>
          <w:bCs/>
          <w:color w:val="000000"/>
          <w:szCs w:val="32"/>
        </w:rPr>
        <w:t>、</w:t>
      </w:r>
      <w:r>
        <w:rPr>
          <w:rFonts w:ascii="方正仿宋_GBK" w:eastAsia="方正仿宋_GBK"/>
          <w:bCs/>
          <w:color w:val="000000"/>
          <w:szCs w:val="32"/>
        </w:rPr>
        <w:t>2</w:t>
      </w:r>
      <w:r>
        <w:rPr>
          <w:rFonts w:hint="eastAsia" w:ascii="方正仿宋_GBK" w:eastAsia="方正仿宋_GBK"/>
          <w:bCs/>
          <w:color w:val="000000"/>
          <w:szCs w:val="32"/>
        </w:rPr>
        <w:t>、…</w:t>
      </w:r>
      <w:r>
        <w:rPr>
          <w:rFonts w:ascii="方正仿宋_GBK" w:eastAsia="方正仿宋_GBK"/>
          <w:bCs/>
          <w:color w:val="000000"/>
          <w:szCs w:val="32"/>
        </w:rPr>
        <w:t>n</w:t>
      </w:r>
      <w:r>
        <w:rPr>
          <w:rFonts w:hint="eastAsia" w:ascii="方正仿宋_GBK" w:eastAsia="方正仿宋_GBK"/>
          <w:bCs/>
          <w:color w:val="000000"/>
          <w:szCs w:val="32"/>
        </w:rPr>
        <w:t>，</w:t>
      </w:r>
      <w:r>
        <w:rPr>
          <w:rFonts w:ascii="方正仿宋_GBK" w:eastAsia="方正仿宋_GBK"/>
          <w:bCs/>
          <w:color w:val="000000"/>
          <w:position w:val="-12"/>
          <w:szCs w:val="32"/>
        </w:rPr>
        <w:object>
          <v:shape id="_x0000_i1051" o:spt="75" type="#_x0000_t75" style="height:18.75pt;width:12pt;" o:ole="t" filled="f" o:preferrelative="t" stroked="f" coordsize="21600,21600">
            <v:path/>
            <v:fill on="f" focussize="0,0"/>
            <v:stroke on="f" joinstyle="miter"/>
            <v:imagedata r:id="rId51" o:title=""/>
            <o:lock v:ext="edit" aspectratio="t"/>
            <w10:wrap type="none"/>
            <w10:anchorlock/>
          </v:shape>
          <o:OLEObject Type="Embed" ProgID="Equation.DSMT4" ShapeID="_x0000_i1051" DrawAspect="Content" ObjectID="_1468075751" r:id="rId50">
            <o:LockedField>false</o:LockedField>
          </o:OLEObject>
        </w:object>
      </w:r>
      <w:r>
        <w:rPr>
          <w:rFonts w:hint="eastAsia" w:ascii="方正仿宋_GBK" w:eastAsia="方正仿宋_GBK"/>
          <w:bCs/>
          <w:color w:val="000000"/>
          <w:szCs w:val="32"/>
        </w:rPr>
        <w:t>为在某项目（合同段）履约行为评价得分，且</w:t>
      </w:r>
      <w:r>
        <w:rPr>
          <w:rFonts w:ascii="方正仿宋_GBK" w:eastAsia="方正仿宋_GBK"/>
          <w:bCs/>
          <w:color w:val="000000"/>
          <w:szCs w:val="32"/>
        </w:rPr>
        <w:object>
          <v:shape id="_x0000_i1052" o:spt="75" type="#_x0000_t75" style="height:13.5pt;width:11.25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2">
            <o:LockedField>false</o:LockedField>
          </o:OLEObject>
        </w:object>
      </w:r>
      <w:r>
        <w:rPr>
          <w:rFonts w:ascii="方正仿宋_GBK" w:eastAsia="方正仿宋_GBK"/>
          <w:bCs/>
          <w:color w:val="000000"/>
          <w:szCs w:val="32"/>
          <w:vertAlign w:val="subscript"/>
        </w:rPr>
        <w:t>1</w:t>
      </w:r>
      <w:r>
        <w:rPr>
          <w:rFonts w:hint="eastAsia" w:ascii="方正仿宋_GBK" w:eastAsia="方正仿宋_GBK"/>
          <w:bCs/>
          <w:color w:val="000000"/>
          <w:szCs w:val="32"/>
        </w:rPr>
        <w:t>≥</w:t>
      </w:r>
      <w:r>
        <w:rPr>
          <w:rFonts w:ascii="方正仿宋_GBK" w:eastAsia="方正仿宋_GBK"/>
          <w:bCs/>
          <w:color w:val="000000"/>
          <w:szCs w:val="32"/>
        </w:rPr>
        <w:object>
          <v:shape id="_x0000_i1053" o:spt="75" type="#_x0000_t75" style="height:13.5pt;width:11.25pt;" o:ole="t" filled="f" o:preferrelative="t" stroked="f" coordsize="21600,21600">
            <v:path/>
            <v:fill on="f" focussize="0,0"/>
            <v:stroke on="f" joinstyle="miter"/>
            <v:imagedata r:id="rId53" o:title=""/>
            <o:lock v:ext="edit" aspectratio="t"/>
            <w10:wrap type="none"/>
            <w10:anchorlock/>
          </v:shape>
          <o:OLEObject Type="Embed" ProgID="Equation.3" ShapeID="_x0000_i1053" DrawAspect="Content" ObjectID="_1468075753" r:id="rId54">
            <o:LockedField>false</o:LockedField>
          </o:OLEObject>
        </w:object>
      </w:r>
      <w:r>
        <w:rPr>
          <w:rFonts w:ascii="方正仿宋_GBK" w:eastAsia="方正仿宋_GBK"/>
          <w:bCs/>
          <w:color w:val="000000"/>
          <w:szCs w:val="32"/>
          <w:vertAlign w:val="subscript"/>
        </w:rPr>
        <w:t>2</w:t>
      </w:r>
      <w:r>
        <w:rPr>
          <w:rFonts w:hint="eastAsia" w:ascii="方正仿宋_GBK" w:eastAsia="方正仿宋_GBK"/>
          <w:bCs/>
          <w:color w:val="000000"/>
          <w:szCs w:val="32"/>
        </w:rPr>
        <w:t>≥…≥</w:t>
      </w:r>
      <w:r>
        <w:rPr>
          <w:rFonts w:ascii="方正仿宋_GBK" w:eastAsia="方正仿宋_GBK"/>
          <w:bCs/>
          <w:color w:val="000000"/>
          <w:szCs w:val="32"/>
        </w:rPr>
        <w:object>
          <v:shape id="_x0000_i1054" o:spt="75" type="#_x0000_t75" style="height:13.5pt;width:11.25pt;" o:ole="t" filled="f" o:preferrelative="t" stroked="f" coordsize="21600,21600">
            <v:path/>
            <v:fill on="f" focussize="0,0"/>
            <v:stroke on="f" joinstyle="miter"/>
            <v:imagedata r:id="rId53" o:title=""/>
            <o:lock v:ext="edit" aspectratio="t"/>
            <w10:wrap type="none"/>
            <w10:anchorlock/>
          </v:shape>
          <o:OLEObject Type="Embed" ProgID="Equation.3" ShapeID="_x0000_i1054" DrawAspect="Content" ObjectID="_1468075754" r:id="rId55">
            <o:LockedField>false</o:LockedField>
          </o:OLEObject>
        </w:object>
      </w:r>
      <w:r>
        <w:rPr>
          <w:rFonts w:ascii="方正仿宋_GBK" w:eastAsia="方正仿宋_GBK"/>
          <w:bCs/>
          <w:color w:val="000000"/>
          <w:szCs w:val="32"/>
          <w:vertAlign w:val="subscript"/>
        </w:rPr>
        <w:t>n</w:t>
      </w:r>
      <w:r>
        <w:rPr>
          <w:rFonts w:hint="eastAsia" w:ascii="方正仿宋_GBK" w:eastAsia="方正仿宋_GBK"/>
          <w:bCs/>
          <w:color w:val="000000"/>
          <w:szCs w:val="32"/>
        </w:rPr>
        <w:t>。</w:t>
      </w:r>
    </w:p>
    <w:p>
      <w:pPr>
        <w:pStyle w:val="6"/>
        <w:snapToGrid w:val="0"/>
        <w:spacing w:line="600" w:lineRule="exact"/>
        <w:rPr>
          <w:rFonts w:ascii="方正仿宋_GBK" w:hAnsi="宋体" w:eastAsia="方正仿宋_GBK"/>
          <w:bCs/>
          <w:color w:val="000000"/>
          <w:szCs w:val="32"/>
        </w:rPr>
      </w:pPr>
      <w:r>
        <w:rPr>
          <w:rFonts w:hint="eastAsia" w:ascii="方正仿宋_GBK" w:hAnsi="宋体" w:eastAsia="方正仿宋_GBK"/>
          <w:bCs/>
          <w:color w:val="000000"/>
          <w:szCs w:val="32"/>
        </w:rPr>
        <w:t>算例：评价期内，某建设管理单位（施工企业）在重庆市共有4个建设项目（合同段）纳入评价，履约行为评价得分为100、90、100、80，则该建设管理单位在重庆市履约行为评价得分：</w:t>
      </w:r>
    </w:p>
    <w:p>
      <w:pPr>
        <w:pStyle w:val="6"/>
        <w:snapToGrid w:val="0"/>
        <w:spacing w:line="600" w:lineRule="exact"/>
        <w:rPr>
          <w:rFonts w:ascii="方正仿宋_GBK" w:hAnsi="宋体" w:eastAsia="方正仿宋_GBK"/>
          <w:bCs/>
          <w:color w:val="000000"/>
          <w:szCs w:val="32"/>
        </w:rPr>
      </w:pPr>
      <w:r>
        <w:rPr>
          <w:rFonts w:hint="eastAsia" w:ascii="方正仿宋_GBK" w:hAnsi="宋体" w:eastAsia="方正仿宋_GBK"/>
          <w:bCs/>
          <w:color w:val="000000"/>
          <w:szCs w:val="32"/>
        </w:rPr>
        <w:t>L=（1×100+2×100+3×90+4×80）/（1+2+3+4）=89.00</w:t>
      </w:r>
    </w:p>
    <w:p>
      <w:pPr>
        <w:pStyle w:val="6"/>
        <w:snapToGrid w:val="0"/>
        <w:spacing w:line="600" w:lineRule="exact"/>
        <w:rPr>
          <w:rFonts w:ascii="宋体" w:eastAsia="宋体"/>
          <w:bCs/>
          <w:color w:val="000000"/>
          <w:szCs w:val="32"/>
        </w:rPr>
      </w:pPr>
      <w:r>
        <w:rPr>
          <w:rFonts w:ascii="Times New Roman" w:eastAsia="方正仿宋_GBK"/>
          <w:bCs/>
          <w:color w:val="000000"/>
          <w:szCs w:val="32"/>
        </w:rPr>
        <w:t>2</w:t>
      </w:r>
      <w:r>
        <w:rPr>
          <w:rFonts w:hint="eastAsia" w:ascii="Times New Roman" w:eastAsia="方正仿宋_GBK"/>
          <w:bCs/>
          <w:color w:val="000000"/>
          <w:szCs w:val="32"/>
        </w:rPr>
        <w:t>．</w:t>
      </w:r>
      <w:r>
        <w:rPr>
          <w:rFonts w:hint="eastAsia" w:ascii="方正仿宋_GBK" w:eastAsia="方正仿宋_GBK"/>
          <w:bCs/>
          <w:color w:val="000000"/>
          <w:szCs w:val="32"/>
        </w:rPr>
        <w:t>设计和监理企业：</w:t>
      </w:r>
      <w:r>
        <w:rPr>
          <w:rFonts w:ascii="宋体" w:eastAsia="宋体"/>
          <w:bCs/>
          <w:color w:val="000000"/>
          <w:position w:val="-28"/>
          <w:szCs w:val="32"/>
        </w:rPr>
        <w:object>
          <v:shape id="_x0000_i1055" o:spt="75" type="#_x0000_t75" style="height:42.75pt;width:114.75pt;" o:ole="t" filled="f" o:preferrelative="t" stroked="f" coordsize="21600,21600">
            <v:path/>
            <v:fill on="f" focussize="0,0"/>
            <v:stroke on="f" joinstyle="miter"/>
            <v:imagedata r:id="rId57" o:title=""/>
            <o:lock v:ext="edit" aspectratio="t"/>
            <w10:wrap type="none"/>
            <w10:anchorlock/>
          </v:shape>
          <o:OLEObject Type="Embed" ProgID="Equation.DSMT4" ShapeID="_x0000_i1055" DrawAspect="Content" ObjectID="_1468075755" r:id="rId56">
            <o:LockedField>false</o:LockedField>
          </o:OLEObject>
        </w:object>
      </w:r>
    </w:p>
    <w:p>
      <w:pPr>
        <w:pStyle w:val="6"/>
        <w:snapToGrid w:val="0"/>
        <w:spacing w:line="600" w:lineRule="exact"/>
        <w:rPr>
          <w:rFonts w:ascii="方正仿宋_GBK" w:eastAsia="方正仿宋_GBK"/>
          <w:bCs/>
          <w:color w:val="000000"/>
          <w:szCs w:val="32"/>
        </w:rPr>
      </w:pPr>
      <w:r>
        <w:rPr>
          <w:rFonts w:hint="eastAsia" w:ascii="方正仿宋_GBK" w:eastAsia="方正仿宋_GBK"/>
          <w:bCs/>
          <w:color w:val="000000"/>
          <w:szCs w:val="32"/>
        </w:rPr>
        <w:t>其中，</w:t>
      </w:r>
      <w:r>
        <w:rPr>
          <w:rFonts w:ascii="方正仿宋_GBK" w:eastAsia="方正仿宋_GBK"/>
          <w:bCs/>
          <w:color w:val="000000"/>
          <w:position w:val="-12"/>
          <w:szCs w:val="32"/>
        </w:rPr>
        <w:object>
          <v:shape id="_x0000_i1056" o:spt="75" type="#_x0000_t75" style="height:18pt;width:12pt;" o:ole="t" filled="f" o:preferrelative="t" stroked="f" coordsize="21600,21600">
            <v:path/>
            <v:fill on="f" focussize="0,0"/>
            <v:stroke on="f" joinstyle="miter"/>
            <v:imagedata r:id="rId59" o:title=""/>
            <o:lock v:ext="edit" aspectratio="t"/>
            <w10:wrap type="none"/>
            <w10:anchorlock/>
          </v:shape>
          <o:OLEObject Type="Embed" ProgID="Equation.DSMT4" ShapeID="_x0000_i1056" DrawAspect="Content" ObjectID="_1468075756" r:id="rId58">
            <o:LockedField>false</o:LockedField>
          </o:OLEObject>
        </w:object>
      </w:r>
      <w:r>
        <w:rPr>
          <w:rFonts w:hint="eastAsia" w:ascii="方正仿宋_GBK" w:eastAsia="方正仿宋_GBK"/>
          <w:bCs/>
          <w:color w:val="000000"/>
          <w:szCs w:val="32"/>
        </w:rPr>
        <w:t>为企业在某合同段履约行为评价得分，</w:t>
      </w:r>
      <w:r>
        <w:rPr>
          <w:rFonts w:ascii="方正仿宋_GBK" w:eastAsia="方正仿宋_GBK"/>
          <w:bCs/>
          <w:color w:val="000000"/>
          <w:position w:val="-12"/>
          <w:szCs w:val="32"/>
        </w:rPr>
        <w:object>
          <v:shape id="_x0000_i1057" o:spt="75" type="#_x0000_t75" style="height:18pt;width:14.25pt;" o:ole="t" filled="f" o:preferrelative="t" stroked="f" coordsize="21600,21600">
            <v:path/>
            <v:fill on="f" focussize="0,0"/>
            <v:stroke on="f" joinstyle="miter"/>
            <v:imagedata r:id="rId61" o:title=""/>
            <o:lock v:ext="edit" aspectratio="t"/>
            <w10:wrap type="none"/>
            <w10:anchorlock/>
          </v:shape>
          <o:OLEObject Type="Embed" ProgID="Equation.DSMT4" ShapeID="_x0000_i1057" DrawAspect="Content" ObjectID="_1468075757" r:id="rId60">
            <o:LockedField>false</o:LockedField>
          </o:OLEObject>
        </w:object>
      </w:r>
      <w:r>
        <w:rPr>
          <w:rFonts w:hint="eastAsia" w:ascii="方正仿宋_GBK" w:eastAsia="方正仿宋_GBK"/>
          <w:bCs/>
          <w:color w:val="000000"/>
          <w:szCs w:val="32"/>
        </w:rPr>
        <w:t>为企业各履约合同段的合同额，</w:t>
      </w:r>
      <w:r>
        <w:rPr>
          <w:rFonts w:ascii="方正仿宋_GBK" w:eastAsia="方正仿宋_GBK"/>
          <w:bCs/>
          <w:color w:val="000000"/>
          <w:position w:val="-6"/>
          <w:szCs w:val="32"/>
        </w:rPr>
        <w:object>
          <v:shape id="_x0000_i1058" o:spt="75" type="#_x0000_t75" style="height:13.5pt;width:6.75pt;" o:ole="t" filled="f" o:preferrelative="t" stroked="f" coordsize="21600,21600">
            <v:path/>
            <v:fill on="f" focussize="0,0"/>
            <v:stroke on="f" joinstyle="miter"/>
            <v:imagedata r:id="rId9" o:title=""/>
            <o:lock v:ext="edit" aspectratio="t"/>
            <w10:wrap type="none"/>
            <w10:anchorlock/>
          </v:shape>
          <o:OLEObject Type="Embed" ProgID="Equation.DSMT4" ShapeID="_x0000_i1058" DrawAspect="Content" ObjectID="_1468075758" r:id="rId62">
            <o:LockedField>false</o:LockedField>
          </o:OLEObject>
        </w:object>
      </w:r>
      <w:r>
        <w:rPr>
          <w:rFonts w:ascii="方正仿宋_GBK" w:eastAsia="方正仿宋_GBK"/>
          <w:bCs/>
          <w:color w:val="000000"/>
          <w:szCs w:val="32"/>
        </w:rPr>
        <w:t>=1</w:t>
      </w:r>
      <w:r>
        <w:rPr>
          <w:rFonts w:hint="eastAsia" w:ascii="方正仿宋_GBK" w:eastAsia="方正仿宋_GBK"/>
          <w:bCs/>
          <w:color w:val="000000"/>
          <w:szCs w:val="32"/>
        </w:rPr>
        <w:t>、</w:t>
      </w:r>
      <w:r>
        <w:rPr>
          <w:rFonts w:ascii="方正仿宋_GBK" w:eastAsia="方正仿宋_GBK"/>
          <w:bCs/>
          <w:color w:val="000000"/>
          <w:szCs w:val="32"/>
        </w:rPr>
        <w:t>2</w:t>
      </w:r>
      <w:r>
        <w:rPr>
          <w:rFonts w:hint="eastAsia" w:ascii="方正仿宋_GBK" w:eastAsia="方正仿宋_GBK"/>
          <w:bCs/>
          <w:color w:val="000000"/>
          <w:szCs w:val="32"/>
        </w:rPr>
        <w:t>、</w:t>
      </w:r>
      <w:r>
        <w:rPr>
          <w:rFonts w:ascii="方正仿宋_GBK" w:eastAsia="方正仿宋_GBK"/>
          <w:bCs/>
          <w:color w:val="000000"/>
          <w:szCs w:val="32"/>
        </w:rPr>
        <w:t>…n</w:t>
      </w:r>
      <w:r>
        <w:rPr>
          <w:rFonts w:hint="eastAsia" w:ascii="方正仿宋_GBK" w:eastAsia="方正仿宋_GBK"/>
          <w:bCs/>
          <w:color w:val="000000"/>
          <w:szCs w:val="32"/>
        </w:rPr>
        <w:t>。</w:t>
      </w:r>
    </w:p>
    <w:p>
      <w:pPr>
        <w:pStyle w:val="6"/>
        <w:snapToGrid w:val="0"/>
        <w:spacing w:line="600" w:lineRule="exact"/>
        <w:rPr>
          <w:rFonts w:ascii="方正仿宋_GBK" w:hAnsi="宋体" w:eastAsia="方正仿宋_GBK"/>
          <w:bCs/>
          <w:color w:val="000000"/>
          <w:szCs w:val="32"/>
        </w:rPr>
      </w:pPr>
      <w:r>
        <w:rPr>
          <w:rFonts w:hint="eastAsia" w:ascii="方正仿宋_GBK" w:hAnsi="宋体" w:eastAsia="方正仿宋_GBK"/>
          <w:bCs/>
          <w:color w:val="000000"/>
          <w:szCs w:val="32"/>
        </w:rPr>
        <w:t>算例：评价期内，某企业在重庆市共有</w:t>
      </w:r>
      <w:r>
        <w:rPr>
          <w:rFonts w:ascii="方正仿宋_GBK" w:hAnsi="宋体" w:eastAsia="方正仿宋_GBK"/>
          <w:bCs/>
          <w:color w:val="000000"/>
          <w:szCs w:val="32"/>
        </w:rPr>
        <w:t>4</w:t>
      </w:r>
      <w:r>
        <w:rPr>
          <w:rFonts w:hint="eastAsia" w:ascii="方正仿宋_GBK" w:hAnsi="宋体" w:eastAsia="方正仿宋_GBK"/>
          <w:bCs/>
          <w:color w:val="000000"/>
          <w:szCs w:val="32"/>
        </w:rPr>
        <w:t>个合同段纳入评价，履约行为评价得分为</w:t>
      </w:r>
      <w:r>
        <w:rPr>
          <w:rFonts w:ascii="方正仿宋_GBK" w:hAnsi="宋体" w:eastAsia="方正仿宋_GBK"/>
          <w:bCs/>
          <w:color w:val="000000"/>
          <w:szCs w:val="32"/>
        </w:rPr>
        <w:t>100</w:t>
      </w:r>
      <w:r>
        <w:rPr>
          <w:rFonts w:hint="eastAsia" w:ascii="方正仿宋_GBK" w:hAnsi="宋体" w:eastAsia="方正仿宋_GBK"/>
          <w:bCs/>
          <w:color w:val="000000"/>
          <w:szCs w:val="32"/>
        </w:rPr>
        <w:t>、</w:t>
      </w:r>
      <w:r>
        <w:rPr>
          <w:rFonts w:ascii="方正仿宋_GBK" w:hAnsi="宋体" w:eastAsia="方正仿宋_GBK"/>
          <w:bCs/>
          <w:color w:val="000000"/>
          <w:szCs w:val="32"/>
        </w:rPr>
        <w:t>90</w:t>
      </w:r>
      <w:r>
        <w:rPr>
          <w:rFonts w:hint="eastAsia" w:ascii="方正仿宋_GBK" w:hAnsi="宋体" w:eastAsia="方正仿宋_GBK"/>
          <w:bCs/>
          <w:color w:val="000000"/>
          <w:szCs w:val="32"/>
        </w:rPr>
        <w:t>、</w:t>
      </w:r>
      <w:r>
        <w:rPr>
          <w:rFonts w:ascii="方正仿宋_GBK" w:hAnsi="宋体" w:eastAsia="方正仿宋_GBK"/>
          <w:bCs/>
          <w:color w:val="000000"/>
          <w:szCs w:val="32"/>
        </w:rPr>
        <w:t>100</w:t>
      </w:r>
      <w:r>
        <w:rPr>
          <w:rFonts w:hint="eastAsia" w:ascii="方正仿宋_GBK" w:hAnsi="宋体" w:eastAsia="方正仿宋_GBK"/>
          <w:bCs/>
          <w:color w:val="000000"/>
          <w:szCs w:val="32"/>
        </w:rPr>
        <w:t>、</w:t>
      </w:r>
      <w:r>
        <w:rPr>
          <w:rFonts w:ascii="方正仿宋_GBK" w:hAnsi="宋体" w:eastAsia="方正仿宋_GBK"/>
          <w:bCs/>
          <w:color w:val="000000"/>
          <w:szCs w:val="32"/>
        </w:rPr>
        <w:t>80</w:t>
      </w:r>
      <w:r>
        <w:rPr>
          <w:rFonts w:hint="eastAsia" w:ascii="方正仿宋_GBK" w:hAnsi="宋体" w:eastAsia="方正仿宋_GBK"/>
          <w:bCs/>
          <w:color w:val="000000"/>
          <w:szCs w:val="32"/>
        </w:rPr>
        <w:t>，合同金额分别为</w:t>
      </w:r>
      <w:r>
        <w:rPr>
          <w:rFonts w:ascii="方正仿宋_GBK" w:hAnsi="宋体" w:eastAsia="方正仿宋_GBK"/>
          <w:bCs/>
          <w:color w:val="000000"/>
          <w:szCs w:val="32"/>
        </w:rPr>
        <w:t>5000</w:t>
      </w:r>
      <w:r>
        <w:rPr>
          <w:rFonts w:hint="eastAsia" w:ascii="方正仿宋_GBK" w:hAnsi="宋体" w:eastAsia="方正仿宋_GBK"/>
          <w:bCs/>
          <w:color w:val="000000"/>
          <w:szCs w:val="32"/>
        </w:rPr>
        <w:t>万元、</w:t>
      </w:r>
      <w:r>
        <w:rPr>
          <w:rFonts w:ascii="方正仿宋_GBK" w:hAnsi="宋体" w:eastAsia="方正仿宋_GBK"/>
          <w:bCs/>
          <w:color w:val="000000"/>
          <w:szCs w:val="32"/>
        </w:rPr>
        <w:t>4000</w:t>
      </w:r>
      <w:r>
        <w:rPr>
          <w:rFonts w:hint="eastAsia" w:ascii="方正仿宋_GBK" w:hAnsi="宋体" w:eastAsia="方正仿宋_GBK"/>
          <w:bCs/>
          <w:color w:val="000000"/>
          <w:szCs w:val="32"/>
        </w:rPr>
        <w:t>万元、</w:t>
      </w:r>
      <w:r>
        <w:rPr>
          <w:rFonts w:ascii="方正仿宋_GBK" w:hAnsi="宋体" w:eastAsia="方正仿宋_GBK"/>
          <w:bCs/>
          <w:color w:val="000000"/>
          <w:szCs w:val="32"/>
        </w:rPr>
        <w:t>3000</w:t>
      </w:r>
      <w:r>
        <w:rPr>
          <w:rFonts w:hint="eastAsia" w:ascii="方正仿宋_GBK" w:hAnsi="宋体" w:eastAsia="方正仿宋_GBK"/>
          <w:bCs/>
          <w:color w:val="000000"/>
          <w:szCs w:val="32"/>
        </w:rPr>
        <w:t>万元、</w:t>
      </w:r>
      <w:r>
        <w:rPr>
          <w:rFonts w:ascii="方正仿宋_GBK" w:hAnsi="宋体" w:eastAsia="方正仿宋_GBK"/>
          <w:bCs/>
          <w:color w:val="000000"/>
          <w:szCs w:val="32"/>
        </w:rPr>
        <w:t>2000</w:t>
      </w:r>
      <w:r>
        <w:rPr>
          <w:rFonts w:hint="eastAsia" w:ascii="方正仿宋_GBK" w:hAnsi="宋体" w:eastAsia="方正仿宋_GBK"/>
          <w:bCs/>
          <w:color w:val="000000"/>
          <w:szCs w:val="32"/>
        </w:rPr>
        <w:t>万元，则该企业在重庆市履约行为评价得分为：</w:t>
      </w:r>
    </w:p>
    <w:p>
      <w:pPr>
        <w:pStyle w:val="6"/>
        <w:snapToGrid w:val="0"/>
        <w:spacing w:line="600" w:lineRule="exact"/>
        <w:rPr>
          <w:rFonts w:ascii="方正仿宋_GBK" w:hAnsi="宋体" w:eastAsia="方正仿宋_GBK"/>
          <w:bCs/>
          <w:color w:val="000000"/>
          <w:szCs w:val="32"/>
        </w:rPr>
      </w:pPr>
      <w:r>
        <w:rPr>
          <w:rFonts w:ascii="方正仿宋_GBK" w:hAnsi="宋体" w:eastAsia="方正仿宋_GBK"/>
          <w:bCs/>
          <w:color w:val="000000"/>
          <w:szCs w:val="32"/>
        </w:rPr>
        <w:t>L=</w:t>
      </w:r>
      <w:r>
        <w:rPr>
          <w:rFonts w:hint="eastAsia" w:ascii="方正仿宋_GBK" w:hAnsi="宋体" w:eastAsia="方正仿宋_GBK"/>
          <w:bCs/>
          <w:color w:val="000000"/>
          <w:szCs w:val="32"/>
        </w:rPr>
        <w:t>（</w:t>
      </w:r>
      <w:r>
        <w:rPr>
          <w:rFonts w:ascii="方正仿宋_GBK" w:hAnsi="宋体" w:eastAsia="方正仿宋_GBK"/>
          <w:bCs/>
          <w:color w:val="000000"/>
          <w:szCs w:val="32"/>
        </w:rPr>
        <w:t>100</w:t>
      </w:r>
      <w:r>
        <w:rPr>
          <w:rFonts w:hint="eastAsia" w:ascii="方正仿宋_GBK" w:hAnsi="宋体" w:eastAsia="方正仿宋_GBK"/>
          <w:bCs/>
          <w:color w:val="000000"/>
          <w:szCs w:val="32"/>
        </w:rPr>
        <w:t>×</w:t>
      </w:r>
      <w:r>
        <w:rPr>
          <w:rFonts w:ascii="方正仿宋_GBK" w:hAnsi="宋体" w:eastAsia="方正仿宋_GBK"/>
          <w:bCs/>
          <w:color w:val="000000"/>
          <w:szCs w:val="32"/>
        </w:rPr>
        <w:t>5000+90</w:t>
      </w:r>
      <w:r>
        <w:rPr>
          <w:rFonts w:hint="eastAsia" w:ascii="方正仿宋_GBK" w:hAnsi="宋体" w:eastAsia="方正仿宋_GBK"/>
          <w:bCs/>
          <w:color w:val="000000"/>
          <w:szCs w:val="32"/>
        </w:rPr>
        <w:t>×</w:t>
      </w:r>
      <w:r>
        <w:rPr>
          <w:rFonts w:ascii="方正仿宋_GBK" w:hAnsi="宋体" w:eastAsia="方正仿宋_GBK"/>
          <w:bCs/>
          <w:color w:val="000000"/>
          <w:szCs w:val="32"/>
        </w:rPr>
        <w:t>4000+100</w:t>
      </w:r>
      <w:r>
        <w:rPr>
          <w:rFonts w:hint="eastAsia" w:ascii="方正仿宋_GBK" w:hAnsi="宋体" w:eastAsia="方正仿宋_GBK"/>
          <w:bCs/>
          <w:color w:val="000000"/>
          <w:szCs w:val="32"/>
        </w:rPr>
        <w:t>×</w:t>
      </w:r>
      <w:r>
        <w:rPr>
          <w:rFonts w:ascii="方正仿宋_GBK" w:hAnsi="宋体" w:eastAsia="方正仿宋_GBK"/>
          <w:bCs/>
          <w:color w:val="000000"/>
          <w:szCs w:val="32"/>
        </w:rPr>
        <w:t>3000+80</w:t>
      </w:r>
      <w:r>
        <w:rPr>
          <w:rFonts w:hint="eastAsia" w:ascii="方正仿宋_GBK" w:hAnsi="宋体" w:eastAsia="方正仿宋_GBK"/>
          <w:bCs/>
          <w:color w:val="000000"/>
          <w:szCs w:val="32"/>
        </w:rPr>
        <w:t>×</w:t>
      </w:r>
      <w:r>
        <w:rPr>
          <w:rFonts w:ascii="方正仿宋_GBK" w:hAnsi="宋体" w:eastAsia="方正仿宋_GBK"/>
          <w:bCs/>
          <w:color w:val="000000"/>
          <w:szCs w:val="32"/>
        </w:rPr>
        <w:t>2000</w:t>
      </w:r>
      <w:r>
        <w:rPr>
          <w:rFonts w:hint="eastAsia" w:ascii="方正仿宋_GBK" w:hAnsi="宋体" w:eastAsia="方正仿宋_GBK"/>
          <w:bCs/>
          <w:color w:val="000000"/>
          <w:szCs w:val="32"/>
        </w:rPr>
        <w:t>）</w:t>
      </w:r>
      <w:r>
        <w:rPr>
          <w:rFonts w:ascii="方正仿宋_GBK" w:hAnsi="宋体" w:eastAsia="方正仿宋_GBK"/>
          <w:bCs/>
          <w:color w:val="000000"/>
          <w:szCs w:val="32"/>
        </w:rPr>
        <w:t>/</w:t>
      </w:r>
      <w:r>
        <w:rPr>
          <w:rFonts w:hint="eastAsia" w:ascii="方正仿宋_GBK" w:hAnsi="宋体" w:eastAsia="方正仿宋_GBK"/>
          <w:bCs/>
          <w:color w:val="000000"/>
          <w:szCs w:val="32"/>
        </w:rPr>
        <w:t>（</w:t>
      </w:r>
      <w:r>
        <w:rPr>
          <w:rFonts w:ascii="方正仿宋_GBK" w:hAnsi="宋体" w:eastAsia="方正仿宋_GBK"/>
          <w:bCs/>
          <w:color w:val="000000"/>
          <w:szCs w:val="32"/>
        </w:rPr>
        <w:t>5000+4000+3000+2000</w:t>
      </w:r>
      <w:r>
        <w:rPr>
          <w:rFonts w:hint="eastAsia" w:ascii="方正仿宋_GBK" w:hAnsi="宋体" w:eastAsia="方正仿宋_GBK"/>
          <w:bCs/>
          <w:color w:val="000000"/>
          <w:szCs w:val="32"/>
        </w:rPr>
        <w:t>）</w:t>
      </w:r>
      <w:r>
        <w:rPr>
          <w:rFonts w:ascii="方正仿宋_GBK" w:hAnsi="宋体" w:eastAsia="方正仿宋_GBK"/>
          <w:bCs/>
          <w:color w:val="000000"/>
          <w:szCs w:val="32"/>
        </w:rPr>
        <w:t>=94.29</w:t>
      </w:r>
    </w:p>
    <w:p>
      <w:pPr>
        <w:pStyle w:val="6"/>
        <w:snapToGrid w:val="0"/>
        <w:spacing w:line="600" w:lineRule="exact"/>
        <w:rPr>
          <w:rFonts w:ascii="方正仿宋_GBK" w:eastAsia="方正仿宋_GBK"/>
          <w:bCs/>
          <w:color w:val="000000"/>
          <w:szCs w:val="32"/>
        </w:rPr>
      </w:pPr>
      <w:r>
        <w:rPr>
          <w:rFonts w:hint="eastAsia" w:ascii="方正仿宋_GBK" w:eastAsia="方正仿宋_GBK"/>
          <w:bCs/>
          <w:color w:val="000000"/>
          <w:szCs w:val="32"/>
        </w:rPr>
        <w:t>（三）重庆市综合信用评价得分：</w:t>
      </w:r>
      <w:r>
        <w:rPr>
          <w:rFonts w:ascii="方正仿宋_GBK" w:eastAsia="方正仿宋_GBK"/>
          <w:bCs/>
          <w:color w:val="000000"/>
          <w:position w:val="-28"/>
          <w:szCs w:val="32"/>
        </w:rPr>
        <w:object>
          <v:shape id="_x0000_i1059" o:spt="75" type="#_x0000_t75" style="height:39pt;width:114pt;" o:ole="t" filled="f" o:preferrelative="t" stroked="f" coordsize="21600,21600">
            <v:path/>
            <v:fill on="f" focussize="0,0"/>
            <v:stroke on="f" joinstyle="miter"/>
            <v:imagedata r:id="rId64" o:title=""/>
            <o:lock v:ext="edit" aspectratio="t"/>
            <w10:wrap type="none"/>
            <w10:anchorlock/>
          </v:shape>
          <o:OLEObject Type="Embed" ProgID="Equation.DSMT4" ShapeID="_x0000_i1059" DrawAspect="Content" ObjectID="_1468075759" r:id="rId63">
            <o:LockedField>false</o:LockedField>
          </o:OLEObject>
        </w:object>
      </w:r>
    </w:p>
    <w:p>
      <w:pPr>
        <w:pStyle w:val="6"/>
        <w:snapToGrid w:val="0"/>
        <w:spacing w:line="600" w:lineRule="exact"/>
        <w:rPr>
          <w:rFonts w:ascii="方正仿宋_GBK" w:hAnsi="宋体" w:eastAsia="方正仿宋_GBK"/>
          <w:bCs/>
          <w:color w:val="000000"/>
          <w:szCs w:val="32"/>
        </w:rPr>
      </w:pPr>
      <w:r>
        <w:rPr>
          <w:rFonts w:hint="eastAsia" w:ascii="方正仿宋_GBK" w:hAnsi="宋体" w:eastAsia="方正仿宋_GBK"/>
          <w:bCs/>
          <w:color w:val="000000"/>
          <w:szCs w:val="32"/>
        </w:rPr>
        <w:t>其中，</w:t>
      </w:r>
      <w:r>
        <w:rPr>
          <w:rFonts w:ascii="方正仿宋_GBK" w:hAnsi="宋体" w:eastAsia="方正仿宋_GBK"/>
          <w:bCs/>
          <w:color w:val="000000"/>
          <w:szCs w:val="32"/>
        </w:rPr>
        <w:object>
          <v:shape id="_x0000_i1060" o:spt="75" type="#_x0000_t75" style="height:13.5pt;width:11.25pt;" o:ole="t" filled="f" o:preferrelative="t" stroked="f" coordsize="21600,21600">
            <v:path/>
            <v:fill on="f" focussize="0,0"/>
            <v:stroke on="f" joinstyle="miter"/>
            <v:imagedata r:id="rId66" o:title=""/>
            <o:lock v:ext="edit" aspectratio="t"/>
            <w10:wrap type="none"/>
            <w10:anchorlock/>
          </v:shape>
          <o:OLEObject Type="Embed" ProgID="Equation.3" ShapeID="_x0000_i1060" DrawAspect="Content" ObjectID="_1468075760" r:id="rId65">
            <o:LockedField>false</o:LockedField>
          </o:OLEObject>
        </w:object>
      </w:r>
      <w:r>
        <w:rPr>
          <w:rFonts w:hint="eastAsia" w:ascii="方正仿宋_GBK" w:hAnsi="宋体" w:eastAsia="方正仿宋_GBK"/>
          <w:bCs/>
          <w:color w:val="000000"/>
          <w:szCs w:val="32"/>
        </w:rPr>
        <w:t>为投标行为评价得分，</w:t>
      </w:r>
      <w:r>
        <w:rPr>
          <w:rFonts w:ascii="方正仿宋_GBK" w:hAnsi="宋体" w:eastAsia="方正仿宋_GBK"/>
          <w:bCs/>
          <w:color w:val="000000"/>
          <w:szCs w:val="32"/>
        </w:rPr>
        <w:object>
          <v:shape id="_x0000_i1061" o:spt="75" type="#_x0000_t75" style="height:13.5pt;width:11.25pt;" o:ole="t" filled="f" o:preferrelative="t" stroked="f" coordsize="21600,21600">
            <v:path/>
            <v:fill on="f" focussize="0,0"/>
            <v:stroke on="f" joinstyle="miter"/>
            <v:imagedata r:id="rId53" o:title=""/>
            <o:lock v:ext="edit" aspectratio="t"/>
            <w10:wrap type="none"/>
            <w10:anchorlock/>
          </v:shape>
          <o:OLEObject Type="Embed" ProgID="Equation.3" ShapeID="_x0000_i1061" DrawAspect="Content" ObjectID="_1468075761" r:id="rId67">
            <o:LockedField>false</o:LockedField>
          </o:OLEObject>
        </w:object>
      </w:r>
      <w:r>
        <w:rPr>
          <w:rFonts w:hint="eastAsia" w:ascii="方正仿宋_GBK" w:hAnsi="宋体" w:eastAsia="方正仿宋_GBK"/>
          <w:bCs/>
          <w:color w:val="000000"/>
          <w:szCs w:val="32"/>
        </w:rPr>
        <w:t>为履约行为评价得分，</w:t>
      </w:r>
      <w:r>
        <w:rPr>
          <w:rFonts w:ascii="方正仿宋_GBK" w:hAnsi="宋体" w:eastAsia="方正仿宋_GBK"/>
          <w:bCs/>
          <w:color w:val="000000"/>
          <w:position w:val="-12"/>
          <w:szCs w:val="32"/>
        </w:rPr>
        <w:object>
          <v:shape id="_x0000_i1062" o:spt="75" type="#_x0000_t75" style="height:18.75pt;width:14.25pt;" o:ole="t" filled="f" o:preferrelative="t" stroked="f" coordsize="21600,21600">
            <v:path/>
            <v:fill on="f" focussize="0,0"/>
            <v:stroke on="f" joinstyle="miter"/>
            <v:imagedata r:id="rId69" o:title=""/>
            <o:lock v:ext="edit" aspectratio="t"/>
            <w10:wrap type="none"/>
            <w10:anchorlock/>
          </v:shape>
          <o:OLEObject Type="Embed" ProgID="Equation.DSMT4" ShapeID="_x0000_i1062" DrawAspect="Content" ObjectID="_1468075762" r:id="rId68">
            <o:LockedField>false</o:LockedField>
          </o:OLEObject>
        </w:object>
      </w:r>
      <w:r>
        <w:rPr>
          <w:rFonts w:hint="eastAsia" w:ascii="方正仿宋_GBK" w:hAnsi="宋体" w:eastAsia="方正仿宋_GBK"/>
          <w:bCs/>
          <w:color w:val="000000"/>
          <w:szCs w:val="32"/>
        </w:rPr>
        <w:t>为其他行为对应扣分。</w:t>
      </w:r>
      <w:r>
        <w:rPr>
          <w:rFonts w:ascii="方正仿宋_GBK" w:hAnsi="宋体" w:eastAsia="方正仿宋_GBK"/>
          <w:bCs/>
          <w:color w:val="000000"/>
          <w:position w:val="-6"/>
          <w:szCs w:val="32"/>
        </w:rPr>
        <w:object>
          <v:shape id="_x0000_i1063" o:spt="75" type="#_x0000_t75" style="height:11.25pt;width:10.5pt;" o:ole="t" filled="f" o:preferrelative="t" stroked="f" coordsize="21600,21600">
            <v:path/>
            <v:fill on="f" focussize="0,0"/>
            <v:stroke on="f" joinstyle="miter"/>
            <v:imagedata r:id="rId71" o:title=""/>
            <o:lock v:ext="edit" aspectratio="t"/>
            <w10:wrap type="none"/>
            <w10:anchorlock/>
          </v:shape>
          <o:OLEObject Type="Embed" ProgID="Equation.DSMT4" ShapeID="_x0000_i1063" DrawAspect="Content" ObjectID="_1468075763" r:id="rId70">
            <o:LockedField>false</o:LockedField>
          </o:OLEObject>
        </w:object>
      </w:r>
      <w:r>
        <w:rPr>
          <w:rFonts w:hint="eastAsia" w:ascii="方正仿宋_GBK" w:hAnsi="宋体" w:eastAsia="方正仿宋_GBK"/>
          <w:bCs/>
          <w:color w:val="000000"/>
          <w:szCs w:val="32"/>
        </w:rPr>
        <w:t>、</w:t>
      </w:r>
      <w:r>
        <w:rPr>
          <w:rFonts w:ascii="方正仿宋_GBK" w:hAnsi="宋体" w:eastAsia="方正仿宋_GBK"/>
          <w:bCs/>
          <w:color w:val="000000"/>
          <w:position w:val="-6"/>
          <w:szCs w:val="32"/>
        </w:rPr>
        <w:object>
          <v:shape id="_x0000_i1064" o:spt="75" type="#_x0000_t75" style="height:14.25pt;width:10.5pt;" o:ole="t" filled="f" o:preferrelative="t" stroked="f" coordsize="21600,21600">
            <v:path/>
            <v:fill on="f" focussize="0,0"/>
            <v:stroke on="f" joinstyle="miter"/>
            <v:imagedata r:id="rId73" o:title=""/>
            <o:lock v:ext="edit" aspectratio="t"/>
            <w10:wrap type="none"/>
            <w10:anchorlock/>
          </v:shape>
          <o:OLEObject Type="Embed" ProgID="Equation.DSMT4" ShapeID="_x0000_i1064" DrawAspect="Content" ObjectID="_1468075764" r:id="rId72">
            <o:LockedField>false</o:LockedField>
          </o:OLEObject>
        </w:object>
      </w:r>
      <w:r>
        <w:rPr>
          <w:rFonts w:hint="eastAsia" w:ascii="方正仿宋_GBK" w:hAnsi="宋体" w:eastAsia="方正仿宋_GBK"/>
          <w:bCs/>
          <w:color w:val="000000"/>
          <w:szCs w:val="32"/>
        </w:rPr>
        <w:t>为评分系数，按照下列原则确定：</w:t>
      </w:r>
    </w:p>
    <w:p>
      <w:pPr>
        <w:pStyle w:val="6"/>
        <w:snapToGrid w:val="0"/>
        <w:spacing w:line="600" w:lineRule="exact"/>
        <w:ind w:firstLineChars="0"/>
        <w:rPr>
          <w:rFonts w:ascii="方正仿宋_GBK" w:hAnsi="宋体" w:eastAsia="方正仿宋_GBK"/>
          <w:bCs/>
          <w:color w:val="000000"/>
          <w:szCs w:val="32"/>
        </w:rPr>
      </w:pPr>
      <w:r>
        <w:rPr>
          <w:rFonts w:hint="eastAsia" w:ascii="Times New Roman" w:eastAsia="方正仿宋_GBK"/>
          <w:bCs/>
          <w:color w:val="000000"/>
          <w:szCs w:val="32"/>
        </w:rPr>
        <w:t>１．</w:t>
      </w:r>
      <w:r>
        <w:rPr>
          <w:rFonts w:hint="eastAsia" w:ascii="方正仿宋_GBK" w:hAnsi="宋体" w:eastAsia="方正仿宋_GBK"/>
          <w:bCs/>
          <w:color w:val="000000"/>
          <w:szCs w:val="32"/>
        </w:rPr>
        <w:t>当评价周期内在重庆市只存在投标行为的，投标行为评价得分</w:t>
      </w:r>
      <w:r>
        <w:rPr>
          <w:rFonts w:ascii="方正仿宋_GBK" w:hAnsi="宋体" w:eastAsia="方正仿宋_GBK"/>
          <w:bCs/>
          <w:color w:val="000000"/>
          <w:position w:val="-4"/>
          <w:szCs w:val="32"/>
        </w:rPr>
        <w:object>
          <v:shape id="_x0000_i1065" o:spt="75" type="#_x0000_t75" style="height:12.75pt;width:10.5pt;" o:ole="t" filled="f" o:preferrelative="t" stroked="f" coordsize="21600,21600">
            <v:path/>
            <v:fill on="f" focussize="0,0"/>
            <v:stroke on="f" joinstyle="miter"/>
            <v:imagedata r:id="rId75" o:title=""/>
            <o:lock v:ext="edit" aspectratio="t"/>
            <w10:wrap type="none"/>
            <w10:anchorlock/>
          </v:shape>
          <o:OLEObject Type="Embed" ProgID="Equation.3" ShapeID="_x0000_i1065" DrawAspect="Content" ObjectID="_1468075765" r:id="rId74">
            <o:LockedField>false</o:LockedField>
          </o:OLEObject>
        </w:object>
      </w:r>
      <w:r>
        <w:rPr>
          <w:rFonts w:hint="eastAsia" w:ascii="方正仿宋_GBK" w:hAnsi="宋体" w:eastAsia="方正仿宋_GBK"/>
          <w:bCs/>
          <w:color w:val="000000"/>
          <w:szCs w:val="32"/>
        </w:rPr>
        <w:t>﹥</w:t>
      </w:r>
      <w:r>
        <w:rPr>
          <w:rFonts w:ascii="方正仿宋_GBK" w:hAnsi="宋体" w:eastAsia="方正仿宋_GBK"/>
          <w:bCs/>
          <w:color w:val="000000"/>
          <w:szCs w:val="32"/>
        </w:rPr>
        <w:t>8</w:t>
      </w:r>
      <w:r>
        <w:rPr>
          <w:rFonts w:hint="eastAsia" w:ascii="方正仿宋_GBK" w:hAnsi="宋体" w:eastAsia="方正仿宋_GBK"/>
          <w:bCs/>
          <w:color w:val="000000"/>
          <w:szCs w:val="32"/>
        </w:rPr>
        <w:t>0时，不对其进行综合信用评价；投标行为评价得分</w:t>
      </w:r>
      <w:r>
        <w:rPr>
          <w:rFonts w:ascii="方正仿宋_GBK" w:hAnsi="宋体" w:eastAsia="方正仿宋_GBK"/>
          <w:bCs/>
          <w:color w:val="000000"/>
          <w:szCs w:val="32"/>
        </w:rPr>
        <w:object>
          <v:shape id="_x0000_i1066" o:spt="75" type="#_x0000_t75" style="height:13.5pt;width:11.25pt;" o:ole="t" filled="f" o:preferrelative="t" stroked="f" coordsize="21600,21600">
            <v:path/>
            <v:fill on="f" focussize="0,0"/>
            <v:stroke on="f" joinstyle="miter"/>
            <v:imagedata r:id="rId66" o:title=""/>
            <o:lock v:ext="edit" aspectratio="t"/>
            <w10:wrap type="none"/>
            <w10:anchorlock/>
          </v:shape>
          <o:OLEObject Type="Embed" ProgID="Equation.3" ShapeID="_x0000_i1066" DrawAspect="Content" ObjectID="_1468075766" r:id="rId76">
            <o:LockedField>false</o:LockedField>
          </o:OLEObject>
        </w:object>
      </w:r>
      <w:r>
        <w:rPr>
          <w:rFonts w:hint="eastAsia" w:ascii="方正仿宋_GBK" w:hAnsi="宋体" w:eastAsia="方正仿宋_GBK"/>
          <w:bCs/>
          <w:color w:val="000000"/>
          <w:szCs w:val="32"/>
        </w:rPr>
        <w:t>≤</w:t>
      </w:r>
      <w:r>
        <w:rPr>
          <w:rFonts w:ascii="方正仿宋_GBK" w:hAnsi="宋体" w:eastAsia="方正仿宋_GBK"/>
          <w:bCs/>
          <w:color w:val="000000"/>
          <w:szCs w:val="32"/>
        </w:rPr>
        <w:t>8</w:t>
      </w:r>
      <w:r>
        <w:rPr>
          <w:rFonts w:hint="eastAsia" w:ascii="方正仿宋_GBK" w:hAnsi="宋体" w:eastAsia="方正仿宋_GBK"/>
          <w:bCs/>
          <w:color w:val="000000"/>
          <w:szCs w:val="32"/>
        </w:rPr>
        <w:t>0时，</w:t>
      </w:r>
      <w:r>
        <w:rPr>
          <w:rFonts w:ascii="方正仿宋_GBK" w:hAnsi="宋体" w:eastAsia="方正仿宋_GBK"/>
          <w:bCs/>
          <w:color w:val="000000"/>
          <w:position w:val="-6"/>
          <w:szCs w:val="32"/>
        </w:rPr>
        <w:object>
          <v:shape id="_x0000_i1067" o:spt="75" type="#_x0000_t75" style="height:11.25pt;width:10.5pt;" o:ole="t" filled="f" o:preferrelative="t" stroked="f" coordsize="21600,21600">
            <v:path/>
            <v:fill on="f" focussize="0,0"/>
            <v:stroke on="f" joinstyle="miter"/>
            <v:imagedata r:id="rId71" o:title=""/>
            <o:lock v:ext="edit" aspectratio="t"/>
            <w10:wrap type="none"/>
            <w10:anchorlock/>
          </v:shape>
          <o:OLEObject Type="Embed" ProgID="Equation.DSMT4" ShapeID="_x0000_i1067" DrawAspect="Content" ObjectID="_1468075767" r:id="rId77">
            <o:LockedField>false</o:LockedField>
          </o:OLEObject>
        </w:object>
      </w:r>
      <w:r>
        <w:rPr>
          <w:rFonts w:ascii="方正仿宋_GBK" w:hAnsi="宋体" w:eastAsia="方正仿宋_GBK"/>
          <w:bCs/>
          <w:color w:val="000000"/>
          <w:szCs w:val="32"/>
        </w:rPr>
        <w:t>=1</w:t>
      </w:r>
      <w:r>
        <w:rPr>
          <w:rFonts w:hint="eastAsia" w:ascii="方正仿宋_GBK" w:hAnsi="宋体" w:eastAsia="方正仿宋_GBK"/>
          <w:bCs/>
          <w:color w:val="000000"/>
          <w:szCs w:val="32"/>
        </w:rPr>
        <w:t>，</w:t>
      </w:r>
      <w:r>
        <w:rPr>
          <w:rFonts w:ascii="方正仿宋_GBK" w:hAnsi="宋体" w:eastAsia="方正仿宋_GBK"/>
          <w:bCs/>
          <w:color w:val="000000"/>
          <w:position w:val="-6"/>
          <w:szCs w:val="32"/>
        </w:rPr>
        <w:object>
          <v:shape id="_x0000_i1068" o:spt="75" type="#_x0000_t75" style="height:14.25pt;width:10.5pt;" o:ole="t" filled="f" o:preferrelative="t" stroked="f" coordsize="21600,21600">
            <v:path/>
            <v:fill on="f" focussize="0,0"/>
            <v:stroke on="f" joinstyle="miter"/>
            <v:imagedata r:id="rId73" o:title=""/>
            <o:lock v:ext="edit" aspectratio="t"/>
            <w10:wrap type="none"/>
            <w10:anchorlock/>
          </v:shape>
          <o:OLEObject Type="Embed" ProgID="Equation.DSMT4" ShapeID="_x0000_i1068" DrawAspect="Content" ObjectID="_1468075768" r:id="rId78">
            <o:LockedField>false</o:LockedField>
          </o:OLEObject>
        </w:object>
      </w:r>
      <w:r>
        <w:rPr>
          <w:rFonts w:ascii="方正仿宋_GBK" w:hAnsi="宋体" w:eastAsia="方正仿宋_GBK"/>
          <w:bCs/>
          <w:color w:val="000000"/>
          <w:szCs w:val="32"/>
        </w:rPr>
        <w:t>=0</w:t>
      </w:r>
      <w:r>
        <w:rPr>
          <w:rFonts w:hint="eastAsia" w:ascii="方正仿宋_GBK" w:hAnsi="宋体" w:eastAsia="方正仿宋_GBK"/>
          <w:bCs/>
          <w:color w:val="000000"/>
          <w:szCs w:val="32"/>
        </w:rPr>
        <w:t>。</w:t>
      </w:r>
    </w:p>
    <w:p>
      <w:pPr>
        <w:pStyle w:val="6"/>
        <w:snapToGrid w:val="0"/>
        <w:spacing w:line="600" w:lineRule="exact"/>
        <w:ind w:left="480" w:firstLine="0" w:firstLineChars="0"/>
        <w:rPr>
          <w:color w:val="000000"/>
          <w:szCs w:val="32"/>
        </w:rPr>
      </w:pPr>
      <w:r>
        <w:rPr>
          <w:rFonts w:hint="eastAsia" w:ascii="Times New Roman" w:eastAsia="方正仿宋_GBK"/>
          <w:bCs/>
          <w:color w:val="000000"/>
          <w:szCs w:val="32"/>
        </w:rPr>
        <w:t>２．</w:t>
      </w:r>
      <w:r>
        <w:rPr>
          <w:rFonts w:hint="eastAsia" w:ascii="方正仿宋_GBK" w:hAnsi="宋体" w:eastAsia="方正仿宋_GBK"/>
          <w:bCs/>
          <w:color w:val="000000"/>
          <w:szCs w:val="32"/>
        </w:rPr>
        <w:t>当只存在履约行为评价时，</w:t>
      </w:r>
      <w:r>
        <w:rPr>
          <w:rFonts w:ascii="方正仿宋_GBK" w:hAnsi="宋体" w:eastAsia="方正仿宋_GBK"/>
          <w:bCs/>
          <w:color w:val="000000"/>
          <w:position w:val="-6"/>
          <w:szCs w:val="32"/>
        </w:rPr>
        <w:object>
          <v:shape id="_x0000_i1069" o:spt="75" type="#_x0000_t75" style="height:11.25pt;width:10.5pt;" o:ole="t" filled="f" o:preferrelative="t" stroked="f" coordsize="21600,21600">
            <v:path/>
            <v:fill on="f" focussize="0,0"/>
            <v:stroke on="f" joinstyle="miter"/>
            <v:imagedata r:id="rId71" o:title=""/>
            <o:lock v:ext="edit" aspectratio="t"/>
            <w10:wrap type="none"/>
            <w10:anchorlock/>
          </v:shape>
          <o:OLEObject Type="Embed" ProgID="Equation.DSMT4" ShapeID="_x0000_i1069" DrawAspect="Content" ObjectID="_1468075769" r:id="rId79">
            <o:LockedField>false</o:LockedField>
          </o:OLEObject>
        </w:object>
      </w:r>
      <w:r>
        <w:rPr>
          <w:rFonts w:ascii="方正仿宋_GBK" w:hAnsi="宋体" w:eastAsia="方正仿宋_GBK"/>
          <w:bCs/>
          <w:color w:val="000000"/>
          <w:szCs w:val="32"/>
        </w:rPr>
        <w:t>=0</w:t>
      </w:r>
      <w:r>
        <w:rPr>
          <w:rFonts w:hint="eastAsia" w:ascii="方正仿宋_GBK" w:hAnsi="宋体" w:eastAsia="方正仿宋_GBK"/>
          <w:bCs/>
          <w:color w:val="000000"/>
          <w:szCs w:val="32"/>
        </w:rPr>
        <w:t>，</w:t>
      </w:r>
      <w:r>
        <w:rPr>
          <w:rFonts w:ascii="方正仿宋_GBK" w:hAnsi="宋体" w:eastAsia="方正仿宋_GBK"/>
          <w:bCs/>
          <w:color w:val="000000"/>
          <w:position w:val="-6"/>
          <w:szCs w:val="32"/>
        </w:rPr>
        <w:object>
          <v:shape id="_x0000_i1070" o:spt="75" type="#_x0000_t75" style="height:14.25pt;width:10.5pt;" o:ole="t" filled="f" o:preferrelative="t" stroked="f" coordsize="21600,21600">
            <v:path/>
            <v:fill on="f" focussize="0,0"/>
            <v:stroke on="f" joinstyle="miter"/>
            <v:imagedata r:id="rId73" o:title=""/>
            <o:lock v:ext="edit" aspectratio="t"/>
            <w10:wrap type="none"/>
            <w10:anchorlock/>
          </v:shape>
          <o:OLEObject Type="Embed" ProgID="Equation.DSMT4" ShapeID="_x0000_i1070" DrawAspect="Content" ObjectID="_1468075770" r:id="rId80">
            <o:LockedField>false</o:LockedField>
          </o:OLEObject>
        </w:object>
      </w:r>
      <w:r>
        <w:rPr>
          <w:rFonts w:ascii="方正仿宋_GBK" w:hAnsi="宋体" w:eastAsia="方正仿宋_GBK"/>
          <w:bCs/>
          <w:color w:val="000000"/>
          <w:szCs w:val="32"/>
        </w:rPr>
        <w:t>=1</w:t>
      </w:r>
      <w:r>
        <w:rPr>
          <w:rFonts w:hint="eastAsia" w:ascii="方正仿宋_GBK" w:hAnsi="宋体" w:eastAsia="方正仿宋_GBK"/>
          <w:bCs/>
          <w:color w:val="000000"/>
          <w:szCs w:val="32"/>
        </w:rPr>
        <w:t>；</w:t>
      </w:r>
    </w:p>
    <w:p>
      <w:pPr>
        <w:pStyle w:val="6"/>
        <w:snapToGrid w:val="0"/>
        <w:spacing w:line="600" w:lineRule="exact"/>
        <w:ind w:left="480" w:firstLine="0" w:firstLineChars="0"/>
        <w:rPr>
          <w:color w:val="000000"/>
          <w:szCs w:val="32"/>
        </w:rPr>
      </w:pPr>
      <w:r>
        <w:rPr>
          <w:rFonts w:hint="eastAsia" w:ascii="Times New Roman" w:eastAsia="方正仿宋_GBK"/>
          <w:bCs/>
          <w:color w:val="000000"/>
          <w:szCs w:val="32"/>
        </w:rPr>
        <w:t>３．</w:t>
      </w:r>
      <w:r>
        <w:rPr>
          <w:rFonts w:hint="eastAsia" w:ascii="方正仿宋_GBK" w:hAnsi="宋体" w:eastAsia="方正仿宋_GBK"/>
          <w:bCs/>
          <w:color w:val="000000"/>
          <w:szCs w:val="32"/>
        </w:rPr>
        <w:t>当同时存在投标行为评价和履约行为评价时，</w:t>
      </w:r>
      <w:r>
        <w:rPr>
          <w:rFonts w:ascii="方正仿宋_GBK" w:hAnsi="宋体" w:eastAsia="方正仿宋_GBK"/>
          <w:bCs/>
          <w:color w:val="000000"/>
          <w:position w:val="-6"/>
          <w:szCs w:val="32"/>
        </w:rPr>
        <w:object>
          <v:shape id="_x0000_i1071" o:spt="75" type="#_x0000_t75" style="height:11.25pt;width:10.5pt;" o:ole="t" filled="f" o:preferrelative="t" stroked="f" coordsize="21600,21600">
            <v:path/>
            <v:fill on="f" focussize="0,0"/>
            <v:stroke on="f" joinstyle="miter"/>
            <v:imagedata r:id="rId71" o:title=""/>
            <o:lock v:ext="edit" aspectratio="t"/>
            <w10:wrap type="none"/>
            <w10:anchorlock/>
          </v:shape>
          <o:OLEObject Type="Embed" ProgID="Equation.DSMT4" ShapeID="_x0000_i1071" DrawAspect="Content" ObjectID="_1468075771" r:id="rId81">
            <o:LockedField>false</o:LockedField>
          </o:OLEObject>
        </w:object>
      </w:r>
      <w:r>
        <w:rPr>
          <w:rFonts w:ascii="方正仿宋_GBK" w:hAnsi="宋体" w:eastAsia="方正仿宋_GBK"/>
          <w:bCs/>
          <w:color w:val="000000"/>
          <w:szCs w:val="32"/>
        </w:rPr>
        <w:t>=0.2</w:t>
      </w:r>
      <w:r>
        <w:rPr>
          <w:rFonts w:hint="eastAsia" w:ascii="方正仿宋_GBK" w:hAnsi="宋体" w:eastAsia="方正仿宋_GBK"/>
          <w:bCs/>
          <w:color w:val="000000"/>
          <w:szCs w:val="32"/>
        </w:rPr>
        <w:t>，</w:t>
      </w:r>
    </w:p>
    <w:p>
      <w:pPr>
        <w:pStyle w:val="6"/>
        <w:snapToGrid w:val="0"/>
        <w:spacing w:line="600" w:lineRule="exact"/>
        <w:ind w:firstLine="0" w:firstLineChars="0"/>
        <w:rPr>
          <w:rFonts w:ascii="方正仿宋_GBK" w:hAnsi="宋体" w:eastAsia="方正仿宋_GBK"/>
          <w:bCs/>
          <w:color w:val="000000"/>
          <w:szCs w:val="32"/>
        </w:rPr>
      </w:pPr>
      <w:r>
        <w:rPr>
          <w:rFonts w:ascii="方正仿宋_GBK" w:hAnsi="宋体" w:eastAsia="方正仿宋_GBK"/>
          <w:bCs/>
          <w:color w:val="000000"/>
          <w:position w:val="-6"/>
          <w:szCs w:val="32"/>
        </w:rPr>
        <w:object>
          <v:shape id="_x0000_i1072" o:spt="75" type="#_x0000_t75" style="height:14.25pt;width:10.5pt;" o:ole="t" filled="f" o:preferrelative="t" stroked="f" coordsize="21600,21600">
            <v:path/>
            <v:fill on="f" focussize="0,0"/>
            <v:stroke on="f" joinstyle="miter"/>
            <v:imagedata r:id="rId73" o:title=""/>
            <o:lock v:ext="edit" aspectratio="t"/>
            <w10:wrap type="none"/>
            <w10:anchorlock/>
          </v:shape>
          <o:OLEObject Type="Embed" ProgID="Equation.DSMT4" ShapeID="_x0000_i1072" DrawAspect="Content" ObjectID="_1468075772" r:id="rId82">
            <o:LockedField>false</o:LockedField>
          </o:OLEObject>
        </w:object>
      </w:r>
      <w:r>
        <w:rPr>
          <w:rFonts w:ascii="方正仿宋_GBK" w:hAnsi="宋体" w:eastAsia="方正仿宋_GBK"/>
          <w:bCs/>
          <w:color w:val="000000"/>
          <w:szCs w:val="32"/>
        </w:rPr>
        <w:t>=0.8</w:t>
      </w:r>
      <w:r>
        <w:rPr>
          <w:rFonts w:hint="eastAsia" w:ascii="方正仿宋_GBK" w:hAnsi="宋体" w:eastAsia="方正仿宋_GBK"/>
          <w:bCs/>
          <w:color w:val="000000"/>
          <w:szCs w:val="32"/>
        </w:rPr>
        <w:t>。</w:t>
      </w:r>
    </w:p>
    <w:p>
      <w:pPr>
        <w:pStyle w:val="14"/>
        <w:spacing w:line="500" w:lineRule="atLeast"/>
        <w:rPr>
          <w:rFonts w:ascii="方正黑体_GBK" w:eastAsia="方正黑体_GBK"/>
          <w:color w:val="000000"/>
          <w:sz w:val="32"/>
        </w:rPr>
      </w:pPr>
      <w:r>
        <w:rPr>
          <w:rFonts w:hint="eastAsia" w:ascii="方正黑体_GBK" w:eastAsia="方正黑体_GBK"/>
          <w:color w:val="000000"/>
          <w:sz w:val="32"/>
        </w:rPr>
        <w:t>附件2</w:t>
      </w:r>
    </w:p>
    <w:p>
      <w:pPr>
        <w:pStyle w:val="14"/>
        <w:spacing w:line="500" w:lineRule="atLeast"/>
        <w:rPr>
          <w:rFonts w:ascii="方正仿宋_GBK" w:eastAsia="方正仿宋_GBK"/>
          <w:color w:val="000000"/>
        </w:rPr>
      </w:pPr>
    </w:p>
    <w:p>
      <w:pPr>
        <w:pStyle w:val="14"/>
        <w:spacing w:line="500" w:lineRule="atLeast"/>
        <w:jc w:val="center"/>
        <w:rPr>
          <w:rFonts w:ascii="方正小标宋_GBK" w:eastAsia="方正小标宋_GBK"/>
          <w:color w:val="000000"/>
          <w:spacing w:val="-10"/>
          <w:sz w:val="44"/>
          <w:szCs w:val="44"/>
        </w:rPr>
      </w:pPr>
      <w:r>
        <w:rPr>
          <w:rFonts w:hint="eastAsia" w:ascii="方正小标宋_GBK" w:eastAsia="方正小标宋_GBK"/>
          <w:color w:val="000000"/>
          <w:spacing w:val="-10"/>
          <w:sz w:val="44"/>
          <w:szCs w:val="44"/>
        </w:rPr>
        <w:t>重庆市公路建设市场从业人员信用行为评定标准</w:t>
      </w:r>
    </w:p>
    <w:p>
      <w:pPr>
        <w:pStyle w:val="14"/>
        <w:spacing w:line="500" w:lineRule="atLeast"/>
        <w:jc w:val="center"/>
        <w:rPr>
          <w:rFonts w:ascii="方正小标宋_GBK" w:eastAsia="方正小标宋_GBK"/>
          <w:color w:val="000000"/>
          <w:spacing w:val="-10"/>
          <w:sz w:val="44"/>
          <w:szCs w:val="44"/>
        </w:rPr>
      </w:pPr>
    </w:p>
    <w:tbl>
      <w:tblPr>
        <w:tblStyle w:val="10"/>
        <w:tblW w:w="9163" w:type="dxa"/>
        <w:jc w:val="center"/>
        <w:tblLayout w:type="fixed"/>
        <w:tblCellMar>
          <w:top w:w="0" w:type="dxa"/>
          <w:left w:w="108" w:type="dxa"/>
          <w:bottom w:w="0" w:type="dxa"/>
          <w:right w:w="108" w:type="dxa"/>
        </w:tblCellMar>
      </w:tblPr>
      <w:tblGrid>
        <w:gridCol w:w="847"/>
        <w:gridCol w:w="1030"/>
        <w:gridCol w:w="1100"/>
        <w:gridCol w:w="2703"/>
        <w:gridCol w:w="1539"/>
        <w:gridCol w:w="1944"/>
      </w:tblGrid>
      <w:tr>
        <w:tblPrEx>
          <w:tblCellMar>
            <w:top w:w="0" w:type="dxa"/>
            <w:left w:w="108" w:type="dxa"/>
            <w:bottom w:w="0" w:type="dxa"/>
            <w:right w:w="108" w:type="dxa"/>
          </w:tblCellMar>
        </w:tblPrEx>
        <w:trPr>
          <w:trHeight w:val="542" w:hRule="atLeast"/>
          <w:tblHeader/>
          <w:jc w:val="center"/>
        </w:trPr>
        <w:tc>
          <w:tcPr>
            <w:tcW w:w="1877" w:type="dxa"/>
            <w:gridSpan w:val="2"/>
            <w:tcBorders>
              <w:top w:val="single" w:color="000000" w:sz="4" w:space="0"/>
              <w:left w:val="single" w:color="000000" w:sz="4" w:space="0"/>
              <w:bottom w:val="single" w:color="000000" w:sz="4" w:space="0"/>
              <w:right w:val="single" w:color="000000" w:sz="4" w:space="0"/>
            </w:tcBorders>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评定内容</w:t>
            </w: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w:t>
            </w:r>
          </w:p>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代码</w:t>
            </w:r>
          </w:p>
        </w:tc>
        <w:tc>
          <w:tcPr>
            <w:tcW w:w="2703"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不良行为</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行为等级和</w:t>
            </w:r>
          </w:p>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扣分标准</w:t>
            </w:r>
          </w:p>
        </w:tc>
        <w:tc>
          <w:tcPr>
            <w:tcW w:w="1944"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备注</w:t>
            </w:r>
          </w:p>
        </w:tc>
      </w:tr>
      <w:tr>
        <w:tblPrEx>
          <w:tblCellMar>
            <w:top w:w="0" w:type="dxa"/>
            <w:left w:w="108" w:type="dxa"/>
            <w:bottom w:w="0" w:type="dxa"/>
            <w:right w:w="108" w:type="dxa"/>
          </w:tblCellMar>
        </w:tblPrEx>
        <w:trPr>
          <w:trHeight w:val="847" w:hRule="atLeast"/>
          <w:jc w:val="center"/>
        </w:trPr>
        <w:tc>
          <w:tcPr>
            <w:tcW w:w="847" w:type="dxa"/>
            <w:vMerge w:val="restart"/>
            <w:tcBorders>
              <w:top w:val="nil"/>
              <w:left w:val="single" w:color="000000" w:sz="4" w:space="0"/>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履约行为（行为代码GLRY2）</w:t>
            </w:r>
          </w:p>
        </w:tc>
        <w:tc>
          <w:tcPr>
            <w:tcW w:w="1030"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较重或严重失信行为（行为代码GLRY2-1）</w:t>
            </w: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GLRY2-1-1</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在较大及以上质量事故、安全生产责任事故或者环境事件中负有责任的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690"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GLRY2-1-2</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使用虚假执业资格证书或者虚假身份证的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700"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GLRY2-1-3</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出具虚假数据、文件和报告，并造成质量标准降低的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696"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GLRY2-1-4</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信用评价为D级的从业人员继续从业的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D级延期一年</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993"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GLRY2-1-5</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信用评价为C级的人员从事主要岗位的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993"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GLRY2-1-6</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在一般质量事故、安全生产责任事故或者环境事件中负有责任的</w:t>
            </w:r>
          </w:p>
        </w:tc>
        <w:tc>
          <w:tcPr>
            <w:tcW w:w="153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2"/>
                <w:szCs w:val="36"/>
              </w:rPr>
            </w:pPr>
            <w:r>
              <w:rPr>
                <w:rFonts w:hint="eastAsia" w:ascii="方正仿宋_GBK" w:hAnsi="方正仿宋_GBK" w:eastAsia="方正仿宋_GBK" w:cs="方正仿宋_GBK"/>
                <w:bCs/>
                <w:color w:val="000000"/>
                <w:sz w:val="20"/>
                <w:szCs w:val="20"/>
              </w:rPr>
              <w:t>直接定为C级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696"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GLRY2-1-7</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使用虚假职称证书或者学历证书的</w:t>
            </w:r>
          </w:p>
        </w:tc>
        <w:tc>
          <w:tcPr>
            <w:tcW w:w="153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2"/>
                <w:szCs w:val="36"/>
              </w:rPr>
            </w:pPr>
            <w:r>
              <w:rPr>
                <w:rFonts w:hint="eastAsia" w:ascii="方正仿宋_GBK" w:hAnsi="方正仿宋_GBK" w:eastAsia="方正仿宋_GBK" w:cs="方正仿宋_GBK"/>
                <w:bCs/>
                <w:color w:val="000000"/>
                <w:sz w:val="20"/>
                <w:szCs w:val="20"/>
              </w:rPr>
              <w:t>直接定为C级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691"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GLRY2-1-8</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利用工作之便推销建筑材料、构配件和设备等的</w:t>
            </w:r>
          </w:p>
        </w:tc>
        <w:tc>
          <w:tcPr>
            <w:tcW w:w="153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2"/>
                <w:szCs w:val="36"/>
              </w:rPr>
            </w:pPr>
            <w:r>
              <w:rPr>
                <w:rFonts w:hint="eastAsia" w:ascii="方正仿宋_GBK" w:hAnsi="方正仿宋_GBK" w:eastAsia="方正仿宋_GBK" w:cs="方正仿宋_GBK"/>
                <w:bCs/>
                <w:color w:val="000000"/>
                <w:sz w:val="20"/>
                <w:szCs w:val="20"/>
              </w:rPr>
              <w:t>直接定为C级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701"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GLRY2-1-9</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工作中，有徇私舞弊、吃拿卡要等行为的</w:t>
            </w:r>
          </w:p>
        </w:tc>
        <w:tc>
          <w:tcPr>
            <w:tcW w:w="153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2"/>
                <w:szCs w:val="36"/>
              </w:rPr>
            </w:pPr>
            <w:r>
              <w:rPr>
                <w:rFonts w:hint="eastAsia" w:ascii="方正仿宋_GBK" w:hAnsi="方正仿宋_GBK" w:eastAsia="方正仿宋_GBK" w:cs="方正仿宋_GBK"/>
                <w:bCs/>
                <w:color w:val="000000"/>
                <w:sz w:val="20"/>
                <w:szCs w:val="20"/>
              </w:rPr>
              <w:t>直接定为C级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825"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其他失信行为（行为代码GLRY2-2）</w:t>
            </w: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GLRY2-2-1</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存在质量安全违法行为，受到行政处罚或者行政处理的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15分/次</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707"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GLRY2-2-2</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因质量问题被举报，经调查属实的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987"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GLRY2-2-3</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存在造假行为的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944" w:type="dxa"/>
            <w:tcBorders>
              <w:top w:val="single" w:color="000000" w:sz="4" w:space="0"/>
              <w:left w:val="nil"/>
              <w:bottom w:val="single" w:color="000000" w:sz="4" w:space="0"/>
              <w:right w:val="single" w:color="000000" w:sz="4" w:space="0"/>
            </w:tcBorders>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编造、伪造工程资料、试验资料或者监理资料等相关资料，以及在从业登记和业绩登记中提供虚假资料。</w:t>
            </w:r>
          </w:p>
        </w:tc>
      </w:tr>
      <w:tr>
        <w:tblPrEx>
          <w:tblCellMar>
            <w:top w:w="0" w:type="dxa"/>
            <w:left w:w="108" w:type="dxa"/>
            <w:bottom w:w="0" w:type="dxa"/>
            <w:right w:w="108" w:type="dxa"/>
          </w:tblCellMar>
        </w:tblPrEx>
        <w:trPr>
          <w:trHeight w:val="778" w:hRule="atLeast"/>
          <w:jc w:val="center"/>
        </w:trPr>
        <w:tc>
          <w:tcPr>
            <w:tcW w:w="847" w:type="dxa"/>
            <w:vMerge w:val="restart"/>
            <w:tcBorders>
              <w:top w:val="nil"/>
              <w:left w:val="single" w:color="000000" w:sz="4" w:space="0"/>
              <w:bottom w:val="single" w:color="000000" w:sz="4" w:space="0"/>
              <w:right w:val="single" w:color="000000" w:sz="4" w:space="0"/>
            </w:tcBorders>
            <w:vAlign w:val="center"/>
          </w:tcPr>
          <w:p>
            <w:pPr>
              <w:pStyle w:val="14"/>
              <w:spacing w:line="76"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其他行为（行为代码GLRY3）</w:t>
            </w:r>
          </w:p>
        </w:tc>
        <w:tc>
          <w:tcPr>
            <w:tcW w:w="1030" w:type="dxa"/>
            <w:vMerge w:val="restart"/>
            <w:tcBorders>
              <w:top w:val="nil"/>
              <w:left w:val="nil"/>
              <w:bottom w:val="single" w:color="000000" w:sz="4" w:space="0"/>
              <w:right w:val="single" w:color="000000" w:sz="4" w:space="0"/>
            </w:tcBorders>
            <w:vAlign w:val="center"/>
          </w:tcPr>
          <w:p>
            <w:pPr>
              <w:pStyle w:val="14"/>
              <w:spacing w:line="76"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较重或严重失信行为（行为代码GLRY3-1）</w:t>
            </w:r>
          </w:p>
        </w:tc>
        <w:tc>
          <w:tcPr>
            <w:tcW w:w="1100" w:type="dxa"/>
            <w:tcBorders>
              <w:top w:val="single" w:color="000000" w:sz="4" w:space="0"/>
              <w:left w:val="nil"/>
              <w:bottom w:val="single" w:color="000000" w:sz="4" w:space="0"/>
              <w:right w:val="single" w:color="000000" w:sz="4" w:space="0"/>
            </w:tcBorders>
            <w:vAlign w:val="center"/>
          </w:tcPr>
          <w:p>
            <w:pPr>
              <w:pStyle w:val="14"/>
              <w:spacing w:line="76"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GLRY3-1-1</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从业过程中，被司法机关认定构成犯罪的</w:t>
            </w:r>
          </w:p>
        </w:tc>
        <w:tc>
          <w:tcPr>
            <w:tcW w:w="1539" w:type="dxa"/>
            <w:tcBorders>
              <w:top w:val="single" w:color="000000" w:sz="4" w:space="0"/>
              <w:left w:val="nil"/>
              <w:bottom w:val="single" w:color="000000" w:sz="4" w:space="0"/>
              <w:right w:val="single" w:color="000000" w:sz="4" w:space="0"/>
            </w:tcBorders>
            <w:vAlign w:val="center"/>
          </w:tcPr>
          <w:p>
            <w:pPr>
              <w:pStyle w:val="14"/>
              <w:spacing w:line="76"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0"/>
                <w:szCs w:val="16"/>
              </w:rPr>
            </w:pPr>
          </w:p>
        </w:tc>
      </w:tr>
      <w:tr>
        <w:tblPrEx>
          <w:tblCellMar>
            <w:top w:w="0" w:type="dxa"/>
            <w:left w:w="108" w:type="dxa"/>
            <w:bottom w:w="0" w:type="dxa"/>
            <w:right w:w="108" w:type="dxa"/>
          </w:tblCellMar>
        </w:tblPrEx>
        <w:trPr>
          <w:trHeight w:val="564"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GLRY3-1-2</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个人被交通运输部通报批评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1109"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GLRY3-1-3</w:t>
            </w:r>
          </w:p>
        </w:tc>
        <w:tc>
          <w:tcPr>
            <w:tcW w:w="2703" w:type="dxa"/>
            <w:tcBorders>
              <w:top w:val="single" w:color="000000" w:sz="4" w:space="0"/>
              <w:left w:val="nil"/>
              <w:bottom w:val="single" w:color="000000" w:sz="4" w:space="0"/>
              <w:right w:val="single" w:color="000000" w:sz="4" w:space="0"/>
            </w:tcBorders>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项目运营期间发生重大及以上质量或者安全生产事故，负有责任的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982"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GLRY3-1-4</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个人被市交通主管部门或者市公路事务机构或者区县交通主管部门通报批评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841"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GLRY3-1-5</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信用评价弄虚作假或者以不正当手段骗取较高信用等级</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721"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其他失信行为（行为代码GLRY3-2）</w:t>
            </w: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GLRY3-2-1</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主要岗位人员同时受聘于两个或者两个以上单位的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689"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GLRY3-2-2</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出借执业资格证书的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bl>
    <w:p>
      <w:pPr>
        <w:pStyle w:val="14"/>
        <w:spacing w:line="600" w:lineRule="exact"/>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说明：</w:t>
      </w:r>
    </w:p>
    <w:p>
      <w:pPr>
        <w:pStyle w:val="14"/>
        <w:spacing w:line="600" w:lineRule="exact"/>
        <w:ind w:firstLine="640" w:firstLineChars="200"/>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从业人员信用评价得分=初始分值-不良行为累计扣分，其中，初始分值为所在从业单位合同段（项目）的履约行为评价得分。</w:t>
      </w:r>
    </w:p>
    <w:p>
      <w:pPr>
        <w:pStyle w:val="14"/>
        <w:spacing w:line="600" w:lineRule="exact"/>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spacing w:line="480" w:lineRule="exact"/>
        <w:jc w:val="left"/>
        <w:rPr>
          <w:rFonts w:ascii="方正黑体_GBK" w:eastAsia="方正黑体_GBK"/>
          <w:color w:val="000000"/>
          <w:sz w:val="32"/>
        </w:rPr>
      </w:pPr>
      <w:r>
        <w:rPr>
          <w:rFonts w:hint="eastAsia" w:ascii="方正黑体_GBK" w:eastAsia="方正黑体_GBK"/>
          <w:color w:val="000000"/>
          <w:sz w:val="32"/>
        </w:rPr>
        <w:t>附件3</w:t>
      </w:r>
    </w:p>
    <w:p>
      <w:pPr>
        <w:pStyle w:val="14"/>
        <w:spacing w:line="480" w:lineRule="exact"/>
        <w:rPr>
          <w:rFonts w:ascii="方正仿宋_GBK" w:eastAsia="方正仿宋_GBK"/>
          <w:color w:val="000000"/>
        </w:rPr>
      </w:pPr>
    </w:p>
    <w:p>
      <w:pPr>
        <w:pStyle w:val="14"/>
        <w:spacing w:line="480" w:lineRule="exact"/>
        <w:jc w:val="center"/>
        <w:rPr>
          <w:rFonts w:ascii="方正小标宋_GBK" w:eastAsia="方正小标宋_GBK"/>
          <w:color w:val="000000"/>
          <w:spacing w:val="-20"/>
          <w:sz w:val="44"/>
          <w:szCs w:val="44"/>
        </w:rPr>
      </w:pPr>
      <w:r>
        <w:rPr>
          <w:rFonts w:hint="eastAsia" w:ascii="方正小标宋_GBK" w:eastAsia="方正小标宋_GBK"/>
          <w:color w:val="000000"/>
          <w:spacing w:val="-20"/>
          <w:sz w:val="44"/>
          <w:szCs w:val="44"/>
        </w:rPr>
        <w:t>重庆市公路建设市场从业单位信用分值设置参考表</w:t>
      </w:r>
    </w:p>
    <w:p>
      <w:pPr>
        <w:pStyle w:val="14"/>
        <w:spacing w:line="480" w:lineRule="exact"/>
        <w:jc w:val="center"/>
        <w:rPr>
          <w:rFonts w:ascii="方正小标宋_GBK" w:eastAsia="方正小标宋_GBK"/>
          <w:color w:val="000000"/>
          <w:spacing w:val="-20"/>
          <w:sz w:val="44"/>
          <w:szCs w:val="44"/>
        </w:rPr>
      </w:pPr>
    </w:p>
    <w:tbl>
      <w:tblPr>
        <w:tblStyle w:val="10"/>
        <w:tblW w:w="0" w:type="auto"/>
        <w:tblInd w:w="108" w:type="dxa"/>
        <w:tblLayout w:type="fixed"/>
        <w:tblCellMar>
          <w:top w:w="0" w:type="dxa"/>
          <w:left w:w="108" w:type="dxa"/>
          <w:bottom w:w="0" w:type="dxa"/>
          <w:right w:w="108" w:type="dxa"/>
        </w:tblCellMar>
      </w:tblPr>
      <w:tblGrid>
        <w:gridCol w:w="760"/>
        <w:gridCol w:w="7320"/>
        <w:gridCol w:w="849"/>
      </w:tblGrid>
      <w:tr>
        <w:tblPrEx>
          <w:tblCellMar>
            <w:top w:w="0" w:type="dxa"/>
            <w:left w:w="108" w:type="dxa"/>
            <w:bottom w:w="0" w:type="dxa"/>
            <w:right w:w="108" w:type="dxa"/>
          </w:tblCellMar>
        </w:tblPrEx>
        <w:trPr>
          <w:trHeight w:val="559" w:hRule="atLeast"/>
        </w:trPr>
        <w:tc>
          <w:tcPr>
            <w:tcW w:w="760" w:type="dxa"/>
            <w:tcBorders>
              <w:top w:val="single" w:color="000000" w:sz="4" w:space="0"/>
              <w:left w:val="single" w:color="000000" w:sz="4" w:space="0"/>
              <w:bottom w:val="single" w:color="000000" w:sz="4" w:space="0"/>
              <w:right w:val="single" w:color="000000" w:sz="4" w:space="0"/>
            </w:tcBorders>
            <w:vAlign w:val="center"/>
          </w:tcPr>
          <w:p>
            <w:pPr>
              <w:pStyle w:val="14"/>
              <w:spacing w:line="280" w:lineRule="exact"/>
              <w:ind w:right="-293"/>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color w:val="000000"/>
                <w:sz w:val="28"/>
                <w:szCs w:val="28"/>
              </w:rPr>
              <w:t>类别</w:t>
            </w:r>
          </w:p>
        </w:tc>
        <w:tc>
          <w:tcPr>
            <w:tcW w:w="7320" w:type="dxa"/>
            <w:tcBorders>
              <w:top w:val="single" w:color="000000" w:sz="4" w:space="0"/>
              <w:left w:val="nil"/>
              <w:bottom w:val="single" w:color="000000" w:sz="4" w:space="0"/>
              <w:right w:val="single" w:color="000000" w:sz="4" w:space="0"/>
            </w:tcBorders>
            <w:vAlign w:val="center"/>
          </w:tcPr>
          <w:p>
            <w:pPr>
              <w:pStyle w:val="14"/>
              <w:spacing w:line="280" w:lineRule="exact"/>
              <w:ind w:left="-2" w:firstLine="2"/>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信用记录</w:t>
            </w:r>
          </w:p>
        </w:tc>
        <w:tc>
          <w:tcPr>
            <w:tcW w:w="849" w:type="dxa"/>
            <w:tcBorders>
              <w:top w:val="single" w:color="000000" w:sz="4" w:space="0"/>
              <w:left w:val="nil"/>
              <w:bottom w:val="single" w:color="000000" w:sz="4" w:space="0"/>
              <w:right w:val="single" w:color="000000" w:sz="4" w:space="0"/>
            </w:tcBorders>
            <w:vAlign w:val="center"/>
          </w:tcPr>
          <w:p>
            <w:pPr>
              <w:pStyle w:val="14"/>
              <w:spacing w:line="280" w:lineRule="exact"/>
              <w:ind w:right="-109"/>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信用</w:t>
            </w:r>
          </w:p>
          <w:p>
            <w:pPr>
              <w:pStyle w:val="14"/>
              <w:spacing w:line="280" w:lineRule="exact"/>
              <w:ind w:right="-109"/>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分值</w:t>
            </w:r>
          </w:p>
        </w:tc>
      </w:tr>
      <w:tr>
        <w:tblPrEx>
          <w:tblCellMar>
            <w:top w:w="0" w:type="dxa"/>
            <w:left w:w="108" w:type="dxa"/>
            <w:bottom w:w="0" w:type="dxa"/>
            <w:right w:w="108" w:type="dxa"/>
          </w:tblCellMar>
        </w:tblPrEx>
        <w:trPr>
          <w:trHeight w:val="387" w:hRule="atLeast"/>
        </w:trPr>
        <w:tc>
          <w:tcPr>
            <w:tcW w:w="760" w:type="dxa"/>
            <w:vMerge w:val="restart"/>
            <w:tcBorders>
              <w:top w:val="nil"/>
              <w:left w:val="single" w:color="000000" w:sz="4" w:space="0"/>
              <w:bottom w:val="single" w:color="000000" w:sz="4" w:space="0"/>
              <w:right w:val="single" w:color="000000" w:sz="4" w:space="0"/>
            </w:tcBorders>
            <w:vAlign w:val="center"/>
          </w:tcPr>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信</w:t>
            </w:r>
          </w:p>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用</w:t>
            </w:r>
          </w:p>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评</w:t>
            </w:r>
          </w:p>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价</w:t>
            </w:r>
          </w:p>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信</w:t>
            </w:r>
          </w:p>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息</w:t>
            </w:r>
          </w:p>
        </w:tc>
        <w:tc>
          <w:tcPr>
            <w:tcW w:w="7320" w:type="dxa"/>
            <w:tcBorders>
              <w:top w:val="single" w:color="000000" w:sz="4" w:space="0"/>
              <w:left w:val="nil"/>
              <w:bottom w:val="single" w:color="000000" w:sz="4" w:space="0"/>
              <w:right w:val="single" w:color="000000" w:sz="4" w:space="0"/>
            </w:tcBorders>
            <w:vAlign w:val="center"/>
          </w:tcPr>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1.1最近一个年度公路建设市场重庆市综合信用评价结果为AA级的。</w:t>
            </w:r>
          </w:p>
        </w:tc>
        <w:tc>
          <w:tcPr>
            <w:tcW w:w="84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w:t>
            </w:r>
          </w:p>
        </w:tc>
      </w:tr>
      <w:tr>
        <w:tblPrEx>
          <w:tblCellMar>
            <w:top w:w="0" w:type="dxa"/>
            <w:left w:w="108" w:type="dxa"/>
            <w:bottom w:w="0" w:type="dxa"/>
            <w:right w:w="108" w:type="dxa"/>
          </w:tblCellMar>
        </w:tblPrEx>
        <w:trPr>
          <w:trHeight w:val="535" w:hRule="atLeast"/>
        </w:trPr>
        <w:tc>
          <w:tcPr>
            <w:tcW w:w="760" w:type="dxa"/>
            <w:vMerge w:val="continue"/>
            <w:tcBorders>
              <w:top w:val="nil"/>
              <w:left w:val="single" w:color="000000" w:sz="4" w:space="0"/>
              <w:bottom w:val="single" w:color="000000" w:sz="4" w:space="0"/>
              <w:right w:val="single" w:color="000000" w:sz="4" w:space="0"/>
            </w:tcBorders>
            <w:vAlign w:val="center"/>
          </w:tcPr>
          <w:p>
            <w:pPr>
              <w:spacing w:line="260" w:lineRule="exact"/>
              <w:rPr>
                <w:rFonts w:ascii="方正仿宋_GBK" w:hAnsi="方正仿宋_GBK" w:eastAsia="方正仿宋_GBK" w:cs="方正仿宋_GBK"/>
                <w:color w:val="000000"/>
                <w:sz w:val="28"/>
                <w:szCs w:val="28"/>
              </w:rPr>
            </w:pPr>
          </w:p>
        </w:tc>
        <w:tc>
          <w:tcPr>
            <w:tcW w:w="7320" w:type="dxa"/>
            <w:tcBorders>
              <w:top w:val="single" w:color="000000" w:sz="4" w:space="0"/>
              <w:left w:val="nil"/>
              <w:bottom w:val="single" w:color="000000" w:sz="4" w:space="0"/>
              <w:right w:val="single" w:color="000000" w:sz="4" w:space="0"/>
            </w:tcBorders>
            <w:vAlign w:val="center"/>
          </w:tcPr>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2.1最近一个年度公路建设市场重庆市综合信用评价结果为A级的。</w:t>
            </w:r>
          </w:p>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2.2初次进入重庆市公路建设市场信用等级确定为AA级的。</w:t>
            </w:r>
          </w:p>
        </w:tc>
        <w:tc>
          <w:tcPr>
            <w:tcW w:w="84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w:t>
            </w:r>
          </w:p>
        </w:tc>
      </w:tr>
      <w:tr>
        <w:tblPrEx>
          <w:tblCellMar>
            <w:top w:w="0" w:type="dxa"/>
            <w:left w:w="108" w:type="dxa"/>
            <w:bottom w:w="0" w:type="dxa"/>
            <w:right w:w="108" w:type="dxa"/>
          </w:tblCellMar>
        </w:tblPrEx>
        <w:trPr>
          <w:trHeight w:val="444" w:hRule="atLeast"/>
        </w:trPr>
        <w:tc>
          <w:tcPr>
            <w:tcW w:w="760" w:type="dxa"/>
            <w:vMerge w:val="continue"/>
            <w:tcBorders>
              <w:top w:val="nil"/>
              <w:left w:val="single" w:color="000000" w:sz="4" w:space="0"/>
              <w:bottom w:val="single" w:color="000000" w:sz="4" w:space="0"/>
              <w:right w:val="single" w:color="000000" w:sz="4" w:space="0"/>
            </w:tcBorders>
            <w:vAlign w:val="center"/>
          </w:tcPr>
          <w:p>
            <w:pPr>
              <w:spacing w:line="260" w:lineRule="exact"/>
              <w:rPr>
                <w:rFonts w:ascii="方正仿宋_GBK" w:hAnsi="方正仿宋_GBK" w:eastAsia="方正仿宋_GBK" w:cs="方正仿宋_GBK"/>
                <w:color w:val="000000"/>
                <w:sz w:val="28"/>
                <w:szCs w:val="28"/>
              </w:rPr>
            </w:pPr>
          </w:p>
        </w:tc>
        <w:tc>
          <w:tcPr>
            <w:tcW w:w="7320" w:type="dxa"/>
            <w:tcBorders>
              <w:top w:val="single" w:color="000000" w:sz="4" w:space="0"/>
              <w:left w:val="nil"/>
              <w:bottom w:val="single" w:color="000000" w:sz="4" w:space="0"/>
              <w:right w:val="single" w:color="000000" w:sz="4" w:space="0"/>
            </w:tcBorders>
            <w:vAlign w:val="center"/>
          </w:tcPr>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3.1最近一个年度公路建设市场重庆市综合信用评价结果为B级的。</w:t>
            </w:r>
          </w:p>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3.2初次进入重庆市公路建设市场信用等级确定为A级或者B级的。</w:t>
            </w:r>
          </w:p>
        </w:tc>
        <w:tc>
          <w:tcPr>
            <w:tcW w:w="84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w:t>
            </w:r>
          </w:p>
        </w:tc>
      </w:tr>
      <w:tr>
        <w:tblPrEx>
          <w:tblCellMar>
            <w:top w:w="0" w:type="dxa"/>
            <w:left w:w="108" w:type="dxa"/>
            <w:bottom w:w="0" w:type="dxa"/>
            <w:right w:w="108" w:type="dxa"/>
          </w:tblCellMar>
        </w:tblPrEx>
        <w:trPr>
          <w:trHeight w:val="555" w:hRule="atLeast"/>
        </w:trPr>
        <w:tc>
          <w:tcPr>
            <w:tcW w:w="760" w:type="dxa"/>
            <w:vMerge w:val="continue"/>
            <w:tcBorders>
              <w:top w:val="nil"/>
              <w:left w:val="single" w:color="000000" w:sz="4" w:space="0"/>
              <w:bottom w:val="single" w:color="000000" w:sz="4" w:space="0"/>
              <w:right w:val="single" w:color="000000" w:sz="4" w:space="0"/>
            </w:tcBorders>
            <w:vAlign w:val="center"/>
          </w:tcPr>
          <w:p>
            <w:pPr>
              <w:spacing w:line="260" w:lineRule="exact"/>
              <w:rPr>
                <w:rFonts w:ascii="方正仿宋_GBK" w:hAnsi="方正仿宋_GBK" w:eastAsia="方正仿宋_GBK" w:cs="方正仿宋_GBK"/>
                <w:color w:val="000000"/>
                <w:sz w:val="28"/>
                <w:szCs w:val="28"/>
              </w:rPr>
            </w:pPr>
          </w:p>
        </w:tc>
        <w:tc>
          <w:tcPr>
            <w:tcW w:w="7320" w:type="dxa"/>
            <w:tcBorders>
              <w:top w:val="single" w:color="000000" w:sz="4" w:space="0"/>
              <w:left w:val="nil"/>
              <w:bottom w:val="single" w:color="000000" w:sz="4" w:space="0"/>
              <w:right w:val="single" w:color="000000" w:sz="4" w:space="0"/>
            </w:tcBorders>
            <w:vAlign w:val="center"/>
          </w:tcPr>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4.1最近一个年度公路建设市场重庆市综合信用评价结果为C级的。</w:t>
            </w:r>
          </w:p>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4.2初次进入重庆市公路建设市场信用等级确定为C级的。</w:t>
            </w:r>
          </w:p>
        </w:tc>
        <w:tc>
          <w:tcPr>
            <w:tcW w:w="84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w:t>
            </w:r>
          </w:p>
        </w:tc>
      </w:tr>
      <w:tr>
        <w:tblPrEx>
          <w:tblCellMar>
            <w:top w:w="0" w:type="dxa"/>
            <w:left w:w="108" w:type="dxa"/>
            <w:bottom w:w="0" w:type="dxa"/>
            <w:right w:w="108" w:type="dxa"/>
          </w:tblCellMar>
        </w:tblPrEx>
        <w:trPr>
          <w:trHeight w:val="608" w:hRule="atLeast"/>
        </w:trPr>
        <w:tc>
          <w:tcPr>
            <w:tcW w:w="760" w:type="dxa"/>
            <w:vMerge w:val="restart"/>
            <w:tcBorders>
              <w:top w:val="nil"/>
              <w:left w:val="single" w:color="000000" w:sz="4" w:space="0"/>
              <w:bottom w:val="single" w:color="000000" w:sz="4" w:space="0"/>
              <w:right w:val="single" w:color="000000" w:sz="4" w:space="0"/>
            </w:tcBorders>
            <w:vAlign w:val="center"/>
          </w:tcPr>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动</w:t>
            </w:r>
          </w:p>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态</w:t>
            </w:r>
          </w:p>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信</w:t>
            </w:r>
          </w:p>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用</w:t>
            </w:r>
          </w:p>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信</w:t>
            </w:r>
          </w:p>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息</w:t>
            </w:r>
          </w:p>
        </w:tc>
        <w:tc>
          <w:tcPr>
            <w:tcW w:w="7320" w:type="dxa"/>
            <w:tcBorders>
              <w:top w:val="single" w:color="000000" w:sz="4" w:space="0"/>
              <w:left w:val="nil"/>
              <w:bottom w:val="single" w:color="000000" w:sz="4" w:space="0"/>
              <w:right w:val="single" w:color="000000" w:sz="4" w:space="0"/>
            </w:tcBorders>
            <w:vAlign w:val="center"/>
          </w:tcPr>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5.1受到重庆市人民政府或者交通运输部关于公路工程建设相关的通报表彰（表扬）的，一年内（以发文时间为准）。</w:t>
            </w:r>
          </w:p>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5.2列入全国公路工程建设领域守信典型企业目录的。</w:t>
            </w:r>
          </w:p>
        </w:tc>
        <w:tc>
          <w:tcPr>
            <w:tcW w:w="84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+0.5</w:t>
            </w:r>
          </w:p>
        </w:tc>
      </w:tr>
      <w:tr>
        <w:tblPrEx>
          <w:tblCellMar>
            <w:top w:w="0" w:type="dxa"/>
            <w:left w:w="108" w:type="dxa"/>
            <w:bottom w:w="0" w:type="dxa"/>
            <w:right w:w="108" w:type="dxa"/>
          </w:tblCellMar>
        </w:tblPrEx>
        <w:trPr>
          <w:trHeight w:val="602" w:hRule="atLeast"/>
        </w:trPr>
        <w:tc>
          <w:tcPr>
            <w:tcW w:w="760" w:type="dxa"/>
            <w:vMerge w:val="continue"/>
            <w:tcBorders>
              <w:top w:val="nil"/>
              <w:left w:val="single" w:color="000000" w:sz="4" w:space="0"/>
              <w:bottom w:val="single" w:color="000000" w:sz="4" w:space="0"/>
              <w:right w:val="single" w:color="000000" w:sz="4" w:space="0"/>
            </w:tcBorders>
            <w:vAlign w:val="center"/>
          </w:tcPr>
          <w:p>
            <w:pPr>
              <w:spacing w:line="220" w:lineRule="exact"/>
              <w:rPr>
                <w:rFonts w:ascii="方正仿宋_GBK" w:hAnsi="方正仿宋_GBK" w:eastAsia="方正仿宋_GBK" w:cs="方正仿宋_GBK"/>
                <w:color w:val="000000"/>
                <w:sz w:val="28"/>
                <w:szCs w:val="28"/>
              </w:rPr>
            </w:pPr>
          </w:p>
        </w:tc>
        <w:tc>
          <w:tcPr>
            <w:tcW w:w="7320" w:type="dxa"/>
            <w:tcBorders>
              <w:top w:val="single" w:color="000000" w:sz="4" w:space="0"/>
              <w:left w:val="nil"/>
              <w:bottom w:val="single" w:color="000000" w:sz="4" w:space="0"/>
              <w:right w:val="single" w:color="000000" w:sz="4" w:space="0"/>
            </w:tcBorders>
            <w:vAlign w:val="center"/>
          </w:tcPr>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6.1受到市交通主管部门关于公路工程建设相关的通报表彰（表扬）的，一年内（以发文时间为准）。</w:t>
            </w:r>
          </w:p>
        </w:tc>
        <w:tc>
          <w:tcPr>
            <w:tcW w:w="84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+0.3</w:t>
            </w:r>
          </w:p>
        </w:tc>
      </w:tr>
      <w:tr>
        <w:tblPrEx>
          <w:tblCellMar>
            <w:top w:w="0" w:type="dxa"/>
            <w:left w:w="108" w:type="dxa"/>
            <w:bottom w:w="0" w:type="dxa"/>
            <w:right w:w="108" w:type="dxa"/>
          </w:tblCellMar>
        </w:tblPrEx>
        <w:trPr>
          <w:trHeight w:val="602" w:hRule="atLeast"/>
        </w:trPr>
        <w:tc>
          <w:tcPr>
            <w:tcW w:w="760" w:type="dxa"/>
            <w:vMerge w:val="continue"/>
            <w:tcBorders>
              <w:top w:val="nil"/>
              <w:left w:val="single" w:color="000000" w:sz="4" w:space="0"/>
              <w:bottom w:val="single" w:color="000000" w:sz="4" w:space="0"/>
              <w:right w:val="single" w:color="000000" w:sz="4" w:space="0"/>
            </w:tcBorders>
            <w:vAlign w:val="center"/>
          </w:tcPr>
          <w:p>
            <w:pPr>
              <w:spacing w:line="220" w:lineRule="exact"/>
              <w:rPr>
                <w:rFonts w:ascii="方正仿宋_GBK" w:hAnsi="方正仿宋_GBK" w:eastAsia="方正仿宋_GBK" w:cs="方正仿宋_GBK"/>
                <w:color w:val="000000"/>
                <w:sz w:val="28"/>
                <w:szCs w:val="28"/>
              </w:rPr>
            </w:pPr>
          </w:p>
        </w:tc>
        <w:tc>
          <w:tcPr>
            <w:tcW w:w="7320" w:type="dxa"/>
            <w:tcBorders>
              <w:top w:val="single" w:color="000000" w:sz="4" w:space="0"/>
              <w:left w:val="nil"/>
              <w:bottom w:val="single" w:color="000000" w:sz="4" w:space="0"/>
              <w:right w:val="single" w:color="000000" w:sz="4" w:space="0"/>
            </w:tcBorders>
            <w:vAlign w:val="center"/>
          </w:tcPr>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7.1受到市公路事务机构或者区县交通主管部门关于公路工程建设相关的通报表彰（表扬）的，一年内（以发文时间为准）。</w:t>
            </w:r>
          </w:p>
        </w:tc>
        <w:tc>
          <w:tcPr>
            <w:tcW w:w="84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+0.1</w:t>
            </w:r>
          </w:p>
        </w:tc>
      </w:tr>
      <w:tr>
        <w:tblPrEx>
          <w:tblCellMar>
            <w:top w:w="0" w:type="dxa"/>
            <w:left w:w="108" w:type="dxa"/>
            <w:bottom w:w="0" w:type="dxa"/>
            <w:right w:w="108" w:type="dxa"/>
          </w:tblCellMar>
        </w:tblPrEx>
        <w:trPr>
          <w:trHeight w:val="1006" w:hRule="atLeast"/>
        </w:trPr>
        <w:tc>
          <w:tcPr>
            <w:tcW w:w="760" w:type="dxa"/>
            <w:vMerge w:val="continue"/>
            <w:tcBorders>
              <w:top w:val="nil"/>
              <w:left w:val="single" w:color="000000" w:sz="4" w:space="0"/>
              <w:bottom w:val="single" w:color="000000" w:sz="4" w:space="0"/>
              <w:right w:val="single" w:color="000000" w:sz="4" w:space="0"/>
            </w:tcBorders>
            <w:vAlign w:val="center"/>
          </w:tcPr>
          <w:p>
            <w:pPr>
              <w:spacing w:line="220" w:lineRule="exact"/>
              <w:rPr>
                <w:rFonts w:ascii="方正仿宋_GBK" w:hAnsi="方正仿宋_GBK" w:eastAsia="方正仿宋_GBK" w:cs="方正仿宋_GBK"/>
                <w:color w:val="000000"/>
                <w:sz w:val="28"/>
                <w:szCs w:val="28"/>
              </w:rPr>
            </w:pPr>
          </w:p>
        </w:tc>
        <w:tc>
          <w:tcPr>
            <w:tcW w:w="7320" w:type="dxa"/>
            <w:tcBorders>
              <w:top w:val="single" w:color="000000" w:sz="4" w:space="0"/>
              <w:left w:val="nil"/>
              <w:bottom w:val="single" w:color="000000" w:sz="4" w:space="0"/>
              <w:right w:val="single" w:color="000000" w:sz="4" w:space="0"/>
            </w:tcBorders>
            <w:vAlign w:val="center"/>
          </w:tcPr>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8.1受到重庆市人民政府或者交通运输部关于质量、安全、进度、环保、稳定等公路工程建设相关的通报批评的，一年内（以发文时间为准）。</w:t>
            </w:r>
          </w:p>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8.2受到市交通主管部门作出大于100万元罚款行政处罚的，在一年内（以处罚生效时间为准）。</w:t>
            </w:r>
          </w:p>
        </w:tc>
        <w:tc>
          <w:tcPr>
            <w:tcW w:w="84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-0.5</w:t>
            </w:r>
          </w:p>
        </w:tc>
      </w:tr>
      <w:tr>
        <w:tblPrEx>
          <w:tblCellMar>
            <w:top w:w="0" w:type="dxa"/>
            <w:left w:w="108" w:type="dxa"/>
            <w:bottom w:w="0" w:type="dxa"/>
            <w:right w:w="108" w:type="dxa"/>
          </w:tblCellMar>
        </w:tblPrEx>
        <w:trPr>
          <w:trHeight w:val="1335" w:hRule="atLeast"/>
        </w:trPr>
        <w:tc>
          <w:tcPr>
            <w:tcW w:w="760" w:type="dxa"/>
            <w:vMerge w:val="continue"/>
            <w:tcBorders>
              <w:top w:val="nil"/>
              <w:left w:val="single" w:color="000000" w:sz="4" w:space="0"/>
              <w:bottom w:val="single" w:color="000000" w:sz="4" w:space="0"/>
              <w:right w:val="single" w:color="000000" w:sz="4" w:space="0"/>
            </w:tcBorders>
            <w:vAlign w:val="center"/>
          </w:tcPr>
          <w:p>
            <w:pPr>
              <w:spacing w:line="220" w:lineRule="exact"/>
              <w:rPr>
                <w:rFonts w:ascii="方正仿宋_GBK" w:hAnsi="方正仿宋_GBK" w:eastAsia="方正仿宋_GBK" w:cs="方正仿宋_GBK"/>
                <w:color w:val="000000"/>
                <w:sz w:val="28"/>
                <w:szCs w:val="28"/>
              </w:rPr>
            </w:pPr>
          </w:p>
        </w:tc>
        <w:tc>
          <w:tcPr>
            <w:tcW w:w="7320" w:type="dxa"/>
            <w:tcBorders>
              <w:top w:val="single" w:color="000000" w:sz="4" w:space="0"/>
              <w:left w:val="nil"/>
              <w:bottom w:val="single" w:color="000000" w:sz="4" w:space="0"/>
              <w:right w:val="single" w:color="000000" w:sz="4" w:space="0"/>
            </w:tcBorders>
            <w:vAlign w:val="center"/>
          </w:tcPr>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9.1受到市交通主管部门关于质量、安全、进度、环保、稳定等公路工程建设相关的通报批评的，一年内（以发文时间为准）。</w:t>
            </w:r>
          </w:p>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9.2 受到市交通主管部门作出小于或者等于100万元罚款行政处罚的，在一年内（以处罚生效时间为准）。</w:t>
            </w:r>
          </w:p>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9.3受到市交通主管部门作出警告行政处罚的，一年内（以处罚生效时间为准）。</w:t>
            </w:r>
          </w:p>
        </w:tc>
        <w:tc>
          <w:tcPr>
            <w:tcW w:w="849" w:type="dxa"/>
            <w:tcBorders>
              <w:top w:val="single" w:color="000000" w:sz="4" w:space="0"/>
              <w:left w:val="nil"/>
              <w:bottom w:val="single" w:color="000000" w:sz="4" w:space="0"/>
              <w:right w:val="single" w:color="000000" w:sz="4" w:space="0"/>
            </w:tcBorders>
            <w:vAlign w:val="center"/>
          </w:tcPr>
          <w:p>
            <w:pPr>
              <w:pStyle w:val="14"/>
              <w:ind w:left="2"/>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-0.3</w:t>
            </w:r>
          </w:p>
        </w:tc>
      </w:tr>
      <w:tr>
        <w:tblPrEx>
          <w:tblCellMar>
            <w:top w:w="0" w:type="dxa"/>
            <w:left w:w="108" w:type="dxa"/>
            <w:bottom w:w="0" w:type="dxa"/>
            <w:right w:w="108" w:type="dxa"/>
          </w:tblCellMar>
        </w:tblPrEx>
        <w:trPr>
          <w:trHeight w:val="1092" w:hRule="atLeast"/>
        </w:trPr>
        <w:tc>
          <w:tcPr>
            <w:tcW w:w="760" w:type="dxa"/>
            <w:vMerge w:val="continue"/>
            <w:tcBorders>
              <w:top w:val="nil"/>
              <w:left w:val="single" w:color="000000" w:sz="4" w:space="0"/>
              <w:bottom w:val="single" w:color="000000" w:sz="4" w:space="0"/>
              <w:right w:val="single" w:color="000000" w:sz="4" w:space="0"/>
            </w:tcBorders>
            <w:vAlign w:val="center"/>
          </w:tcPr>
          <w:p>
            <w:pPr>
              <w:spacing w:line="220" w:lineRule="exact"/>
              <w:rPr>
                <w:rFonts w:ascii="方正仿宋_GBK" w:hAnsi="方正仿宋_GBK" w:eastAsia="方正仿宋_GBK" w:cs="方正仿宋_GBK"/>
                <w:color w:val="000000"/>
                <w:sz w:val="28"/>
                <w:szCs w:val="28"/>
              </w:rPr>
            </w:pPr>
          </w:p>
        </w:tc>
        <w:tc>
          <w:tcPr>
            <w:tcW w:w="7320" w:type="dxa"/>
            <w:tcBorders>
              <w:top w:val="single" w:color="000000" w:sz="4" w:space="0"/>
              <w:left w:val="nil"/>
              <w:bottom w:val="single" w:color="000000" w:sz="4" w:space="0"/>
              <w:right w:val="single" w:color="000000" w:sz="4" w:space="0"/>
            </w:tcBorders>
            <w:vAlign w:val="center"/>
          </w:tcPr>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10.1受到市公路事务机构或者区县交通主管部门会关于质量、安全、进度、环保、稳定等公路工程建设相关的通报批评的，一年内（以发文时间为准）。</w:t>
            </w:r>
          </w:p>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10.2 受到区县交通主管部门作出罚款或者警告行政处罚的，在一年内（以处罚生效时间为准）。</w:t>
            </w:r>
          </w:p>
        </w:tc>
        <w:tc>
          <w:tcPr>
            <w:tcW w:w="849" w:type="dxa"/>
            <w:tcBorders>
              <w:top w:val="single" w:color="000000" w:sz="4" w:space="0"/>
              <w:left w:val="nil"/>
              <w:bottom w:val="single" w:color="000000" w:sz="4" w:space="0"/>
              <w:right w:val="single" w:color="000000" w:sz="4" w:space="0"/>
            </w:tcBorders>
            <w:vAlign w:val="center"/>
          </w:tcPr>
          <w:p>
            <w:pPr>
              <w:pStyle w:val="14"/>
              <w:ind w:left="2"/>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-0.1</w:t>
            </w:r>
          </w:p>
        </w:tc>
      </w:tr>
    </w:tbl>
    <w:p>
      <w:pPr>
        <w:pStyle w:val="14"/>
        <w:spacing w:line="600" w:lineRule="exact"/>
        <w:jc w:val="left"/>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说明：</w:t>
      </w:r>
    </w:p>
    <w:p>
      <w:pPr>
        <w:pStyle w:val="14"/>
        <w:spacing w:line="600" w:lineRule="exact"/>
        <w:ind w:left="-2" w:firstLine="360"/>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1．信用分值I=信用评价分值+动态信用分值，其中信用评价分值按照确定的信用评价等级计分，动态信用分值按次累计计分。</w:t>
      </w:r>
    </w:p>
    <w:p>
      <w:pPr>
        <w:pStyle w:val="14"/>
        <w:spacing w:line="600" w:lineRule="exact"/>
        <w:ind w:left="-2" w:firstLine="360"/>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2．重庆市从业单位信用评价结果发布1年后，无信用评价结果的，其信用评价等级可延续1年。延续1年后仍无信用评价结果的，按照初次进入重庆市公路建设市场进行定级，但不得高于其在重庆市原评价等级的上一等级。</w:t>
      </w:r>
    </w:p>
    <w:p>
      <w:pPr>
        <w:pStyle w:val="14"/>
        <w:spacing w:line="600" w:lineRule="exact"/>
        <w:ind w:left="-2" w:firstLine="360"/>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3．初次进入重庆市公路建设市场的从业单位信用等级按以下原则确定：</w:t>
      </w:r>
    </w:p>
    <w:p>
      <w:pPr>
        <w:pStyle w:val="14"/>
        <w:spacing w:line="600" w:lineRule="exact"/>
        <w:ind w:firstLine="360"/>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（1）有全国综合信用评价等级的，其等级按照全国综合评价结果确定。</w:t>
      </w:r>
    </w:p>
    <w:p>
      <w:pPr>
        <w:pStyle w:val="14"/>
        <w:spacing w:line="600" w:lineRule="exact"/>
        <w:ind w:firstLine="360"/>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（2）无全国综合评价等级的，其等级按照注册地省级综合评价结果确定。</w:t>
      </w:r>
    </w:p>
    <w:p>
      <w:pPr>
        <w:pStyle w:val="14"/>
        <w:spacing w:line="600" w:lineRule="exact"/>
        <w:ind w:firstLine="360"/>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（3）既无全国综合评价等级也无注册地省级综合评价等级的，按B级对待。</w:t>
      </w:r>
    </w:p>
    <w:p>
      <w:pPr>
        <w:pStyle w:val="14"/>
        <w:spacing w:line="600" w:lineRule="exact"/>
        <w:ind w:firstLine="360"/>
        <w:rPr>
          <w:rFonts w:ascii="方正仿宋_GBK" w:hAnsi="方正仿宋_GBK" w:eastAsia="方正仿宋_GBK" w:cs="方正仿宋_GBK"/>
          <w:color w:val="000000"/>
          <w:sz w:val="32"/>
        </w:rPr>
      </w:pPr>
    </w:p>
    <w:p>
      <w:pPr>
        <w:pStyle w:val="14"/>
        <w:spacing w:line="600" w:lineRule="exact"/>
        <w:ind w:firstLine="360"/>
        <w:rPr>
          <w:rFonts w:ascii="方正仿宋_GBK" w:hAnsi="方正仿宋_GBK" w:eastAsia="方正仿宋_GBK" w:cs="方正仿宋_GBK"/>
          <w:color w:val="000000"/>
          <w:sz w:val="32"/>
        </w:rPr>
      </w:pPr>
    </w:p>
    <w:p>
      <w:pPr>
        <w:pStyle w:val="14"/>
        <w:spacing w:line="600" w:lineRule="exact"/>
        <w:ind w:firstLine="360"/>
        <w:rPr>
          <w:rFonts w:ascii="方正仿宋_GBK" w:hAnsi="方正仿宋_GBK" w:eastAsia="方正仿宋_GBK" w:cs="方正仿宋_GBK"/>
          <w:color w:val="000000"/>
          <w:sz w:val="32"/>
        </w:rPr>
      </w:pPr>
    </w:p>
    <w:p>
      <w:pPr>
        <w:pStyle w:val="14"/>
        <w:spacing w:line="600" w:lineRule="exact"/>
        <w:ind w:firstLine="360"/>
        <w:rPr>
          <w:rFonts w:ascii="方正仿宋_GBK" w:hAnsi="方正仿宋_GBK" w:eastAsia="方正仿宋_GBK" w:cs="方正仿宋_GBK"/>
          <w:color w:val="000000"/>
          <w:sz w:val="32"/>
        </w:rPr>
      </w:pPr>
    </w:p>
    <w:p>
      <w:pPr>
        <w:pStyle w:val="14"/>
        <w:spacing w:line="600" w:lineRule="exact"/>
        <w:ind w:firstLine="360"/>
        <w:rPr>
          <w:rFonts w:ascii="方正仿宋_GBK" w:hAnsi="方正仿宋_GBK" w:eastAsia="方正仿宋_GBK" w:cs="方正仿宋_GBK"/>
          <w:color w:val="000000"/>
          <w:sz w:val="32"/>
        </w:rPr>
      </w:pPr>
    </w:p>
    <w:p>
      <w:pPr>
        <w:pStyle w:val="14"/>
        <w:spacing w:line="600" w:lineRule="exact"/>
        <w:ind w:firstLine="360"/>
        <w:rPr>
          <w:rFonts w:ascii="方正仿宋_GBK" w:hAnsi="方正仿宋_GBK" w:eastAsia="方正仿宋_GBK" w:cs="方正仿宋_GBK"/>
          <w:color w:val="000000"/>
          <w:sz w:val="32"/>
        </w:rPr>
      </w:pPr>
    </w:p>
    <w:p>
      <w:pPr>
        <w:pStyle w:val="14"/>
        <w:jc w:val="left"/>
        <w:rPr>
          <w:rFonts w:ascii="方正黑体_GBK" w:eastAsia="方正黑体_GBK"/>
          <w:color w:val="000000"/>
        </w:rPr>
      </w:pPr>
    </w:p>
    <w:p>
      <w:pPr>
        <w:pStyle w:val="14"/>
        <w:jc w:val="left"/>
        <w:rPr>
          <w:rFonts w:ascii="方正黑体_GBK" w:eastAsia="方正黑体_GBK"/>
          <w:color w:val="000000"/>
          <w:sz w:val="32"/>
        </w:rPr>
      </w:pPr>
      <w:r>
        <w:rPr>
          <w:rFonts w:hint="eastAsia" w:ascii="方正黑体_GBK" w:eastAsia="方正黑体_GBK"/>
          <w:color w:val="000000"/>
          <w:sz w:val="32"/>
        </w:rPr>
        <w:t>附件4</w:t>
      </w:r>
    </w:p>
    <w:p>
      <w:pPr>
        <w:pStyle w:val="14"/>
        <w:jc w:val="left"/>
        <w:rPr>
          <w:rFonts w:ascii="方正黑体_GBK" w:eastAsia="方正黑体_GBK"/>
          <w:color w:val="000000"/>
        </w:rPr>
      </w:pPr>
    </w:p>
    <w:p>
      <w:pPr>
        <w:pStyle w:val="14"/>
        <w:spacing w:before="156" w:line="500" w:lineRule="atLeast"/>
        <w:jc w:val="center"/>
        <w:rPr>
          <w:rFonts w:ascii="方正小标宋_GBK" w:eastAsia="方正小标宋_GBK"/>
          <w:color w:val="000000"/>
          <w:sz w:val="44"/>
          <w:szCs w:val="44"/>
        </w:rPr>
      </w:pPr>
      <w:r>
        <w:rPr>
          <w:rFonts w:hint="eastAsia" w:ascii="方正小标宋_GBK" w:eastAsia="方正小标宋_GBK"/>
          <w:color w:val="000000"/>
          <w:sz w:val="44"/>
          <w:szCs w:val="44"/>
        </w:rPr>
        <w:t>重庆市公路建设市场中标候选人推荐参考程序</w:t>
      </w:r>
    </w:p>
    <w:p>
      <w:pPr>
        <w:pStyle w:val="14"/>
        <w:jc w:val="left"/>
        <w:rPr>
          <w:rFonts w:ascii="方正仿宋_GBK" w:eastAsia="方正仿宋_GBK"/>
          <w:color w:val="000000"/>
        </w:rPr>
      </w:pPr>
    </w:p>
    <w:p>
      <w:pPr>
        <w:pStyle w:val="14"/>
        <w:spacing w:line="600" w:lineRule="exact"/>
        <w:ind w:left="-2" w:firstLine="640"/>
        <w:rPr>
          <w:rFonts w:ascii="方正仿宋_GBK" w:eastAsia="方正仿宋_GBK"/>
          <w:color w:val="000000"/>
          <w:sz w:val="32"/>
        </w:rPr>
      </w:pPr>
      <w:r>
        <w:rPr>
          <w:rFonts w:hint="eastAsia" w:ascii="方正仿宋_GBK" w:eastAsia="方正仿宋_GBK"/>
          <w:color w:val="000000"/>
          <w:sz w:val="32"/>
        </w:rPr>
        <w:t>一、勘察设计和施工监理招标采用综合评估法、施工招标采用合理低价法或者综合评分法的，可按照下列步骤推荐中标候选人：</w:t>
      </w:r>
    </w:p>
    <w:p>
      <w:pPr>
        <w:pStyle w:val="14"/>
        <w:spacing w:line="600" w:lineRule="exact"/>
        <w:ind w:left="-2" w:firstLine="640"/>
        <w:rPr>
          <w:rFonts w:ascii="方正仿宋_GBK" w:eastAsia="方正仿宋_GBK"/>
          <w:color w:val="000000"/>
          <w:sz w:val="32"/>
        </w:rPr>
      </w:pPr>
      <w:r>
        <w:rPr>
          <w:rFonts w:hint="eastAsia" w:ascii="方正仿宋_GBK" w:eastAsia="方正仿宋_GBK"/>
          <w:color w:val="000000"/>
          <w:sz w:val="32"/>
        </w:rPr>
        <w:t>（一）对通过评审的投标人按照综合得分（或者评标价得分）由高到低的顺序取前三家（若与前三家出现得分相同的，一并纳入）；若不足三家的，则取实际数量。并计算前三家或者实际数量投标人的评标得分：评标得分=综合得分（或者评标价得分）+信用分值I。</w:t>
      </w:r>
    </w:p>
    <w:p>
      <w:pPr>
        <w:pStyle w:val="14"/>
        <w:spacing w:line="600" w:lineRule="exact"/>
        <w:ind w:left="-2" w:firstLine="640"/>
        <w:rPr>
          <w:rFonts w:ascii="方正仿宋_GBK" w:eastAsia="方正仿宋_GBK"/>
          <w:color w:val="000000"/>
          <w:sz w:val="32"/>
        </w:rPr>
      </w:pPr>
      <w:r>
        <w:rPr>
          <w:rFonts w:hint="eastAsia" w:ascii="方正仿宋_GBK" w:eastAsia="方正仿宋_GBK"/>
          <w:color w:val="000000"/>
          <w:sz w:val="32"/>
        </w:rPr>
        <w:t>（二）按照评标得分由高到低的顺序推荐中标候选人。若评标得分相同，则信用分值I高的优先。</w:t>
      </w:r>
    </w:p>
    <w:p>
      <w:pPr>
        <w:pStyle w:val="14"/>
        <w:spacing w:line="600" w:lineRule="exact"/>
        <w:ind w:left="-2" w:firstLine="640"/>
        <w:rPr>
          <w:rFonts w:ascii="方正仿宋_GBK" w:eastAsia="方正仿宋_GBK"/>
          <w:color w:val="000000"/>
          <w:sz w:val="32"/>
        </w:rPr>
      </w:pPr>
      <w:r>
        <w:rPr>
          <w:rFonts w:hint="eastAsia" w:ascii="方正仿宋_GBK" w:eastAsia="方正仿宋_GBK"/>
          <w:color w:val="000000"/>
          <w:sz w:val="32"/>
        </w:rPr>
        <w:t>二、施工招标采用技术评分最低标价法的，可按照下列步骤推荐中标候选人：</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（一）对通过评审的投标人按照评标得分（评标得分=技术得分+信用分值I）由高到低排序，对排名在招标文件规定数量之内的报价文件进行评审。</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（二）按照评标价由低到高的顺序推荐中标候选人。若评标价相同，则信用分值I高的优先。</w:t>
      </w:r>
    </w:p>
    <w:p>
      <w:pPr>
        <w:pStyle w:val="14"/>
        <w:spacing w:line="600" w:lineRule="exact"/>
        <w:ind w:left="-2" w:firstLine="640"/>
        <w:rPr>
          <w:rFonts w:ascii="方正仿宋_GBK" w:eastAsia="方正仿宋_GBK"/>
          <w:color w:val="000000"/>
          <w:sz w:val="32"/>
        </w:rPr>
      </w:pPr>
      <w:r>
        <w:rPr>
          <w:rFonts w:hint="eastAsia" w:ascii="方正仿宋_GBK" w:eastAsia="方正仿宋_GBK"/>
          <w:color w:val="000000"/>
          <w:sz w:val="32"/>
        </w:rPr>
        <w:t>三、施工招标采用经评审的最低投标价法的，可按照下列步骤推荐中标候选人：</w:t>
      </w:r>
    </w:p>
    <w:p>
      <w:pPr>
        <w:pStyle w:val="14"/>
        <w:spacing w:line="600" w:lineRule="exact"/>
        <w:ind w:left="-2" w:firstLine="640"/>
        <w:rPr>
          <w:rFonts w:ascii="方正仿宋_GBK" w:eastAsia="方正仿宋_GBK"/>
          <w:color w:val="000000"/>
          <w:sz w:val="32"/>
        </w:rPr>
      </w:pPr>
      <w:r>
        <w:rPr>
          <w:rFonts w:hint="eastAsia" w:ascii="方正仿宋_GBK" w:eastAsia="方正仿宋_GBK"/>
          <w:color w:val="000000"/>
          <w:sz w:val="32"/>
        </w:rPr>
        <w:t>（一）对通过评审的投标人，按照评标价由低到高的顺序取前三家（若与前三家出现评标价相同的，一并纳入）；若不足三家的，则取实际数量。并以前三家或者实际数量投标人的最低评标价作为基准价，计算评标价得分。具体计算规则由招标人结合项目实际情况自行确定。</w:t>
      </w:r>
    </w:p>
    <w:p>
      <w:pPr>
        <w:pStyle w:val="14"/>
        <w:spacing w:line="600" w:lineRule="exact"/>
        <w:ind w:left="-2" w:firstLine="640"/>
        <w:rPr>
          <w:rFonts w:ascii="方正仿宋_GBK" w:eastAsia="方正仿宋_GBK"/>
          <w:color w:val="000000"/>
          <w:sz w:val="32"/>
        </w:rPr>
      </w:pPr>
      <w:r>
        <w:rPr>
          <w:rFonts w:hint="eastAsia" w:ascii="方正仿宋_GBK" w:eastAsia="方正仿宋_GBK"/>
          <w:color w:val="000000"/>
          <w:sz w:val="32"/>
        </w:rPr>
        <w:t>（二）计算前三家或者实际数量投标人的评标得分：评标得分=评标价得分+信用分值I</w:t>
      </w:r>
    </w:p>
    <w:p>
      <w:pPr>
        <w:pStyle w:val="14"/>
        <w:spacing w:line="600" w:lineRule="exact"/>
        <w:ind w:left="-2" w:firstLine="640"/>
        <w:rPr>
          <w:rFonts w:ascii="方正仿宋_GBK" w:hAnsi="宋体" w:eastAsia="方正仿宋_GBK"/>
          <w:color w:val="000000"/>
          <w:sz w:val="32"/>
        </w:rPr>
      </w:pPr>
      <w:r>
        <w:rPr>
          <w:rFonts w:hint="eastAsia" w:ascii="方正仿宋_GBK" w:eastAsia="方正仿宋_GBK"/>
          <w:color w:val="000000"/>
          <w:sz w:val="32"/>
        </w:rPr>
        <w:t>（三）按照评标得分由高到低的顺序推荐中标候选人。若评标得分相同，则信用分值I高的优先。</w:t>
      </w:r>
    </w:p>
    <w:p>
      <w:pPr>
        <w:spacing w:line="600" w:lineRule="exact"/>
        <w:rPr>
          <w:rFonts w:ascii="方正仿宋_GBK" w:hAnsi="宋体" w:eastAsia="方正仿宋_GBK"/>
          <w:color w:val="000000"/>
          <w:sz w:val="32"/>
          <w:szCs w:val="32"/>
        </w:rPr>
      </w:pPr>
    </w:p>
    <w:p>
      <w:pPr>
        <w:spacing w:line="540" w:lineRule="exact"/>
        <w:rPr>
          <w:rFonts w:ascii="方正仿宋_GBK" w:hAnsi="宋体" w:eastAsia="方正仿宋_GBK"/>
          <w:color w:val="000000"/>
          <w:sz w:val="32"/>
          <w:szCs w:val="32"/>
        </w:rPr>
      </w:pPr>
    </w:p>
    <w:p>
      <w:pPr>
        <w:spacing w:line="500" w:lineRule="exact"/>
        <w:ind w:firstLine="640" w:firstLineChars="200"/>
        <w:rPr>
          <w:rFonts w:ascii="方正仿宋_GBK" w:hAnsi="宋体" w:eastAsia="方正仿宋_GBK"/>
          <w:color w:val="000000"/>
          <w:sz w:val="32"/>
          <w:szCs w:val="32"/>
        </w:rPr>
      </w:pPr>
    </w:p>
    <w:p>
      <w:pPr>
        <w:spacing w:line="500" w:lineRule="exact"/>
        <w:ind w:firstLine="640" w:firstLineChars="200"/>
        <w:rPr>
          <w:rFonts w:ascii="方正仿宋_GBK" w:hAnsi="宋体" w:eastAsia="方正仿宋_GBK"/>
          <w:color w:val="000000"/>
          <w:sz w:val="32"/>
          <w:szCs w:val="32"/>
        </w:rPr>
      </w:pPr>
    </w:p>
    <w:p>
      <w:pPr>
        <w:spacing w:line="500" w:lineRule="exact"/>
        <w:ind w:firstLine="640" w:firstLineChars="200"/>
        <w:rPr>
          <w:rFonts w:ascii="方正仿宋_GBK" w:hAnsi="宋体" w:eastAsia="方正仿宋_GBK"/>
          <w:color w:val="000000"/>
          <w:sz w:val="32"/>
          <w:szCs w:val="32"/>
        </w:rPr>
      </w:pPr>
    </w:p>
    <w:p/>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3dcMKg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DK3dcMKgIAAFcEAAAOAAAAAAAAAAEAIAAAADUBAABkcnMv&#10;ZTJvRG9jLnhtbFBLBQYAAAAABgAGAFkBAADRBQ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- 52 -</w:t>
                    </w:r>
                    <w:r>
                      <w:rPr>
                        <w:rFonts w:hint="eastAsia" w:ascii="宋体" w:hAnsi="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0288;mso-width-relative:page;mso-height-relative:page;" filled="f" stroked="t" coordsize="21600,21600" o:gfxdata="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GHyFVPTAAAABwEAAA8AAAAAAAAAAQAgAAAAOAAAAGRycy9kb3ducmV2Lnht&#10;bFBLAQIUABQAAAAIAIdO4kAJZKaR6AEAALQDAAAOAAAAAAAAAAEAIAAAADgBAABkcnMvZTJvRG9j&#10;LnhtbFBLBQYAAAAABgAGAFkBAACSBQAAAAA=&#10;">
              <v:fill on="f" focussize="0,0"/>
              <v:stroke weight="1.75pt" color="#005192 [3204]" miterlimit="8" joinstyle="miter"/>
              <v:imagedata o:title=""/>
              <o:lock v:ext="edit" aspectratio="f"/>
            </v:line>
          </w:pict>
        </mc:Fallback>
      </mc:AlternateContent>
    </w:r>
  </w:p>
  <w:p>
    <w:pPr>
      <w:pStyle w:val="8"/>
      <w:wordWrap w:val="0"/>
      <w:jc w:val="right"/>
      <w:rPr>
        <w:rFonts w:ascii="宋体" w:hAnsi="宋体" w:cs="宋体"/>
        <w:b/>
        <w:bCs/>
        <w:color w:val="005192"/>
        <w:sz w:val="28"/>
        <w:szCs w:val="44"/>
      </w:rPr>
    </w:pPr>
    <w:r>
      <w:rPr>
        <w:rFonts w:hint="eastAsia" w:ascii="宋体" w:hAnsi="宋体" w:cs="宋体"/>
        <w:b/>
        <w:bCs/>
        <w:color w:val="005192"/>
        <w:sz w:val="28"/>
        <w:szCs w:val="44"/>
      </w:rPr>
      <w:t>重庆市交通局发布</w:t>
    </w:r>
    <w:r>
      <w:rPr>
        <w:rFonts w:ascii="宋体" w:hAnsi="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59264;mso-width-relative:page;mso-height-relative:page;" filled="f" stroked="t" coordsize="21600,21600" o:gfxdata="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yAOyh1AAAAAcBAAAPAAAAAAAAAAEAIAAAADgA&#10;AABkcnMvZG93bnJldi54bWxQSwECFAAUAAAACACHTuJA/gTXwfcBAADBAwAADgAAAAAAAAABACAA&#10;AAA5AQAAZHJzL2Uyb0RvYy54bWxQSwUGAAAAAAYABgBZAQAAogUAAA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rPr>
      <w:t>重庆市交通局行政</w:t>
    </w:r>
    <w:r>
      <w:rPr>
        <w:rFonts w:hint="eastAsia" w:ascii="宋体" w:hAnsi="宋体" w:cs="宋体"/>
        <w:b/>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C6A75"/>
    <w:multiLevelType w:val="singleLevel"/>
    <w:tmpl w:val="149C6A75"/>
    <w:lvl w:ilvl="0" w:tentative="0">
      <w:start w:val="1"/>
      <w:numFmt w:val="japaneseCounting"/>
      <w:pStyle w:val="2"/>
      <w:lvlText w:val="%1、"/>
      <w:lvlJc w:val="left"/>
      <w:pPr>
        <w:tabs>
          <w:tab w:val="left" w:pos="420"/>
        </w:tabs>
        <w:ind w:left="420" w:hanging="420"/>
      </w:pPr>
      <w:rPr>
        <w:rFonts w:hint="eastAsia"/>
      </w:rPr>
    </w:lvl>
  </w:abstractNum>
  <w:abstractNum w:abstractNumId="1">
    <w:nsid w:val="569A2052"/>
    <w:multiLevelType w:val="singleLevel"/>
    <w:tmpl w:val="569A2052"/>
    <w:lvl w:ilvl="0" w:tentative="0">
      <w:start w:val="1"/>
      <w:numFmt w:val="decimal"/>
      <w:lvlText w:val="%1、"/>
      <w:lvlJc w:val="left"/>
      <w:pPr>
        <w:tabs>
          <w:tab w:val="left" w:pos="720"/>
        </w:tabs>
        <w:ind w:left="42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YTdmOWQ5MmM1YzE2OGQ1Yjk5OWYzYzEwZWMxYjcifQ=="/>
  </w:docVars>
  <w:rsids>
    <w:rsidRoot w:val="00172A27"/>
    <w:rsid w:val="000136BE"/>
    <w:rsid w:val="00172A27"/>
    <w:rsid w:val="002E0A81"/>
    <w:rsid w:val="00811D13"/>
    <w:rsid w:val="00E844D9"/>
    <w:rsid w:val="019E71BD"/>
    <w:rsid w:val="01E93D58"/>
    <w:rsid w:val="04B679C3"/>
    <w:rsid w:val="05F07036"/>
    <w:rsid w:val="06E00104"/>
    <w:rsid w:val="080F63D8"/>
    <w:rsid w:val="09341458"/>
    <w:rsid w:val="098254C2"/>
    <w:rsid w:val="0A766EDE"/>
    <w:rsid w:val="0AD64BE8"/>
    <w:rsid w:val="0B0912D7"/>
    <w:rsid w:val="0E025194"/>
    <w:rsid w:val="0EEF0855"/>
    <w:rsid w:val="11DB7C71"/>
    <w:rsid w:val="13742125"/>
    <w:rsid w:val="152D2DCA"/>
    <w:rsid w:val="187168EA"/>
    <w:rsid w:val="196673CA"/>
    <w:rsid w:val="1CF734C9"/>
    <w:rsid w:val="1DEC284C"/>
    <w:rsid w:val="1E6523AC"/>
    <w:rsid w:val="22440422"/>
    <w:rsid w:val="22BB4BBB"/>
    <w:rsid w:val="25EB1AF4"/>
    <w:rsid w:val="2C6D42C9"/>
    <w:rsid w:val="2DD05FE1"/>
    <w:rsid w:val="2EAE3447"/>
    <w:rsid w:val="31A15F24"/>
    <w:rsid w:val="36FB1DF0"/>
    <w:rsid w:val="395347B5"/>
    <w:rsid w:val="39A232A0"/>
    <w:rsid w:val="39E745AA"/>
    <w:rsid w:val="3B5A6BBB"/>
    <w:rsid w:val="3CA154E3"/>
    <w:rsid w:val="3EDA13A6"/>
    <w:rsid w:val="3FF56C14"/>
    <w:rsid w:val="417B75E9"/>
    <w:rsid w:val="42430A63"/>
    <w:rsid w:val="425F3904"/>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EF38DC8"/>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numPr>
        <w:ilvl w:val="0"/>
        <w:numId w:val="1"/>
      </w:numPr>
      <w:spacing w:line="360" w:lineRule="auto"/>
      <w:jc w:val="center"/>
      <w:outlineLvl w:val="0"/>
    </w:pPr>
    <w:rPr>
      <w:b/>
      <w:bCs/>
      <w:kern w:val="44"/>
      <w:szCs w:val="44"/>
    </w:rPr>
  </w:style>
  <w:style w:type="paragraph" w:styleId="3">
    <w:name w:val="heading 2"/>
    <w:basedOn w:val="1"/>
    <w:next w:val="1"/>
    <w:qFormat/>
    <w:uiPriority w:val="0"/>
    <w:pPr>
      <w:numPr>
        <w:ilvl w:val="1"/>
        <w:numId w:val="2"/>
      </w:numPr>
      <w:tabs>
        <w:tab w:val="left" w:pos="720"/>
      </w:tabs>
      <w:spacing w:line="360" w:lineRule="auto"/>
      <w:outlineLvl w:val="1"/>
    </w:pPr>
    <w:rPr>
      <w:rFonts w:ascii="Cambria" w:hAnsi="Cambria"/>
      <w:bCs/>
      <w:szCs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spacing w:line="580" w:lineRule="exact"/>
      <w:ind w:firstLine="640" w:firstLineChars="200"/>
    </w:pPr>
    <w:rPr>
      <w:rFonts w:ascii="仿宋_GB2312" w:eastAsia="仿宋_GB2312"/>
      <w:sz w:val="32"/>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bCs/>
    </w:rPr>
  </w:style>
  <w:style w:type="character" w:styleId="13">
    <w:name w:val="page number"/>
    <w:basedOn w:val="11"/>
    <w:qFormat/>
    <w:uiPriority w:val="0"/>
  </w:style>
  <w:style w:type="paragraph" w:customStyle="1" w:styleId="14">
    <w:name w:val="p0"/>
    <w:basedOn w:val="1"/>
    <w:qFormat/>
    <w:uiPriority w:val="0"/>
    <w:pPr>
      <w:widowControl/>
    </w:pPr>
    <w:rPr>
      <w:rFonts w:ascii="Calibri" w:hAnsi="Calibri"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5" Type="http://schemas.openxmlformats.org/officeDocument/2006/relationships/fontTable" Target="fontTable.xml"/><Relationship Id="rId84" Type="http://schemas.openxmlformats.org/officeDocument/2006/relationships/numbering" Target="numbering.xml"/><Relationship Id="rId83" Type="http://schemas.openxmlformats.org/officeDocument/2006/relationships/customXml" Target="../customXml/item1.xml"/><Relationship Id="rId82" Type="http://schemas.openxmlformats.org/officeDocument/2006/relationships/oleObject" Target="embeddings/oleObject48.bin"/><Relationship Id="rId81" Type="http://schemas.openxmlformats.org/officeDocument/2006/relationships/oleObject" Target="embeddings/oleObject47.bin"/><Relationship Id="rId80" Type="http://schemas.openxmlformats.org/officeDocument/2006/relationships/oleObject" Target="embeddings/oleObject46.bin"/><Relationship Id="rId8" Type="http://schemas.openxmlformats.org/officeDocument/2006/relationships/oleObject" Target="embeddings/oleObject2.bin"/><Relationship Id="rId79" Type="http://schemas.openxmlformats.org/officeDocument/2006/relationships/oleObject" Target="embeddings/oleObject45.bin"/><Relationship Id="rId78" Type="http://schemas.openxmlformats.org/officeDocument/2006/relationships/oleObject" Target="embeddings/oleObject44.bin"/><Relationship Id="rId77" Type="http://schemas.openxmlformats.org/officeDocument/2006/relationships/oleObject" Target="embeddings/oleObject43.bin"/><Relationship Id="rId76" Type="http://schemas.openxmlformats.org/officeDocument/2006/relationships/oleObject" Target="embeddings/oleObject42.bin"/><Relationship Id="rId75" Type="http://schemas.openxmlformats.org/officeDocument/2006/relationships/image" Target="media/image30.wmf"/><Relationship Id="rId74" Type="http://schemas.openxmlformats.org/officeDocument/2006/relationships/oleObject" Target="embeddings/oleObject41.bin"/><Relationship Id="rId73" Type="http://schemas.openxmlformats.org/officeDocument/2006/relationships/image" Target="media/image29.wmf"/><Relationship Id="rId72" Type="http://schemas.openxmlformats.org/officeDocument/2006/relationships/oleObject" Target="embeddings/oleObject40.bin"/><Relationship Id="rId71" Type="http://schemas.openxmlformats.org/officeDocument/2006/relationships/image" Target="media/image28.wmf"/><Relationship Id="rId70" Type="http://schemas.openxmlformats.org/officeDocument/2006/relationships/oleObject" Target="embeddings/oleObject39.bin"/><Relationship Id="rId7" Type="http://schemas.openxmlformats.org/officeDocument/2006/relationships/image" Target="media/image2.wmf"/><Relationship Id="rId69" Type="http://schemas.openxmlformats.org/officeDocument/2006/relationships/image" Target="media/image27.wmf"/><Relationship Id="rId68" Type="http://schemas.openxmlformats.org/officeDocument/2006/relationships/oleObject" Target="embeddings/oleObject38.bin"/><Relationship Id="rId67" Type="http://schemas.openxmlformats.org/officeDocument/2006/relationships/oleObject" Target="embeddings/oleObject37.bin"/><Relationship Id="rId66" Type="http://schemas.openxmlformats.org/officeDocument/2006/relationships/image" Target="media/image26.wmf"/><Relationship Id="rId65" Type="http://schemas.openxmlformats.org/officeDocument/2006/relationships/oleObject" Target="embeddings/oleObject36.bin"/><Relationship Id="rId64" Type="http://schemas.openxmlformats.org/officeDocument/2006/relationships/image" Target="media/image25.wmf"/><Relationship Id="rId63" Type="http://schemas.openxmlformats.org/officeDocument/2006/relationships/oleObject" Target="embeddings/oleObject35.bin"/><Relationship Id="rId62" Type="http://schemas.openxmlformats.org/officeDocument/2006/relationships/oleObject" Target="embeddings/oleObject34.bin"/><Relationship Id="rId61" Type="http://schemas.openxmlformats.org/officeDocument/2006/relationships/image" Target="media/image24.wmf"/><Relationship Id="rId60" Type="http://schemas.openxmlformats.org/officeDocument/2006/relationships/oleObject" Target="embeddings/oleObject33.bin"/><Relationship Id="rId6" Type="http://schemas.openxmlformats.org/officeDocument/2006/relationships/oleObject" Target="embeddings/oleObject1.bin"/><Relationship Id="rId59" Type="http://schemas.openxmlformats.org/officeDocument/2006/relationships/image" Target="media/image23.wmf"/><Relationship Id="rId58" Type="http://schemas.openxmlformats.org/officeDocument/2006/relationships/oleObject" Target="embeddings/oleObject32.bin"/><Relationship Id="rId57" Type="http://schemas.openxmlformats.org/officeDocument/2006/relationships/image" Target="media/image22.wmf"/><Relationship Id="rId56" Type="http://schemas.openxmlformats.org/officeDocument/2006/relationships/oleObject" Target="embeddings/oleObject31.bin"/><Relationship Id="rId55" Type="http://schemas.openxmlformats.org/officeDocument/2006/relationships/oleObject" Target="embeddings/oleObject30.bin"/><Relationship Id="rId54" Type="http://schemas.openxmlformats.org/officeDocument/2006/relationships/oleObject" Target="embeddings/oleObject29.bin"/><Relationship Id="rId53" Type="http://schemas.openxmlformats.org/officeDocument/2006/relationships/image" Target="media/image21.wmf"/><Relationship Id="rId52" Type="http://schemas.openxmlformats.org/officeDocument/2006/relationships/oleObject" Target="embeddings/oleObject28.bin"/><Relationship Id="rId51" Type="http://schemas.openxmlformats.org/officeDocument/2006/relationships/image" Target="media/image20.wmf"/><Relationship Id="rId50" Type="http://schemas.openxmlformats.org/officeDocument/2006/relationships/oleObject" Target="embeddings/oleObject27.bin"/><Relationship Id="rId5" Type="http://schemas.openxmlformats.org/officeDocument/2006/relationships/theme" Target="theme/theme1.xml"/><Relationship Id="rId49" Type="http://schemas.openxmlformats.org/officeDocument/2006/relationships/oleObject" Target="embeddings/oleObject26.bin"/><Relationship Id="rId48" Type="http://schemas.openxmlformats.org/officeDocument/2006/relationships/oleObject" Target="embeddings/oleObject25.bin"/><Relationship Id="rId47" Type="http://schemas.openxmlformats.org/officeDocument/2006/relationships/image" Target="media/image19.wmf"/><Relationship Id="rId46" Type="http://schemas.openxmlformats.org/officeDocument/2006/relationships/oleObject" Target="embeddings/oleObject24.bin"/><Relationship Id="rId45" Type="http://schemas.openxmlformats.org/officeDocument/2006/relationships/image" Target="media/image18.wmf"/><Relationship Id="rId44" Type="http://schemas.openxmlformats.org/officeDocument/2006/relationships/oleObject" Target="embeddings/oleObject23.bin"/><Relationship Id="rId43" Type="http://schemas.openxmlformats.org/officeDocument/2006/relationships/oleObject" Target="embeddings/oleObject22.bin"/><Relationship Id="rId42" Type="http://schemas.openxmlformats.org/officeDocument/2006/relationships/oleObject" Target="embeddings/oleObject21.bin"/><Relationship Id="rId41" Type="http://schemas.openxmlformats.org/officeDocument/2006/relationships/image" Target="media/image17.wmf"/><Relationship Id="rId40" Type="http://schemas.openxmlformats.org/officeDocument/2006/relationships/oleObject" Target="embeddings/oleObject20.bin"/><Relationship Id="rId4" Type="http://schemas.openxmlformats.org/officeDocument/2006/relationships/footer" Target="footer1.xml"/><Relationship Id="rId39" Type="http://schemas.openxmlformats.org/officeDocument/2006/relationships/image" Target="media/image16.wmf"/><Relationship Id="rId38" Type="http://schemas.openxmlformats.org/officeDocument/2006/relationships/oleObject" Target="embeddings/oleObject19.bin"/><Relationship Id="rId37" Type="http://schemas.openxmlformats.org/officeDocument/2006/relationships/image" Target="media/image15.wmf"/><Relationship Id="rId36" Type="http://schemas.openxmlformats.org/officeDocument/2006/relationships/oleObject" Target="embeddings/oleObject18.bin"/><Relationship Id="rId35" Type="http://schemas.openxmlformats.org/officeDocument/2006/relationships/image" Target="media/image14.wmf"/><Relationship Id="rId34" Type="http://schemas.openxmlformats.org/officeDocument/2006/relationships/oleObject" Target="embeddings/oleObject17.bin"/><Relationship Id="rId33" Type="http://schemas.openxmlformats.org/officeDocument/2006/relationships/image" Target="media/image13.wmf"/><Relationship Id="rId32" Type="http://schemas.openxmlformats.org/officeDocument/2006/relationships/oleObject" Target="embeddings/oleObject16.bin"/><Relationship Id="rId31" Type="http://schemas.openxmlformats.org/officeDocument/2006/relationships/oleObject" Target="embeddings/oleObject15.bin"/><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4.bin"/><Relationship Id="rId28" Type="http://schemas.openxmlformats.org/officeDocument/2006/relationships/image" Target="media/image11.wmf"/><Relationship Id="rId27" Type="http://schemas.openxmlformats.org/officeDocument/2006/relationships/oleObject" Target="embeddings/oleObject13.bin"/><Relationship Id="rId26" Type="http://schemas.openxmlformats.org/officeDocument/2006/relationships/image" Target="media/image10.wmf"/><Relationship Id="rId25" Type="http://schemas.openxmlformats.org/officeDocument/2006/relationships/oleObject" Target="embeddings/oleObject12.bin"/><Relationship Id="rId24" Type="http://schemas.openxmlformats.org/officeDocument/2006/relationships/image" Target="media/image9.wmf"/><Relationship Id="rId23" Type="http://schemas.openxmlformats.org/officeDocument/2006/relationships/oleObject" Target="embeddings/oleObject11.bin"/><Relationship Id="rId22" Type="http://schemas.openxmlformats.org/officeDocument/2006/relationships/image" Target="media/image8.wmf"/><Relationship Id="rId21" Type="http://schemas.openxmlformats.org/officeDocument/2006/relationships/oleObject" Target="embeddings/oleObject10.bin"/><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5574</Words>
  <Characters>31776</Characters>
  <Lines>264</Lines>
  <Paragraphs>74</Paragraphs>
  <TotalTime>17</TotalTime>
  <ScaleCrop>false</ScaleCrop>
  <LinksUpToDate>false</LinksUpToDate>
  <CharactersWithSpaces>37276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langchao</cp:lastModifiedBy>
  <cp:lastPrinted>2022-06-07T00:09:00Z</cp:lastPrinted>
  <dcterms:modified xsi:type="dcterms:W3CDTF">2025-04-10T14:50:46Z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E1D2D157741F4D228E799A8BD74E8974</vt:lpwstr>
  </property>
</Properties>
</file>