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hd w:val="clear" w:color="auto" w:fill="FFFFFF"/>
        <w:spacing w:beforeAutospacing="0" w:afterAutospacing="0" w:line="540" w:lineRule="exact"/>
        <w:ind w:firstLine="880" w:firstLineChars="200"/>
        <w:jc w:val="center"/>
        <w:rPr>
          <w:rFonts w:ascii="方正小标宋_GBK" w:hAnsi="方正小标宋_GBK" w:eastAsia="方正小标宋_GBK" w:cs="方正小标宋_GBK"/>
          <w:sz w:val="44"/>
          <w:szCs w:val="44"/>
        </w:rPr>
      </w:pPr>
    </w:p>
    <w:p>
      <w:pPr>
        <w:pStyle w:val="8"/>
        <w:widowControl/>
        <w:shd w:val="clear" w:color="auto" w:fill="FFFFFF"/>
        <w:spacing w:beforeAutospacing="0" w:afterAutospacing="0" w:line="540" w:lineRule="exact"/>
        <w:ind w:firstLine="880" w:firstLineChars="200"/>
        <w:jc w:val="center"/>
        <w:rPr>
          <w:rFonts w:ascii="方正小标宋_GBK" w:hAnsi="方正小标宋_GBK" w:eastAsia="方正小标宋_GBK" w:cs="方正小标宋_GBK"/>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重庆市荣昌区经济和信息化委员会</w:t>
      </w:r>
    </w:p>
    <w:p>
      <w:pPr>
        <w:spacing w:line="640" w:lineRule="exact"/>
        <w:jc w:val="center"/>
        <w:rPr>
          <w:rFonts w:ascii="方正小标宋_GBK" w:hAnsi="方正小标宋_GBK" w:eastAsia="方正小标宋_GBK" w:cs="方正小标宋_GBK"/>
          <w:sz w:val="44"/>
          <w:szCs w:val="44"/>
        </w:rPr>
      </w:pPr>
      <w:r>
        <w:rPr>
          <w:rFonts w:hint="eastAsia" w:ascii="方正小标宋_GBK" w:eastAsia="方正小标宋_GBK"/>
          <w:kern w:val="0"/>
          <w:sz w:val="44"/>
          <w:szCs w:val="44"/>
        </w:rPr>
        <w:t xml:space="preserve"> </w:t>
      </w:r>
      <w:r>
        <w:rPr>
          <w:rFonts w:hint="eastAsia" w:ascii="方正小标宋_GBK" w:hAnsi="方正小标宋_GBK" w:eastAsia="方正小标宋_GBK" w:cs="方正小标宋_GBK"/>
          <w:sz w:val="44"/>
          <w:szCs w:val="44"/>
        </w:rPr>
        <w:t>重庆市荣昌区科学技术局</w:t>
      </w: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关于印发《荣昌区企业技术中心认定管理办法》的通知</w:t>
      </w:r>
    </w:p>
    <w:p>
      <w:pPr>
        <w:pStyle w:val="8"/>
        <w:widowControl/>
        <w:shd w:val="clear" w:color="auto" w:fill="FFFFFF"/>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荣经信发〔2020〕35号</w:t>
      </w:r>
    </w:p>
    <w:p>
      <w:pPr>
        <w:pStyle w:val="8"/>
        <w:widowControl/>
        <w:shd w:val="clear" w:color="auto" w:fill="FFFFFF"/>
        <w:spacing w:beforeAutospacing="0" w:afterAutospacing="0" w:line="540" w:lineRule="exact"/>
        <w:ind w:firstLine="480" w:firstLineChars="200"/>
      </w:pPr>
    </w:p>
    <w:p>
      <w:pPr>
        <w:pStyle w:val="4"/>
        <w:snapToGrid w:val="0"/>
        <w:spacing w:line="600" w:lineRule="atLeast"/>
        <w:rPr>
          <w:rFonts w:eastAsia="方正仿宋_GBK"/>
          <w:color w:val="333333"/>
          <w:sz w:val="32"/>
          <w:szCs w:val="32"/>
        </w:rPr>
      </w:pPr>
      <w:r>
        <w:rPr>
          <w:rFonts w:eastAsia="方正仿宋_GBK"/>
          <w:color w:val="333333"/>
          <w:sz w:val="32"/>
          <w:szCs w:val="32"/>
        </w:rPr>
        <w:t>各镇人民政府，各街道办事处，荣昌高新区管委会，各有关单位：</w:t>
      </w:r>
    </w:p>
    <w:p>
      <w:pPr>
        <w:pStyle w:val="4"/>
        <w:snapToGrid w:val="0"/>
        <w:spacing w:line="600" w:lineRule="atLeast"/>
        <w:ind w:firstLine="640"/>
        <w:rPr>
          <w:rFonts w:eastAsia="方正仿宋_GBK"/>
          <w:color w:val="333333"/>
          <w:sz w:val="32"/>
          <w:szCs w:val="32"/>
        </w:rPr>
      </w:pPr>
      <w:r>
        <w:rPr>
          <w:rFonts w:eastAsia="方正仿宋_GBK"/>
          <w:color w:val="333333"/>
          <w:sz w:val="32"/>
          <w:szCs w:val="32"/>
        </w:rPr>
        <w:t>为了促进荣昌区企业技术中心建设和发展，规范荣昌区企业技术中心管理，依据国家和市的相关管理办法，结合我区实际，重新制定了《荣昌区企业技术中心认定管理办法》，现印发给你们，请认真贯彻执行。2018年印发的《荣昌区企业技术中心认定管理办法（试行）》（荣经信发〔2018〕60号）同时废止。</w:t>
      </w:r>
    </w:p>
    <w:p>
      <w:pPr>
        <w:pStyle w:val="4"/>
        <w:snapToGrid w:val="0"/>
        <w:spacing w:line="600" w:lineRule="atLeast"/>
        <w:ind w:firstLine="640"/>
        <w:rPr>
          <w:rFonts w:eastAsia="方正仿宋_GBK"/>
          <w:color w:val="333333"/>
          <w:sz w:val="32"/>
          <w:szCs w:val="32"/>
        </w:rPr>
      </w:pPr>
      <w:r>
        <w:rPr>
          <w:rFonts w:eastAsia="方正仿宋_GBK"/>
          <w:color w:val="333333"/>
          <w:sz w:val="32"/>
          <w:szCs w:val="32"/>
        </w:rPr>
        <w:t>特此通知</w:t>
      </w:r>
      <w:r>
        <w:rPr>
          <w:rFonts w:hint="eastAsia" w:eastAsia="方正仿宋_GBK"/>
          <w:color w:val="333333"/>
          <w:sz w:val="32"/>
          <w:szCs w:val="32"/>
        </w:rPr>
        <w:t>。</w:t>
      </w:r>
    </w:p>
    <w:p>
      <w:pPr>
        <w:pStyle w:val="4"/>
        <w:snapToGrid w:val="0"/>
        <w:spacing w:line="600" w:lineRule="atLeast"/>
        <w:rPr>
          <w:rFonts w:eastAsia="方正仿宋_GBK"/>
          <w:color w:val="333333"/>
          <w:sz w:val="32"/>
          <w:szCs w:val="32"/>
        </w:rPr>
      </w:pPr>
      <w:r>
        <w:rPr>
          <w:rFonts w:eastAsia="方正仿宋_GBK"/>
          <w:color w:val="333333"/>
          <w:sz w:val="32"/>
          <w:szCs w:val="32"/>
        </w:rPr>
        <w:t xml:space="preserve"> </w:t>
      </w:r>
    </w:p>
    <w:p>
      <w:pPr>
        <w:pStyle w:val="4"/>
        <w:snapToGrid w:val="0"/>
        <w:spacing w:line="600" w:lineRule="atLeast"/>
        <w:rPr>
          <w:rFonts w:eastAsia="方正仿宋_GBK"/>
          <w:color w:val="333333"/>
          <w:sz w:val="32"/>
          <w:szCs w:val="32"/>
        </w:rPr>
      </w:pPr>
      <w:r>
        <w:rPr>
          <w:rFonts w:eastAsia="方正仿宋_GBK"/>
          <w:color w:val="333333"/>
          <w:sz w:val="32"/>
          <w:szCs w:val="32"/>
        </w:rPr>
        <w:t xml:space="preserve"> 重庆市荣昌区经济和信息化委员会 重庆市荣昌区科学技术局</w:t>
      </w:r>
    </w:p>
    <w:p>
      <w:pPr>
        <w:pStyle w:val="4"/>
        <w:snapToGrid w:val="0"/>
        <w:spacing w:line="600" w:lineRule="atLeast"/>
        <w:ind w:firstLine="640"/>
        <w:rPr>
          <w:rFonts w:eastAsia="方正仿宋_GBK"/>
          <w:color w:val="333333"/>
          <w:sz w:val="32"/>
          <w:szCs w:val="32"/>
        </w:rPr>
      </w:pPr>
      <w:r>
        <w:rPr>
          <w:rFonts w:eastAsia="方正仿宋_GBK"/>
          <w:color w:val="333333"/>
          <w:sz w:val="32"/>
          <w:szCs w:val="32"/>
        </w:rPr>
        <w:t xml:space="preserve">                                 2020年6月4日</w:t>
      </w:r>
    </w:p>
    <w:p>
      <w:pPr>
        <w:pStyle w:val="8"/>
        <w:widowControl/>
        <w:shd w:val="clear" w:color="auto" w:fill="FFFFFF"/>
        <w:spacing w:beforeAutospacing="0" w:after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pacing w:line="640" w:lineRule="exact"/>
        <w:jc w:val="center"/>
        <w:rPr>
          <w:rFonts w:eastAsia="方正小标宋_GBK"/>
          <w:sz w:val="44"/>
          <w:szCs w:val="44"/>
        </w:rPr>
      </w:pPr>
    </w:p>
    <w:p>
      <w:pPr>
        <w:spacing w:line="640" w:lineRule="exact"/>
        <w:jc w:val="center"/>
        <w:rPr>
          <w:rFonts w:eastAsia="方正小标宋_GBK"/>
          <w:sz w:val="44"/>
          <w:szCs w:val="44"/>
        </w:rPr>
      </w:pPr>
      <w:bookmarkStart w:id="0" w:name="_GoBack"/>
      <w:bookmarkEnd w:id="0"/>
      <w:r>
        <w:rPr>
          <w:rFonts w:eastAsia="方正小标宋_GBK"/>
          <w:sz w:val="44"/>
          <w:szCs w:val="44"/>
        </w:rPr>
        <w:t>荣昌区企业技术中心认定管理办法</w:t>
      </w:r>
    </w:p>
    <w:p>
      <w:pPr>
        <w:spacing w:line="560" w:lineRule="exact"/>
        <w:ind w:firstLine="420" w:firstLineChars="200"/>
      </w:pPr>
    </w:p>
    <w:p>
      <w:pPr>
        <w:spacing w:line="560" w:lineRule="exact"/>
        <w:jc w:val="center"/>
        <w:rPr>
          <w:rFonts w:ascii="方正黑体_GBK" w:eastAsia="方正黑体_GBK"/>
          <w:sz w:val="32"/>
          <w:szCs w:val="32"/>
        </w:rPr>
      </w:pPr>
      <w:r>
        <w:rPr>
          <w:rFonts w:hint="eastAsia" w:ascii="方正黑体_GBK" w:eastAsia="方正黑体_GBK"/>
          <w:sz w:val="32"/>
          <w:szCs w:val="32"/>
        </w:rPr>
        <w:t>第一章　总  则</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第一条</w:t>
      </w:r>
      <w:r>
        <w:rPr>
          <w:rFonts w:hint="eastAsia" w:ascii="方正仿宋_GBK" w:eastAsia="方正仿宋_GBK"/>
          <w:sz w:val="32"/>
          <w:szCs w:val="32"/>
        </w:rPr>
        <w:t>　为加快实施创新驱动发展战略，完善国家、市、区三级企业技术中心培育体系，发挥企业技术中心在企业技术创新体系、产业创新体系和区域创新体系中的引导和示范作用，促进荣昌区企业技术中心建设和发展，规范荣昌区企业技术中心管理，依据国家和市的相关管理办法，特制定本办法。</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第二条</w:t>
      </w:r>
      <w:r>
        <w:rPr>
          <w:rFonts w:hint="eastAsia" w:ascii="方正仿宋_GBK" w:eastAsia="方正仿宋_GBK"/>
          <w:sz w:val="32"/>
          <w:szCs w:val="32"/>
        </w:rPr>
        <w:t>　本办法所称企业技术中心，是指企业根据市场竞争需要设立的技术研发与创新机构，负责制定企业技术创新规划、开展产业技术研发、创造运用知识产权、建立技术标准体系、凝聚培养创新人才、构建协同创新网络、推进技术创新全过程实施。</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第三条</w:t>
      </w:r>
      <w:r>
        <w:rPr>
          <w:rFonts w:hint="eastAsia" w:ascii="方正仿宋_GBK" w:eastAsia="方正仿宋_GBK"/>
          <w:sz w:val="32"/>
          <w:szCs w:val="32"/>
        </w:rPr>
        <w:t>　荣昌区鼓励和支持企业建立技术中心，发挥企业在技术创新中的主体作用，建立健全企业主导产业技术研发创新的体制机制。根据创新驱动发展要求和经济结构调整需要，对创新能力强、创新机制好、创新业绩显著、引领示范作用大、符合条件的企业技术中心予以认定，并给予政策支持，鼓励和引导企业提高创新能力和带动产业技术进步。</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第四条</w:t>
      </w:r>
      <w:r>
        <w:rPr>
          <w:rFonts w:hint="eastAsia" w:ascii="方正仿宋_GBK" w:eastAsia="方正仿宋_GBK"/>
          <w:sz w:val="32"/>
          <w:szCs w:val="32"/>
        </w:rPr>
        <w:t>　重庆市荣昌区经济和信息化委员会（以下简称区经济信息委）、重庆市荣昌区科学技术局（以下简称区科技局）负责荣昌区企业技术中心的认定和评价工作；优先推荐荣昌区企业技术中心申报国家和市级认定企业技术中心、企业重点实验室、工程技术研究中心等研发机构。</w:t>
      </w:r>
    </w:p>
    <w:p>
      <w:pPr>
        <w:spacing w:line="560" w:lineRule="exact"/>
        <w:jc w:val="center"/>
        <w:rPr>
          <w:rFonts w:ascii="方正黑体_GBK" w:eastAsia="方正黑体_GBK"/>
          <w:sz w:val="32"/>
          <w:szCs w:val="32"/>
        </w:rPr>
      </w:pPr>
      <w:r>
        <w:rPr>
          <w:rFonts w:hint="eastAsia" w:ascii="方正黑体_GBK" w:eastAsia="方正黑体_GBK"/>
          <w:sz w:val="32"/>
          <w:szCs w:val="32"/>
        </w:rPr>
        <w:t>第二章　认  定</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第五条</w:t>
      </w:r>
      <w:r>
        <w:rPr>
          <w:rFonts w:hint="eastAsia" w:ascii="方正仿宋_GBK" w:eastAsia="方正仿宋_GBK"/>
          <w:sz w:val="32"/>
          <w:szCs w:val="32"/>
        </w:rPr>
        <w:t xml:space="preserve">  荣昌区企业技术中心的认定，原则上每年进行一次。</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第六条</w:t>
      </w:r>
      <w:r>
        <w:rPr>
          <w:rFonts w:hint="eastAsia" w:ascii="方正仿宋_GBK" w:eastAsia="方正仿宋_GBK"/>
          <w:sz w:val="32"/>
          <w:szCs w:val="32"/>
        </w:rPr>
        <w:t xml:space="preserve">　荣昌区企业技术中心应具备以下基本条件：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1．重庆市荣昌区行政区域范围内的企业所建立和正常运行一年以上的企业技术中心。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2．企业主营业务收入在2000万元以上（高新技术企业或具有自主知识产权软件产品的软件企业年销售额放宽到1000万元）。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3．企业在本区行业中具有显著的发展优势和竞争优势，具有较强的技术创新能力和水平。</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4．企业具有较好的技术创新机制，企业技术中心组织体系健全，发展规划和目标明确，创新效率和效益显著。</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5．有较高的研究开发投入，年度研究与试验发展经费支出额不低于80万元，研究开发与创新水平在全区同行业中处于领先地位。</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6．有技术水平高、实践经验丰富的技术带头人，科技人员队伍结构合理，在全区同行业中具有较强的创新人才优势，专职研究与试验发展人员数不少于10人。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7．具有较完善的研发、试验和检测等条件，技术开发仪器设备原值不低于100万元。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8．企业在申请受理截止日期前两年内，不得有严重违法违规行为。</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第七条</w:t>
      </w:r>
      <w:r>
        <w:rPr>
          <w:rFonts w:hint="eastAsia" w:ascii="方正仿宋_GBK" w:eastAsia="方正仿宋_GBK"/>
          <w:sz w:val="32"/>
          <w:szCs w:val="32"/>
        </w:rPr>
        <w:t xml:space="preserve">　荣昌区企业技术中心认定程序：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1．企业向镇街（园区）提出申请并按要求上报申请材料，申请材料包括：《荣昌区企业技术中心申请报告》（以下简称申请报告）（见附件一）和《荣昌区企业技术中心评价材料》（见附件二）。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2．镇街（园区）对企业上报的申请材料进行初审，对初审合格的企业出具推荐意见并加盖公章后在规定的时间内上报区经济信息委，区列重点企业可按要求将申请材料直接上报区经济信息委。</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3．区经济信息委、区科技局组织专家或委托中介机构按照《荣昌区企业技术中心评价指标体系》（见附件三），对企业申请材料进行初评。</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4．区经济信息委、区科技局视情况对初评合格的企业进行现场核查。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5．区经济信息委、区科技局依据国家产业政策、初评结果和现场核查的情况等进行综合审查后，择优确定荣昌区企业技术中心名单。</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第八条</w:t>
      </w:r>
      <w:r>
        <w:rPr>
          <w:rFonts w:hint="eastAsia" w:ascii="方正仿宋_GBK" w:eastAsia="方正仿宋_GBK"/>
          <w:sz w:val="32"/>
          <w:szCs w:val="32"/>
        </w:rPr>
        <w:t>　区经济信息委、区科技局对认定结果，联合行文予以公布并授牌。</w:t>
      </w:r>
    </w:p>
    <w:p>
      <w:pPr>
        <w:spacing w:line="560" w:lineRule="exact"/>
        <w:jc w:val="center"/>
        <w:rPr>
          <w:rFonts w:ascii="方正黑体_GBK" w:eastAsia="方正黑体_GBK"/>
          <w:sz w:val="32"/>
          <w:szCs w:val="32"/>
        </w:rPr>
      </w:pPr>
      <w:r>
        <w:rPr>
          <w:rFonts w:hint="eastAsia" w:ascii="方正黑体_GBK" w:eastAsia="方正黑体_GBK"/>
          <w:sz w:val="32"/>
          <w:szCs w:val="32"/>
        </w:rPr>
        <w:t>第三章　评价</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第九条</w:t>
      </w:r>
      <w:r>
        <w:rPr>
          <w:rFonts w:hint="eastAsia" w:ascii="方正仿宋_GBK" w:eastAsia="方正仿宋_GBK"/>
          <w:sz w:val="32"/>
          <w:szCs w:val="32"/>
        </w:rPr>
        <w:t xml:space="preserve">  依据荣昌区企业技术中心评价指标体系，原则上每两年（奇数年）组织进行一次荣昌区企业技术中心运行评价，已升级认定为重庆市企业技术中心的，不再参与区级企业技术中心运行评价。</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第十条</w:t>
      </w:r>
      <w:r>
        <w:rPr>
          <w:rFonts w:hint="eastAsia" w:ascii="方正仿宋_GBK" w:eastAsia="方正仿宋_GBK"/>
          <w:sz w:val="32"/>
          <w:szCs w:val="32"/>
        </w:rPr>
        <w:t xml:space="preserve">  评价原则：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1．客观反映技术中心建设发展状况。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2．定量评价与定性评价相结合。</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3．资料评价考核与企业实地核查相结合。</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第十一条</w:t>
      </w:r>
      <w:r>
        <w:rPr>
          <w:rFonts w:hint="eastAsia" w:ascii="方正仿宋_GBK" w:eastAsia="方正仿宋_GBK"/>
          <w:sz w:val="32"/>
          <w:szCs w:val="32"/>
        </w:rPr>
        <w:t>　评价程序：</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1．资料报送。荣昌区企业技术中心按照当年评价通知要求，将评价材料报镇街（园区）。评价材料包括：《荣昌区企业技术中心年度工作总结》（见附件四）和《荣昌区企业技术中心评价材料》（见附件二）等。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2．材料初审。镇街（园区）对荣昌区企业技术中心上报的材料进行审查，并出具审查意见，加盖公章后于当年6月30日前报区经济信息委；区列重点企业可直接上报区经济信息委。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评审核查。区经济信息委、区科技局共同组织专家或委托中介机构按照《荣昌区企业技术中心评价指标体系》（见附件三），对荣昌区企业技术中心上报的评价材料及相关情况进行核查、评价，核查方式包括召开核查会和实地核查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4．结果确认。区经济信息委、区科技局对专家或第三方机构提交的评价结果进行审核并确认。</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第十二条</w:t>
      </w:r>
      <w:r>
        <w:rPr>
          <w:rFonts w:hint="eastAsia" w:ascii="方正仿宋_GBK" w:eastAsia="方正仿宋_GBK"/>
          <w:sz w:val="32"/>
          <w:szCs w:val="32"/>
        </w:rPr>
        <w:t>　评价结果分为优秀、良好、合格、基本合格和不合格。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1. 评价得分90分及以上为优秀。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 评价得分80分（含80分）至90分之间为良好。</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 评价得分65分（含65分）至80分之间为合格。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 评价得分60分（含60分）至65分之间为基本合格。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5. 有下列情况之一的评价为不合格。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（1）评价得分低于60分；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（2）逾期不上报评价材料的企业技术中心；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（3）企业研究与试验发展经费支出额、企业专职研究与试验发展人员数、技术开发仪器设备原值三项指标中任何一项低于评价指标体系规定的最低标准。</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第十三条</w:t>
      </w:r>
      <w:r>
        <w:rPr>
          <w:rFonts w:hint="eastAsia" w:ascii="方正仿宋_GBK" w:eastAsia="方正仿宋_GBK"/>
          <w:sz w:val="32"/>
          <w:szCs w:val="32"/>
        </w:rPr>
        <w:t xml:space="preserve">　区经济信息委、区科技局对评价结果予以公布。 </w:t>
      </w:r>
    </w:p>
    <w:p>
      <w:pPr>
        <w:spacing w:line="560" w:lineRule="exact"/>
        <w:jc w:val="center"/>
        <w:rPr>
          <w:rFonts w:ascii="方正黑体_GBK" w:eastAsia="方正黑体_GBK"/>
          <w:sz w:val="32"/>
          <w:szCs w:val="32"/>
        </w:rPr>
      </w:pPr>
      <w:r>
        <w:rPr>
          <w:rFonts w:hint="eastAsia" w:ascii="方正黑体_GBK" w:eastAsia="方正黑体_GBK"/>
          <w:sz w:val="32"/>
          <w:szCs w:val="32"/>
        </w:rPr>
        <w:t>第四章　调整与撤销</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第十四条</w:t>
      </w:r>
      <w:r>
        <w:rPr>
          <w:rFonts w:hint="eastAsia" w:ascii="方正仿宋_GBK" w:eastAsia="方正仿宋_GBK"/>
          <w:sz w:val="32"/>
          <w:szCs w:val="32"/>
        </w:rPr>
        <w:t>　有下列情况之一的，撤销其荣昌区企业技术中心资格：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1．评价不合格；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2．逾期未报送评价材料或提供虚假材料和数据；</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3．荣昌区企业技术中心所在企业自行要求撤销其荣昌区企业技术中心资格；</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4．荣昌区企业技术中心所在企业被依法终止；</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5．由于技术原因发生重大质量、安全事故的企业；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6．有严重违法违规行为企业。</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第十五条</w:t>
      </w:r>
      <w:r>
        <w:rPr>
          <w:rFonts w:hint="eastAsia" w:ascii="方正仿宋_GBK" w:eastAsia="方正仿宋_GBK"/>
          <w:sz w:val="32"/>
          <w:szCs w:val="32"/>
        </w:rPr>
        <w:t>　区经济信息委、区科技局对荣昌区企业技术中心的调整、撤销和更名结果予以公布。</w:t>
      </w:r>
    </w:p>
    <w:p>
      <w:pPr>
        <w:spacing w:line="560" w:lineRule="exact"/>
        <w:jc w:val="center"/>
        <w:rPr>
          <w:rFonts w:ascii="方正黑体_GBK" w:eastAsia="方正黑体_GBK"/>
          <w:sz w:val="32"/>
          <w:szCs w:val="32"/>
        </w:rPr>
      </w:pPr>
      <w:r>
        <w:rPr>
          <w:rFonts w:hint="eastAsia" w:ascii="方正黑体_GBK" w:eastAsia="方正黑体_GBK"/>
          <w:sz w:val="32"/>
          <w:szCs w:val="32"/>
        </w:rPr>
        <w:t>第五章　管理与政策</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第十六条</w:t>
      </w:r>
      <w:r>
        <w:rPr>
          <w:rFonts w:hint="eastAsia" w:ascii="方正仿宋_GBK" w:eastAsia="方正仿宋_GBK"/>
          <w:sz w:val="32"/>
          <w:szCs w:val="32"/>
        </w:rPr>
        <w:t>　企业上报的申请荣昌区企业技术中心材料和荣昌区企业技术中心上报的评价材料内容和数据应真实可靠。提供虚假材料的企业，经核实后，申请荣昌区企业技术中心认定的企业两年内不得再申请认定；已是荣昌区企业技术中心的</w:t>
      </w:r>
      <w:r>
        <w:rPr>
          <w:rFonts w:hint="eastAsia" w:ascii="方正仿宋_GBK" w:eastAsia="方正仿宋_GBK"/>
          <w:sz w:val="32"/>
          <w:szCs w:val="32"/>
          <w:lang w:eastAsia="zh-CN"/>
        </w:rPr>
        <w:t>撤销</w:t>
      </w:r>
      <w:r>
        <w:rPr>
          <w:rFonts w:hint="eastAsia" w:ascii="方正仿宋_GBK" w:eastAsia="方正仿宋_GBK"/>
          <w:sz w:val="32"/>
          <w:szCs w:val="32"/>
        </w:rPr>
        <w:t xml:space="preserve">其相应资格，两年内不得再申请认定。 </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第十七条</w:t>
      </w:r>
      <w:r>
        <w:rPr>
          <w:rFonts w:hint="eastAsia" w:ascii="方正仿宋_GBK" w:eastAsia="方正仿宋_GBK"/>
          <w:sz w:val="32"/>
          <w:szCs w:val="32"/>
        </w:rPr>
        <w:t>　因第十四条原因被撤销荣昌区企业技术中心资格的，两年内不得重新申报荣昌区企业技术中心。</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第十八条</w:t>
      </w:r>
      <w:r>
        <w:rPr>
          <w:rFonts w:hint="eastAsia" w:ascii="方正仿宋_GBK" w:eastAsia="方正仿宋_GBK"/>
          <w:sz w:val="32"/>
          <w:szCs w:val="32"/>
        </w:rPr>
        <w:t>　对于评价得分65分（含65分）至60分的荣昌区企业技术中心，给予警告，并由相关镇街（园区）负责督促整改。</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第十九条</w:t>
      </w:r>
      <w:r>
        <w:rPr>
          <w:rFonts w:hint="eastAsia" w:ascii="方正仿宋_GBK" w:eastAsia="方正仿宋_GBK"/>
          <w:sz w:val="32"/>
          <w:szCs w:val="32"/>
        </w:rPr>
        <w:t>　荣昌区企业技术中心所在企业发生更名、重组等重大调整的，应在办理相关手续后30个工作日内向镇街（园区）报告，并由镇街（园区）将有关情况报区经济信息委。</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第二十条</w:t>
      </w:r>
      <w:r>
        <w:rPr>
          <w:rFonts w:hint="eastAsia" w:ascii="方正仿宋_GBK" w:eastAsia="方正仿宋_GBK"/>
          <w:sz w:val="32"/>
          <w:szCs w:val="32"/>
        </w:rPr>
        <w:t>　区经济信息委、区科技局对新认定和在运行评价中获优秀等次的区级企业技术中心</w:t>
      </w:r>
      <w:r>
        <w:rPr>
          <w:rFonts w:hint="eastAsia" w:ascii="方正仿宋_GBK" w:eastAsia="方正仿宋_GBK"/>
          <w:bCs/>
          <w:sz w:val="32"/>
          <w:szCs w:val="32"/>
        </w:rPr>
        <w:t>给予适当政策支持。</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第二十一条</w:t>
      </w:r>
      <w:r>
        <w:rPr>
          <w:rFonts w:hint="eastAsia" w:ascii="方正仿宋_GBK" w:eastAsia="方正仿宋_GBK"/>
          <w:sz w:val="32"/>
          <w:szCs w:val="32"/>
        </w:rPr>
        <w:t xml:space="preserve">  各镇街（园区）负责对管辖范围内的区级企业技术中心进行日常管理，督促企业报送相关报表及评价材料，推动企业创新能力建设。</w:t>
      </w:r>
    </w:p>
    <w:p>
      <w:pPr>
        <w:spacing w:line="560" w:lineRule="exact"/>
        <w:jc w:val="center"/>
        <w:rPr>
          <w:rFonts w:ascii="方正黑体_GBK" w:eastAsia="方正黑体_GBK"/>
          <w:sz w:val="32"/>
          <w:szCs w:val="32"/>
        </w:rPr>
      </w:pPr>
      <w:r>
        <w:rPr>
          <w:rFonts w:hint="eastAsia" w:ascii="方正黑体_GBK" w:eastAsia="方正黑体_GBK"/>
          <w:sz w:val="32"/>
          <w:szCs w:val="32"/>
        </w:rPr>
        <w:t>第六章　附则</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第二十二条</w:t>
      </w:r>
      <w:r>
        <w:rPr>
          <w:rFonts w:hint="eastAsia" w:ascii="方正仿宋_GBK" w:eastAsia="方正仿宋_GBK"/>
          <w:sz w:val="32"/>
          <w:szCs w:val="32"/>
        </w:rPr>
        <w:t>　本办法涉及的《荣昌区企业技术中心评价指标体系》的内容和要求，由区经济信息委会商有关部门适时调整，在申报（评价）通知中印发。</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第二十三条</w:t>
      </w:r>
      <w:r>
        <w:rPr>
          <w:rFonts w:hint="eastAsia" w:ascii="方正仿宋_GBK" w:eastAsia="方正仿宋_GBK"/>
          <w:sz w:val="32"/>
          <w:szCs w:val="32"/>
        </w:rPr>
        <w:t>　本办法从下发之日起施行。原《荣昌区企业技术中心认定管理办法（试行）》（荣经信发〔2018〕60号）同时废止。</w:t>
      </w:r>
    </w:p>
    <w:p>
      <w:pPr>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第二十四条</w:t>
      </w:r>
      <w:r>
        <w:rPr>
          <w:rFonts w:hint="eastAsia" w:ascii="方正仿宋_GBK" w:eastAsia="方正仿宋_GBK"/>
          <w:sz w:val="32"/>
          <w:szCs w:val="32"/>
        </w:rPr>
        <w:t>　本办法由区经济信息委、区科技局负责解释。</w:t>
      </w:r>
    </w:p>
    <w:p>
      <w:pPr>
        <w:pStyle w:val="22"/>
        <w:widowControl w:val="0"/>
        <w:snapToGrid w:val="0"/>
        <w:spacing w:before="0" w:after="0" w:line="500" w:lineRule="atLeast"/>
        <w:rPr>
          <w:rStyle w:val="10"/>
          <w:rFonts w:hint="default" w:ascii="方正黑体_GBK" w:hAnsi="Times New Roman" w:eastAsia="方正黑体_GBK"/>
          <w:b w:val="0"/>
          <w:sz w:val="32"/>
          <w:szCs w:val="32"/>
        </w:rPr>
      </w:pPr>
      <w:r>
        <w:rPr>
          <w:rFonts w:ascii="方正仿宋_GBK" w:hAnsi="Times New Roman" w:eastAsia="方正仿宋_GBK"/>
          <w:sz w:val="32"/>
          <w:szCs w:val="32"/>
        </w:rPr>
        <w:br w:type="page"/>
      </w:r>
      <w:r>
        <w:rPr>
          <w:rStyle w:val="10"/>
          <w:rFonts w:ascii="方正黑体_GBK" w:hAnsi="Times New Roman" w:eastAsia="方正黑体_GBK"/>
          <w:b w:val="0"/>
          <w:sz w:val="32"/>
          <w:szCs w:val="32"/>
        </w:rPr>
        <w:t>附件1</w:t>
      </w:r>
    </w:p>
    <w:p>
      <w:pPr>
        <w:pStyle w:val="21"/>
        <w:widowControl w:val="0"/>
        <w:snapToGrid w:val="0"/>
        <w:spacing w:before="0" w:beforeAutospacing="0" w:after="0" w:afterAutospacing="0" w:line="640" w:lineRule="exact"/>
        <w:jc w:val="center"/>
        <w:rPr>
          <w:rFonts w:ascii="方正小标宋_GBK" w:hAnsi="Times New Roman" w:eastAsia="方正小标宋_GBK"/>
          <w:b/>
          <w:sz w:val="44"/>
          <w:szCs w:val="44"/>
        </w:rPr>
      </w:pPr>
      <w:r>
        <w:rPr>
          <w:rStyle w:val="10"/>
          <w:rFonts w:ascii="方正小标宋_GBK" w:hAnsi="Times New Roman" w:eastAsia="方正小标宋_GBK"/>
          <w:b w:val="0"/>
          <w:sz w:val="44"/>
          <w:szCs w:val="44"/>
        </w:rPr>
        <w:t>《荣昌区企业技术中心申请报告》编写提纲</w:t>
      </w:r>
    </w:p>
    <w:p>
      <w:pPr>
        <w:pStyle w:val="22"/>
        <w:widowControl w:val="0"/>
        <w:snapToGrid w:val="0"/>
        <w:spacing w:before="0" w:beforeAutospacing="0" w:after="0" w:afterAutospacing="0" w:line="500" w:lineRule="atLeast"/>
        <w:rPr>
          <w:rFonts w:hint="default" w:ascii="方正仿宋_GBK" w:hAnsi="Times New Roman" w:eastAsia="方正仿宋_GBK"/>
          <w:sz w:val="32"/>
          <w:szCs w:val="32"/>
        </w:rPr>
      </w:pPr>
    </w:p>
    <w:p>
      <w:pPr>
        <w:pStyle w:val="22"/>
        <w:widowControl w:val="0"/>
        <w:snapToGrid w:val="0"/>
        <w:spacing w:before="0" w:beforeAutospacing="0" w:after="0" w:afterAutospacing="0" w:line="560" w:lineRule="exact"/>
        <w:rPr>
          <w:rFonts w:ascii="方正黑体_GBK" w:hAnsi="Times New Roman" w:eastAsia="方正黑体_GBK"/>
          <w:b/>
          <w:sz w:val="32"/>
          <w:szCs w:val="32"/>
        </w:rPr>
      </w:pPr>
      <w:r>
        <w:rPr>
          <w:rStyle w:val="10"/>
          <w:rFonts w:ascii="方正仿宋_GBK" w:hAnsi="Times New Roman" w:eastAsia="方正仿宋_GBK"/>
          <w:sz w:val="32"/>
          <w:szCs w:val="32"/>
        </w:rPr>
        <w:t>　</w:t>
      </w:r>
      <w:r>
        <w:rPr>
          <w:rStyle w:val="10"/>
          <w:rFonts w:ascii="方正黑体_GBK" w:hAnsi="Times New Roman" w:eastAsia="方正黑体_GBK"/>
          <w:b w:val="0"/>
          <w:sz w:val="32"/>
          <w:szCs w:val="32"/>
        </w:rPr>
        <w:t>　一、企业（集团）的基本情况</w:t>
      </w:r>
    </w:p>
    <w:p>
      <w:pPr>
        <w:pStyle w:val="22"/>
        <w:widowControl w:val="0"/>
        <w:snapToGrid w:val="0"/>
        <w:spacing w:before="0" w:beforeAutospacing="0" w:after="0" w:afterAutospacing="0" w:line="560" w:lineRule="exact"/>
        <w:rPr>
          <w:rFonts w:hint="default" w:ascii="方正仿宋_GBK" w:hAnsi="Times New Roman" w:eastAsia="方正仿宋_GBK"/>
          <w:sz w:val="32"/>
          <w:szCs w:val="32"/>
        </w:rPr>
      </w:pPr>
      <w:r>
        <w:rPr>
          <w:rFonts w:ascii="方正仿宋_GBK" w:hAnsi="Times New Roman" w:eastAsia="方正仿宋_GBK"/>
          <w:sz w:val="32"/>
          <w:szCs w:val="32"/>
        </w:rPr>
        <w:t>　　1．企业经营管理等基本情况，包括所有制性质与隶属关系、职工人数、企业总资产、资产负债率、银行信用等级、销售收入、利润、利税、主导产品及市场占有率、技术来源等。</w:t>
      </w:r>
    </w:p>
    <w:p>
      <w:pPr>
        <w:pStyle w:val="22"/>
        <w:widowControl w:val="0"/>
        <w:snapToGrid w:val="0"/>
        <w:spacing w:before="0" w:beforeAutospacing="0" w:after="0" w:afterAutospacing="0" w:line="560"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2．企业在行业中的地位和作用。</w:t>
      </w:r>
    </w:p>
    <w:p>
      <w:pPr>
        <w:pStyle w:val="22"/>
        <w:widowControl w:val="0"/>
        <w:snapToGrid w:val="0"/>
        <w:spacing w:before="0" w:beforeAutospacing="0" w:after="0" w:afterAutospacing="0" w:line="560" w:lineRule="exact"/>
        <w:rPr>
          <w:rFonts w:hint="default" w:ascii="方正仿宋_GBK" w:hAnsi="Times New Roman" w:eastAsia="方正仿宋_GBK"/>
          <w:sz w:val="32"/>
          <w:szCs w:val="32"/>
        </w:rPr>
      </w:pPr>
      <w:r>
        <w:rPr>
          <w:rFonts w:ascii="方正仿宋_GBK" w:hAnsi="Times New Roman" w:eastAsia="方正仿宋_GBK"/>
          <w:sz w:val="32"/>
          <w:szCs w:val="32"/>
        </w:rPr>
        <w:t>　　3．企业在本产业领域技术创新中的作用和竞争能力。</w:t>
      </w:r>
    </w:p>
    <w:p>
      <w:pPr>
        <w:pStyle w:val="22"/>
        <w:widowControl w:val="0"/>
        <w:snapToGrid w:val="0"/>
        <w:spacing w:before="0" w:beforeAutospacing="0" w:after="0" w:afterAutospacing="0" w:line="560" w:lineRule="exact"/>
        <w:rPr>
          <w:rFonts w:ascii="方正黑体_GBK" w:hAnsi="Times New Roman" w:eastAsia="方正黑体_GBK"/>
          <w:b/>
          <w:sz w:val="32"/>
          <w:szCs w:val="32"/>
        </w:rPr>
      </w:pPr>
      <w:r>
        <w:rPr>
          <w:rStyle w:val="10"/>
          <w:rFonts w:ascii="方正仿宋_GBK" w:hAnsi="Times New Roman" w:eastAsia="方正仿宋_GBK"/>
          <w:b w:val="0"/>
          <w:sz w:val="32"/>
          <w:szCs w:val="32"/>
        </w:rPr>
        <w:t>　</w:t>
      </w:r>
      <w:r>
        <w:rPr>
          <w:rStyle w:val="10"/>
          <w:rFonts w:ascii="方正黑体_GBK" w:hAnsi="Times New Roman" w:eastAsia="方正黑体_GBK"/>
          <w:b w:val="0"/>
          <w:sz w:val="32"/>
          <w:szCs w:val="32"/>
        </w:rPr>
        <w:t>　二、企业技术中心的基本情况</w:t>
      </w:r>
    </w:p>
    <w:p>
      <w:pPr>
        <w:pStyle w:val="22"/>
        <w:snapToGrid w:val="0"/>
        <w:spacing w:before="0" w:beforeAutospacing="0" w:after="0" w:afterAutospacing="0" w:line="560" w:lineRule="exact"/>
        <w:rPr>
          <w:rFonts w:hint="default" w:ascii="方正仿宋_GBK" w:hAnsi="Times New Roman" w:eastAsia="方正仿宋_GBK"/>
          <w:sz w:val="32"/>
          <w:szCs w:val="32"/>
        </w:rPr>
      </w:pPr>
      <w:r>
        <w:rPr>
          <w:rFonts w:ascii="方正仿宋_GBK" w:hAnsi="Times New Roman" w:eastAsia="方正仿宋_GBK"/>
          <w:sz w:val="32"/>
          <w:szCs w:val="32"/>
        </w:rPr>
        <w:t>　　1．企业技术中心的组织机构和运行机制，包括：企业技术中心的建设和发展历程、组织架构、组织体系建设、规章制度建立、研发项目组织管理机制、研发经费管理机制、人才激励机制、内外部合作机制等。</w:t>
      </w:r>
    </w:p>
    <w:p>
      <w:pPr>
        <w:pStyle w:val="22"/>
        <w:snapToGrid w:val="0"/>
        <w:spacing w:before="0" w:beforeAutospacing="0" w:after="0" w:afterAutospacing="0" w:line="560" w:lineRule="exact"/>
        <w:rPr>
          <w:rFonts w:hint="default" w:ascii="方正仿宋_GBK" w:hAnsi="Times New Roman" w:eastAsia="方正仿宋_GBK"/>
          <w:sz w:val="32"/>
          <w:szCs w:val="32"/>
        </w:rPr>
      </w:pPr>
      <w:r>
        <w:rPr>
          <w:rFonts w:ascii="方正仿宋_GBK" w:hAnsi="Times New Roman" w:eastAsia="方正仿宋_GBK"/>
          <w:sz w:val="32"/>
          <w:szCs w:val="32"/>
        </w:rPr>
        <w:t>　　2．企业技术中心的基础条件和创新资源整合情况，包括：研究开发和试验基础条件建设情况，固定资产原值、净值；企业技术中心技术带头人及创新团队建设情况，人才培养情况；研发投入情况；信息化建设情况。</w:t>
      </w:r>
    </w:p>
    <w:p>
      <w:pPr>
        <w:pStyle w:val="22"/>
        <w:snapToGrid w:val="0"/>
        <w:spacing w:before="0" w:beforeAutospacing="0" w:after="0" w:afterAutospacing="0" w:line="560" w:lineRule="exact"/>
        <w:ind w:firstLine="631"/>
        <w:rPr>
          <w:rFonts w:hint="default" w:ascii="方正仿宋_GBK" w:hAnsi="Times New Roman" w:eastAsia="方正仿宋_GBK"/>
          <w:sz w:val="32"/>
          <w:szCs w:val="32"/>
        </w:rPr>
      </w:pPr>
      <w:r>
        <w:rPr>
          <w:rFonts w:ascii="方正仿宋_GBK" w:hAnsi="Times New Roman" w:eastAsia="方正仿宋_GBK"/>
          <w:sz w:val="32"/>
          <w:szCs w:val="32"/>
        </w:rPr>
        <w:t>3．企业技术中心研究开发工作开展情况，包括：原创性创新、自主开发、引进技术消化吸收、重大产品创新、工艺创新、商业模式创新、产学研合作、企业间合作、国际化研发活动等。</w:t>
      </w:r>
    </w:p>
    <w:p>
      <w:pPr>
        <w:pStyle w:val="22"/>
        <w:snapToGrid w:val="0"/>
        <w:spacing w:before="0" w:beforeAutospacing="0" w:after="0" w:afterAutospacing="0" w:line="560" w:lineRule="exact"/>
        <w:ind w:firstLine="631"/>
        <w:rPr>
          <w:rFonts w:hint="default" w:ascii="方正仿宋_GBK" w:hAnsi="Times New Roman" w:eastAsia="方正仿宋_GBK"/>
          <w:sz w:val="32"/>
          <w:szCs w:val="32"/>
        </w:rPr>
      </w:pPr>
      <w:r>
        <w:rPr>
          <w:rFonts w:ascii="方正仿宋_GBK" w:hAnsi="Times New Roman" w:eastAsia="方正仿宋_GBK"/>
          <w:sz w:val="32"/>
          <w:szCs w:val="32"/>
        </w:rPr>
        <w:t>4．企业技术中心取得的主要创新成果（3年之内）及其经济社会效益。</w:t>
      </w:r>
    </w:p>
    <w:p>
      <w:pPr>
        <w:spacing w:after="156" w:afterLines="50" w:line="560" w:lineRule="exact"/>
        <w:rPr>
          <w:rFonts w:ascii="方正黑体_GBK" w:eastAsia="方正黑体_GBK"/>
          <w:b/>
          <w:sz w:val="32"/>
          <w:szCs w:val="32"/>
        </w:rPr>
      </w:pPr>
      <w:r>
        <w:rPr>
          <w:rFonts w:hint="eastAsia" w:ascii="方正仿宋_GBK" w:eastAsia="方正仿宋_GBK"/>
          <w:sz w:val="32"/>
          <w:szCs w:val="32"/>
        </w:rPr>
        <w:br w:type="page"/>
      </w:r>
      <w:r>
        <w:rPr>
          <w:rStyle w:val="10"/>
          <w:rFonts w:hint="eastAsia" w:ascii="方正黑体_GBK" w:eastAsia="方正黑体_GBK"/>
          <w:b w:val="0"/>
          <w:sz w:val="32"/>
          <w:szCs w:val="32"/>
        </w:rPr>
        <w:t>附件2</w:t>
      </w:r>
    </w:p>
    <w:p>
      <w:pPr>
        <w:snapToGrid w:val="0"/>
        <w:spacing w:line="560" w:lineRule="exact"/>
        <w:jc w:val="center"/>
        <w:rPr>
          <w:rFonts w:ascii="方正小标宋_GBK" w:eastAsia="方正小标宋_GBK"/>
          <w:sz w:val="44"/>
          <w:szCs w:val="44"/>
        </w:rPr>
      </w:pPr>
      <w:r>
        <w:rPr>
          <w:rFonts w:hint="eastAsia" w:ascii="方正小标宋_GBK" w:hAnsi="方正小标宋_GBK" w:eastAsia="方正小标宋_GBK"/>
          <w:sz w:val="44"/>
          <w:szCs w:val="44"/>
        </w:rPr>
        <w:t>荣昌区企业技术中心评价材料</w:t>
      </w:r>
    </w:p>
    <w:p>
      <w:pPr>
        <w:snapToGrid w:val="0"/>
        <w:spacing w:line="500" w:lineRule="atLeast"/>
        <w:jc w:val="left"/>
        <w:rPr>
          <w:rFonts w:ascii="方正仿宋_GBK" w:eastAsia="方正仿宋_GBK"/>
          <w:sz w:val="32"/>
          <w:szCs w:val="32"/>
        </w:rPr>
      </w:pPr>
    </w:p>
    <w:p>
      <w:pPr>
        <w:snapToGrid w:val="0"/>
        <w:spacing w:line="500" w:lineRule="atLeast"/>
        <w:jc w:val="left"/>
        <w:rPr>
          <w:rFonts w:ascii="方正黑体_GBK" w:eastAsia="方正黑体_GBK"/>
          <w:sz w:val="32"/>
          <w:szCs w:val="32"/>
        </w:rPr>
      </w:pPr>
      <w:r>
        <w:rPr>
          <w:rFonts w:hint="eastAsia" w:ascii="方正仿宋_GBK" w:eastAsia="方正仿宋_GBK"/>
          <w:sz w:val="32"/>
          <w:szCs w:val="32"/>
        </w:rPr>
        <w:t>　</w:t>
      </w:r>
      <w:r>
        <w:rPr>
          <w:rFonts w:hint="eastAsia" w:ascii="方正黑体_GBK" w:eastAsia="方正黑体_GBK"/>
          <w:sz w:val="32"/>
          <w:szCs w:val="32"/>
        </w:rPr>
        <w:t>　一、企业技术中心评价表</w:t>
      </w:r>
    </w:p>
    <w:tbl>
      <w:tblPr>
        <w:tblStyle w:val="14"/>
        <w:tblW w:w="9038" w:type="dxa"/>
        <w:jc w:val="center"/>
        <w:tblInd w:w="0" w:type="dxa"/>
        <w:tblLayout w:type="fixed"/>
        <w:tblCellMar>
          <w:top w:w="0" w:type="dxa"/>
          <w:left w:w="108" w:type="dxa"/>
          <w:bottom w:w="0" w:type="dxa"/>
          <w:right w:w="108" w:type="dxa"/>
        </w:tblCellMar>
      </w:tblPr>
      <w:tblGrid>
        <w:gridCol w:w="538"/>
        <w:gridCol w:w="1744"/>
        <w:gridCol w:w="3119"/>
        <w:gridCol w:w="1276"/>
        <w:gridCol w:w="2361"/>
      </w:tblGrid>
      <w:tr>
        <w:tblPrEx>
          <w:tblLayout w:type="fixed"/>
          <w:tblCellMar>
            <w:top w:w="0" w:type="dxa"/>
            <w:left w:w="108" w:type="dxa"/>
            <w:bottom w:w="0" w:type="dxa"/>
            <w:right w:w="108" w:type="dxa"/>
          </w:tblCellMar>
        </w:tblPrEx>
        <w:trPr>
          <w:trHeight w:val="714"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企业名称</w:t>
            </w:r>
          </w:p>
        </w:tc>
        <w:tc>
          <w:tcPr>
            <w:tcW w:w="6756"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96"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通讯地址</w:t>
            </w:r>
          </w:p>
        </w:tc>
        <w:tc>
          <w:tcPr>
            <w:tcW w:w="311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所在镇街（园区）</w:t>
            </w:r>
          </w:p>
        </w:tc>
        <w:tc>
          <w:tcPr>
            <w:tcW w:w="2361"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92"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所属行业</w:t>
            </w:r>
          </w:p>
        </w:tc>
        <w:tc>
          <w:tcPr>
            <w:tcW w:w="311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所有制</w:t>
            </w:r>
          </w:p>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形式</w:t>
            </w:r>
          </w:p>
        </w:tc>
        <w:tc>
          <w:tcPr>
            <w:tcW w:w="2361"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702"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企业负责人</w:t>
            </w:r>
          </w:p>
        </w:tc>
        <w:tc>
          <w:tcPr>
            <w:tcW w:w="311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联系电话</w:t>
            </w:r>
          </w:p>
        </w:tc>
        <w:tc>
          <w:tcPr>
            <w:tcW w:w="2361"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99"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技术中心负责人</w:t>
            </w:r>
          </w:p>
        </w:tc>
        <w:tc>
          <w:tcPr>
            <w:tcW w:w="311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联系电话</w:t>
            </w:r>
          </w:p>
        </w:tc>
        <w:tc>
          <w:tcPr>
            <w:tcW w:w="2361"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94"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联</w:t>
            </w:r>
            <w:r>
              <w:rPr>
                <w:rFonts w:hint="eastAsia" w:ascii="方正仿宋_GBK" w:eastAsia="方正仿宋_GBK"/>
                <w:kern w:val="0"/>
                <w:sz w:val="32"/>
                <w:szCs w:val="32"/>
              </w:rPr>
              <w:t> </w:t>
            </w:r>
            <w:r>
              <w:rPr>
                <w:rFonts w:hint="eastAsia" w:ascii="方正仿宋_GBK" w:hAnsi="仿宋" w:eastAsia="方正仿宋_GBK"/>
                <w:kern w:val="0"/>
                <w:sz w:val="32"/>
                <w:szCs w:val="32"/>
              </w:rPr>
              <w:t>系</w:t>
            </w:r>
            <w:r>
              <w:rPr>
                <w:rFonts w:hint="eastAsia" w:ascii="方正仿宋_GBK" w:eastAsia="方正仿宋_GBK"/>
                <w:kern w:val="0"/>
                <w:sz w:val="32"/>
                <w:szCs w:val="32"/>
              </w:rPr>
              <w:t> </w:t>
            </w:r>
            <w:r>
              <w:rPr>
                <w:rFonts w:hint="eastAsia" w:ascii="方正仿宋_GBK" w:hAnsi="仿宋" w:eastAsia="方正仿宋_GBK"/>
                <w:kern w:val="0"/>
                <w:sz w:val="32"/>
                <w:szCs w:val="32"/>
              </w:rPr>
              <w:t>人</w:t>
            </w:r>
          </w:p>
        </w:tc>
        <w:tc>
          <w:tcPr>
            <w:tcW w:w="311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联系电话</w:t>
            </w:r>
          </w:p>
        </w:tc>
        <w:tc>
          <w:tcPr>
            <w:tcW w:w="2361"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704" w:hRule="atLeast"/>
          <w:jc w:val="center"/>
        </w:trPr>
        <w:tc>
          <w:tcPr>
            <w:tcW w:w="228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联系传真</w:t>
            </w:r>
          </w:p>
        </w:tc>
        <w:tc>
          <w:tcPr>
            <w:tcW w:w="311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电子邮件</w:t>
            </w:r>
          </w:p>
        </w:tc>
        <w:tc>
          <w:tcPr>
            <w:tcW w:w="2361"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700" w:hRule="atLeast"/>
          <w:jc w:val="center"/>
        </w:trPr>
        <w:tc>
          <w:tcPr>
            <w:tcW w:w="2282" w:type="dxa"/>
            <w:gridSpan w:val="2"/>
            <w:tcBorders>
              <w:top w:val="single" w:color="auto" w:sz="4" w:space="0"/>
              <w:left w:val="single" w:color="auto" w:sz="4" w:space="0"/>
              <w:bottom w:val="nil"/>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企业网址</w:t>
            </w:r>
          </w:p>
        </w:tc>
        <w:tc>
          <w:tcPr>
            <w:tcW w:w="3119" w:type="dxa"/>
            <w:tcBorders>
              <w:top w:val="single" w:color="auto" w:sz="4" w:space="0"/>
              <w:left w:val="nil"/>
              <w:bottom w:val="nil"/>
              <w:right w:val="single" w:color="auto" w:sz="4" w:space="0"/>
            </w:tcBorders>
            <w:vAlign w:val="center"/>
          </w:tcPr>
          <w:p>
            <w:pPr>
              <w:widowControl/>
              <w:spacing w:line="300" w:lineRule="exact"/>
              <w:jc w:val="center"/>
              <w:rPr>
                <w:rFonts w:ascii="方正仿宋_GBK" w:eastAsia="方正仿宋_GBK"/>
                <w:kern w:val="0"/>
                <w:sz w:val="32"/>
                <w:szCs w:val="32"/>
              </w:rPr>
            </w:pPr>
          </w:p>
        </w:tc>
        <w:tc>
          <w:tcPr>
            <w:tcW w:w="1276" w:type="dxa"/>
            <w:tcBorders>
              <w:top w:val="nil"/>
              <w:left w:val="nil"/>
              <w:bottom w:val="nil"/>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报告年度</w:t>
            </w:r>
          </w:p>
        </w:tc>
        <w:tc>
          <w:tcPr>
            <w:tcW w:w="2361" w:type="dxa"/>
            <w:tcBorders>
              <w:top w:val="nil"/>
              <w:left w:val="nil"/>
              <w:bottom w:val="nil"/>
              <w:right w:val="single" w:color="auto" w:sz="4" w:space="0"/>
            </w:tcBorders>
            <w:vAlign w:val="center"/>
          </w:tcPr>
          <w:p>
            <w:pPr>
              <w:widowControl/>
              <w:spacing w:line="300" w:lineRule="exact"/>
              <w:jc w:val="center"/>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838"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方正仿宋_GBK" w:eastAsia="方正仿宋_GBK"/>
                <w:b/>
                <w:bCs/>
                <w:kern w:val="0"/>
                <w:sz w:val="32"/>
                <w:szCs w:val="32"/>
              </w:rPr>
            </w:pPr>
            <w:r>
              <w:rPr>
                <w:rFonts w:hint="eastAsia" w:ascii="方正仿宋_GBK" w:hAnsi="仿宋" w:eastAsia="方正仿宋_GBK"/>
                <w:b/>
                <w:bCs/>
                <w:kern w:val="0"/>
                <w:sz w:val="32"/>
                <w:szCs w:val="32"/>
              </w:rPr>
              <w:t>序号</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b/>
                <w:bCs/>
                <w:kern w:val="0"/>
                <w:sz w:val="32"/>
                <w:szCs w:val="32"/>
              </w:rPr>
            </w:pPr>
            <w:r>
              <w:rPr>
                <w:rFonts w:hint="eastAsia" w:ascii="方正仿宋_GBK" w:hAnsi="仿宋" w:eastAsia="方正仿宋_GBK"/>
                <w:b/>
                <w:bCs/>
                <w:kern w:val="0"/>
                <w:sz w:val="32"/>
                <w:szCs w:val="32"/>
              </w:rPr>
              <w:t>定量数据名称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b/>
                <w:bCs/>
                <w:kern w:val="0"/>
                <w:sz w:val="32"/>
                <w:szCs w:val="32"/>
              </w:rPr>
            </w:pPr>
            <w:r>
              <w:rPr>
                <w:rFonts w:hint="eastAsia" w:ascii="方正仿宋_GBK" w:hAnsi="仿宋" w:eastAsia="方正仿宋_GBK"/>
                <w:b/>
                <w:bCs/>
                <w:kern w:val="0"/>
                <w:sz w:val="32"/>
                <w:szCs w:val="32"/>
              </w:rPr>
              <w:t>单位</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b/>
                <w:bCs/>
                <w:kern w:val="0"/>
                <w:sz w:val="32"/>
                <w:szCs w:val="32"/>
              </w:rPr>
            </w:pPr>
            <w:r>
              <w:rPr>
                <w:rFonts w:hint="eastAsia" w:ascii="方正仿宋_GBK" w:hAnsi="仿宋" w:eastAsia="方正仿宋_GBK"/>
                <w:b/>
                <w:bCs/>
                <w:kern w:val="0"/>
                <w:sz w:val="32"/>
                <w:szCs w:val="32"/>
              </w:rPr>
              <w:t>数据值</w:t>
            </w:r>
          </w:p>
        </w:tc>
      </w:tr>
      <w:tr>
        <w:tblPrEx>
          <w:tblLayout w:type="fixed"/>
          <w:tblCellMar>
            <w:top w:w="0" w:type="dxa"/>
            <w:left w:w="108" w:type="dxa"/>
            <w:bottom w:w="0" w:type="dxa"/>
            <w:right w:w="108" w:type="dxa"/>
          </w:tblCellMar>
        </w:tblPrEx>
        <w:trPr>
          <w:trHeight w:val="694"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企业主营业务收入总额</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9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w:t>
            </w:r>
            <w:r>
              <w:rPr>
                <w:rFonts w:hint="eastAsia" w:ascii="方正仿宋_GBK" w:eastAsia="方正仿宋_GBK"/>
                <w:kern w:val="0"/>
                <w:sz w:val="32"/>
                <w:szCs w:val="32"/>
              </w:rPr>
              <w:t>T-1</w:t>
            </w:r>
            <w:r>
              <w:rPr>
                <w:rFonts w:hint="eastAsia" w:ascii="方正仿宋_GBK" w:hAnsi="仿宋" w:eastAsia="方正仿宋_GBK"/>
                <w:kern w:val="0"/>
                <w:sz w:val="32"/>
                <w:szCs w:val="32"/>
              </w:rPr>
              <w:t>）企业主营业务收入总额</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715"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3</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color w:val="000000"/>
                <w:kern w:val="0"/>
                <w:sz w:val="32"/>
                <w:szCs w:val="32"/>
              </w:rPr>
            </w:pPr>
            <w:r>
              <w:rPr>
                <w:rFonts w:hint="eastAsia" w:ascii="方正仿宋_GBK" w:hAnsi="仿宋" w:eastAsia="方正仿宋_GBK"/>
                <w:color w:val="000000"/>
                <w:kern w:val="0"/>
                <w:sz w:val="32"/>
                <w:szCs w:val="32"/>
              </w:rPr>
              <w:t>企业利润总额</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96"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4</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color w:val="000000"/>
                <w:kern w:val="0"/>
                <w:sz w:val="32"/>
                <w:szCs w:val="32"/>
              </w:rPr>
            </w:pPr>
            <w:r>
              <w:rPr>
                <w:rFonts w:hint="eastAsia" w:ascii="方正仿宋_GBK" w:hAnsi="仿宋" w:eastAsia="方正仿宋_GBK"/>
                <w:color w:val="000000"/>
                <w:kern w:val="0"/>
                <w:sz w:val="32"/>
                <w:szCs w:val="32"/>
              </w:rPr>
              <w:t>新产品销售收入</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706"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5</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color w:val="000000"/>
                <w:kern w:val="0"/>
                <w:sz w:val="32"/>
                <w:szCs w:val="32"/>
              </w:rPr>
            </w:pPr>
            <w:r>
              <w:rPr>
                <w:rFonts w:hint="eastAsia" w:ascii="方正仿宋_GBK" w:hAnsi="仿宋" w:eastAsia="方正仿宋_GBK"/>
                <w:color w:val="000000"/>
                <w:kern w:val="0"/>
                <w:sz w:val="32"/>
                <w:szCs w:val="32"/>
              </w:rPr>
              <w:t>新产品销售利润</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7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6</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企业研究与试验发展（</w:t>
            </w:r>
            <w:r>
              <w:rPr>
                <w:rFonts w:hint="eastAsia" w:ascii="方正仿宋_GBK" w:eastAsia="方正仿宋_GBK"/>
                <w:kern w:val="0"/>
                <w:sz w:val="32"/>
                <w:szCs w:val="32"/>
              </w:rPr>
              <w:t>R&amp;D</w:t>
            </w:r>
            <w:r>
              <w:rPr>
                <w:rFonts w:hint="eastAsia" w:ascii="方正仿宋_GBK" w:hAnsi="仿宋" w:eastAsia="方正仿宋_GBK"/>
                <w:kern w:val="0"/>
                <w:sz w:val="32"/>
                <w:szCs w:val="32"/>
              </w:rPr>
              <w:t>）经费支出额</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567"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7</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其中：企业内部的日常研发经费支出</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547"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8</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40" w:firstLineChars="200"/>
              <w:jc w:val="left"/>
              <w:rPr>
                <w:rFonts w:ascii="方正仿宋_GBK" w:eastAsia="方正仿宋_GBK"/>
                <w:kern w:val="0"/>
                <w:sz w:val="32"/>
                <w:szCs w:val="32"/>
              </w:rPr>
            </w:pPr>
            <w:r>
              <w:rPr>
                <w:rFonts w:hint="eastAsia" w:ascii="方正仿宋_GBK" w:hAnsi="仿宋" w:eastAsia="方正仿宋_GBK"/>
                <w:kern w:val="0"/>
                <w:sz w:val="32"/>
                <w:szCs w:val="32"/>
              </w:rPr>
              <w:t>其中：委托外单位开展研发的经费支出</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838"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9</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w:t>
            </w:r>
            <w:r>
              <w:rPr>
                <w:rFonts w:hint="eastAsia" w:ascii="方正仿宋_GBK" w:eastAsia="方正仿宋_GBK"/>
                <w:kern w:val="0"/>
                <w:sz w:val="32"/>
                <w:szCs w:val="32"/>
              </w:rPr>
              <w:t>T-1</w:t>
            </w:r>
            <w:r>
              <w:rPr>
                <w:rFonts w:hint="eastAsia" w:ascii="方正仿宋_GBK" w:hAnsi="仿宋" w:eastAsia="方正仿宋_GBK"/>
                <w:kern w:val="0"/>
                <w:sz w:val="32"/>
                <w:szCs w:val="32"/>
              </w:rPr>
              <w:t>）企业研究与试验发展（</w:t>
            </w:r>
            <w:r>
              <w:rPr>
                <w:rFonts w:hint="eastAsia" w:ascii="方正仿宋_GBK" w:eastAsia="方正仿宋_GBK"/>
                <w:kern w:val="0"/>
                <w:sz w:val="32"/>
                <w:szCs w:val="32"/>
              </w:rPr>
              <w:t>R&amp;D</w:t>
            </w:r>
            <w:r>
              <w:rPr>
                <w:rFonts w:hint="eastAsia" w:ascii="方正仿宋_GBK" w:hAnsi="仿宋" w:eastAsia="方正仿宋_GBK"/>
                <w:kern w:val="0"/>
                <w:sz w:val="32"/>
                <w:szCs w:val="32"/>
              </w:rPr>
              <w:t>）经费支出额</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7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10</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其中：（</w:t>
            </w:r>
            <w:r>
              <w:rPr>
                <w:rFonts w:hint="eastAsia" w:ascii="方正仿宋_GBK" w:eastAsia="方正仿宋_GBK"/>
                <w:kern w:val="0"/>
                <w:sz w:val="32"/>
                <w:szCs w:val="32"/>
              </w:rPr>
              <w:t>T-1</w:t>
            </w:r>
            <w:r>
              <w:rPr>
                <w:rFonts w:hint="eastAsia" w:ascii="方正仿宋_GBK" w:hAnsi="仿宋" w:eastAsia="方正仿宋_GBK"/>
                <w:kern w:val="0"/>
                <w:sz w:val="32"/>
                <w:szCs w:val="32"/>
              </w:rPr>
              <w:t>）企业内部的日常研发经费支出</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7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11</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40" w:firstLineChars="200"/>
              <w:jc w:val="left"/>
              <w:rPr>
                <w:rFonts w:ascii="方正仿宋_GBK" w:eastAsia="方正仿宋_GBK"/>
                <w:kern w:val="0"/>
                <w:sz w:val="32"/>
                <w:szCs w:val="32"/>
              </w:rPr>
            </w:pPr>
            <w:r>
              <w:rPr>
                <w:rFonts w:hint="eastAsia" w:ascii="方正仿宋_GBK" w:hAnsi="仿宋" w:eastAsia="方正仿宋_GBK"/>
                <w:kern w:val="0"/>
                <w:sz w:val="32"/>
                <w:szCs w:val="32"/>
              </w:rPr>
              <w:t>其中：（</w:t>
            </w:r>
            <w:r>
              <w:rPr>
                <w:rFonts w:hint="eastAsia" w:ascii="方正仿宋_GBK" w:eastAsia="方正仿宋_GBK"/>
                <w:kern w:val="0"/>
                <w:sz w:val="32"/>
                <w:szCs w:val="32"/>
              </w:rPr>
              <w:t>T-1</w:t>
            </w:r>
            <w:r>
              <w:rPr>
                <w:rFonts w:hint="eastAsia" w:ascii="方正仿宋_GBK" w:hAnsi="仿宋" w:eastAsia="方正仿宋_GBK"/>
                <w:kern w:val="0"/>
                <w:sz w:val="32"/>
                <w:szCs w:val="32"/>
              </w:rPr>
              <w:t>）委托外单位开展研发的经费支出</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12</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企业技术开发仪器设备原值</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13</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lang w:bidi="ar"/>
              </w:rPr>
              <w:t>企业技术中心能力建设投入数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559"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14</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拥有国家级、省级研发平台数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个</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96"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15</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拥有国家或国际组织认证实验室等研究检测机构数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个</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16</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企业职工总数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人</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17</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企业全体职工年收入总额</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18</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企业研究与试验发展（</w:t>
            </w:r>
            <w:r>
              <w:rPr>
                <w:rFonts w:hint="eastAsia" w:ascii="方正仿宋_GBK" w:eastAsia="方正仿宋_GBK"/>
                <w:kern w:val="0"/>
                <w:sz w:val="32"/>
                <w:szCs w:val="32"/>
              </w:rPr>
              <w:t>R&amp;D</w:t>
            </w:r>
            <w:r>
              <w:rPr>
                <w:rFonts w:hint="eastAsia" w:ascii="方正仿宋_GBK" w:hAnsi="仿宋" w:eastAsia="方正仿宋_GBK"/>
                <w:kern w:val="0"/>
                <w:sz w:val="32"/>
                <w:szCs w:val="32"/>
              </w:rPr>
              <w:t>）人员数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人</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61"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19</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技术中心职工人数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人</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20</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技术中心全体职工年收入总额</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万元</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21</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技术中心中、高级专家人数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人</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22</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技术中心硕士、博士人数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人</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23</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来技术中心从事研发工作的外部专家人数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人月</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24</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企业全部研发项目数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25</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其中：基础研究和应用研究项目数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26</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其中：对外合作项目数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27</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当年完成新产品新技术新工艺开发项目数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28</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其中：列入市级计划数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29</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企业拥有的全部有效发明专利数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30</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当年被受理的专利申请数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31</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其中：当年被受理的发明专利申请数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1101"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32</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主持和参加制定的国际、国家、行业标准数（建筑行业应包括取得的国家级市级工法数量）</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p>
        </w:tc>
      </w:tr>
      <w:tr>
        <w:tblPrEx>
          <w:tblLayout w:type="fixed"/>
          <w:tblCellMar>
            <w:top w:w="0" w:type="dxa"/>
            <w:left w:w="108" w:type="dxa"/>
            <w:bottom w:w="0" w:type="dxa"/>
            <w:right w:w="108" w:type="dxa"/>
          </w:tblCellMar>
        </w:tblPrEx>
        <w:trPr>
          <w:trHeight w:val="600"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33</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企业拥有国家级、市级质量品牌奖项数</w:t>
            </w:r>
          </w:p>
        </w:tc>
        <w:tc>
          <w:tcPr>
            <w:tcW w:w="127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个</w:t>
            </w:r>
          </w:p>
        </w:tc>
        <w:tc>
          <w:tcPr>
            <w:tcW w:w="236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806" w:hRule="atLeast"/>
          <w:jc w:val="center"/>
        </w:trPr>
        <w:tc>
          <w:tcPr>
            <w:tcW w:w="53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rPr>
              <w:t>34</w:t>
            </w:r>
          </w:p>
        </w:tc>
        <w:tc>
          <w:tcPr>
            <w:tcW w:w="486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企业拥有国家或重庆市自然科学、技术发明、科技进步奖项目数</w:t>
            </w:r>
          </w:p>
        </w:tc>
        <w:tc>
          <w:tcPr>
            <w:tcW w:w="1276"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hAnsi="仿宋" w:eastAsia="方正仿宋_GBK"/>
                <w:kern w:val="0"/>
                <w:sz w:val="32"/>
                <w:szCs w:val="32"/>
              </w:rPr>
              <w:t>项</w:t>
            </w:r>
          </w:p>
        </w:tc>
        <w:tc>
          <w:tcPr>
            <w:tcW w:w="2361" w:type="dxa"/>
            <w:tcBorders>
              <w:top w:val="nil"/>
              <w:left w:val="nil"/>
              <w:bottom w:val="single" w:color="auto" w:sz="4" w:space="0"/>
              <w:right w:val="single" w:color="auto" w:sz="4" w:space="0"/>
            </w:tcBorders>
            <w:vAlign w:val="center"/>
          </w:tcPr>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　</w:t>
            </w:r>
          </w:p>
        </w:tc>
      </w:tr>
      <w:tr>
        <w:tblPrEx>
          <w:tblLayout w:type="fixed"/>
          <w:tblCellMar>
            <w:top w:w="0" w:type="dxa"/>
            <w:left w:w="108" w:type="dxa"/>
            <w:bottom w:w="0" w:type="dxa"/>
            <w:right w:w="108" w:type="dxa"/>
          </w:tblCellMar>
        </w:tblPrEx>
        <w:trPr>
          <w:trHeight w:val="2925" w:hRule="atLeast"/>
          <w:jc w:val="center"/>
        </w:trPr>
        <w:tc>
          <w:tcPr>
            <w:tcW w:w="9038" w:type="dxa"/>
            <w:gridSpan w:val="5"/>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方正仿宋_GBK" w:eastAsia="方正仿宋_GBK"/>
                <w:kern w:val="0"/>
                <w:sz w:val="32"/>
                <w:szCs w:val="32"/>
              </w:rPr>
            </w:pPr>
          </w:p>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一、申报（评价）单位意见</w:t>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签章</w:t>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年</w:t>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月   日</w:t>
            </w:r>
            <w:r>
              <w:rPr>
                <w:rFonts w:hint="eastAsia" w:ascii="方正仿宋_GBK" w:eastAsia="方正仿宋_GBK"/>
                <w:kern w:val="0"/>
                <w:sz w:val="32"/>
                <w:szCs w:val="32"/>
              </w:rPr>
              <w:t xml:space="preserve">     </w:t>
            </w:r>
          </w:p>
        </w:tc>
      </w:tr>
      <w:tr>
        <w:tblPrEx>
          <w:tblLayout w:type="fixed"/>
          <w:tblCellMar>
            <w:top w:w="0" w:type="dxa"/>
            <w:left w:w="108" w:type="dxa"/>
            <w:bottom w:w="0" w:type="dxa"/>
            <w:right w:w="108" w:type="dxa"/>
          </w:tblCellMar>
        </w:tblPrEx>
        <w:trPr>
          <w:trHeight w:val="2826" w:hRule="atLeast"/>
          <w:jc w:val="center"/>
        </w:trPr>
        <w:tc>
          <w:tcPr>
            <w:tcW w:w="9038" w:type="dxa"/>
            <w:gridSpan w:val="5"/>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方正仿宋_GBK" w:eastAsia="方正仿宋_GBK"/>
                <w:kern w:val="0"/>
                <w:sz w:val="32"/>
                <w:szCs w:val="32"/>
              </w:rPr>
            </w:pPr>
          </w:p>
          <w:p>
            <w:pPr>
              <w:widowControl/>
              <w:spacing w:line="300" w:lineRule="exact"/>
              <w:jc w:val="left"/>
              <w:rPr>
                <w:rFonts w:ascii="方正仿宋_GBK" w:eastAsia="方正仿宋_GBK"/>
                <w:kern w:val="0"/>
                <w:sz w:val="32"/>
                <w:szCs w:val="32"/>
              </w:rPr>
            </w:pPr>
            <w:r>
              <w:rPr>
                <w:rFonts w:hint="eastAsia" w:ascii="方正仿宋_GBK" w:hAnsi="仿宋" w:eastAsia="方正仿宋_GBK"/>
                <w:kern w:val="0"/>
                <w:sz w:val="32"/>
                <w:szCs w:val="32"/>
              </w:rPr>
              <w:t>二、镇街（园区）意见</w:t>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br w:type="textWrapping"/>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签章</w:t>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年</w:t>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月</w:t>
            </w:r>
            <w:r>
              <w:rPr>
                <w:rFonts w:hint="eastAsia" w:ascii="方正仿宋_GBK" w:eastAsia="方正仿宋_GBK"/>
                <w:kern w:val="0"/>
                <w:sz w:val="32"/>
                <w:szCs w:val="32"/>
              </w:rPr>
              <w:t xml:space="preserve">    </w:t>
            </w:r>
            <w:r>
              <w:rPr>
                <w:rFonts w:hint="eastAsia" w:ascii="方正仿宋_GBK" w:hAnsi="仿宋" w:eastAsia="方正仿宋_GBK"/>
                <w:kern w:val="0"/>
                <w:sz w:val="32"/>
                <w:szCs w:val="32"/>
              </w:rPr>
              <w:t>日</w:t>
            </w:r>
            <w:r>
              <w:rPr>
                <w:rFonts w:hint="eastAsia" w:ascii="方正仿宋_GBK" w:eastAsia="方正仿宋_GBK"/>
                <w:kern w:val="0"/>
                <w:sz w:val="32"/>
                <w:szCs w:val="32"/>
              </w:rPr>
              <w:t xml:space="preserve">  </w:t>
            </w:r>
          </w:p>
        </w:tc>
      </w:tr>
    </w:tbl>
    <w:p>
      <w:pPr>
        <w:widowControl/>
        <w:spacing w:line="560" w:lineRule="exact"/>
        <w:ind w:firstLine="640" w:firstLineChars="200"/>
        <w:rPr>
          <w:rFonts w:ascii="方正黑体_GBK" w:eastAsia="方正黑体_GBK"/>
          <w:kern w:val="0"/>
          <w:sz w:val="32"/>
          <w:szCs w:val="32"/>
        </w:rPr>
      </w:pPr>
      <w:r>
        <w:rPr>
          <w:rFonts w:hint="eastAsia" w:ascii="方正黑体_GBK" w:eastAsia="方正黑体_GBK"/>
          <w:kern w:val="0"/>
          <w:sz w:val="32"/>
          <w:szCs w:val="32"/>
          <w:lang w:bidi="ar"/>
        </w:rPr>
        <w:t>二、需提供的附件及证明材料</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w:t>
      </w:r>
      <w:r>
        <w:rPr>
          <w:rFonts w:hint="eastAsia" w:ascii="方正仿宋_GBK" w:eastAsia="方正仿宋_GBK"/>
          <w:sz w:val="32"/>
          <w:szCs w:val="32"/>
        </w:rPr>
        <w:t>．</w:t>
      </w:r>
      <w:r>
        <w:rPr>
          <w:rFonts w:hint="eastAsia" w:ascii="方正仿宋_GBK" w:eastAsia="方正仿宋_GBK"/>
          <w:kern w:val="0"/>
          <w:sz w:val="32"/>
          <w:szCs w:val="32"/>
          <w:lang w:bidi="ar"/>
        </w:rPr>
        <w:t>企业对报送资料的真实性、完整性承诺。</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w:t>
      </w:r>
      <w:r>
        <w:rPr>
          <w:rFonts w:hint="eastAsia" w:ascii="方正仿宋_GBK" w:eastAsia="方正仿宋_GBK"/>
          <w:sz w:val="32"/>
          <w:szCs w:val="32"/>
        </w:rPr>
        <w:t>．</w:t>
      </w:r>
      <w:r>
        <w:rPr>
          <w:rFonts w:hint="eastAsia" w:ascii="方正仿宋_GBK" w:eastAsia="方正仿宋_GBK"/>
          <w:kern w:val="0"/>
          <w:sz w:val="32"/>
          <w:szCs w:val="32"/>
          <w:lang w:bidi="ar"/>
        </w:rPr>
        <w:t>规模以上工业法人单位研发项目情况表（107-1）和规模以上工业法人单位研发活动及相关情况表（107-2）。未列入国家统计局规模以上工业企业科技活动情况统计范围的企业应参照上述两个表的格式填报后提交。</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3</w:t>
      </w:r>
      <w:r>
        <w:rPr>
          <w:rFonts w:hint="eastAsia" w:ascii="方正仿宋_GBK" w:eastAsia="方正仿宋_GBK"/>
          <w:sz w:val="32"/>
          <w:szCs w:val="32"/>
        </w:rPr>
        <w:t>．</w:t>
      </w:r>
      <w:r>
        <w:rPr>
          <w:rFonts w:hint="eastAsia" w:ascii="方正仿宋_GBK" w:eastAsia="方正仿宋_GBK"/>
          <w:kern w:val="0"/>
          <w:sz w:val="32"/>
          <w:szCs w:val="32"/>
          <w:lang w:bidi="ar"/>
        </w:rPr>
        <w:t>企业资产负债表、损益表、现金流量表的复印件。其中，大型企业集团应将下属企业的（107-1、107-2）表合并填报，资产负债表、损益表、现金流量表进行合并填报。</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4</w:t>
      </w:r>
      <w:r>
        <w:rPr>
          <w:rFonts w:hint="eastAsia" w:ascii="方正仿宋_GBK" w:eastAsia="方正仿宋_GBK"/>
          <w:sz w:val="32"/>
          <w:szCs w:val="32"/>
        </w:rPr>
        <w:t>．</w:t>
      </w:r>
      <w:r>
        <w:rPr>
          <w:rFonts w:hint="eastAsia" w:ascii="方正仿宋_GBK" w:eastAsia="方正仿宋_GBK"/>
          <w:kern w:val="0"/>
          <w:sz w:val="32"/>
          <w:szCs w:val="32"/>
          <w:lang w:bidi="ar"/>
        </w:rPr>
        <w:t>企业技术中心评价表相关附表（表格附后），包括：技术中心中、高级专家和硕士、博士信息表；技术中心外部专家信息表；企业有效发明专利信息表；企业当年被受理的专利申请信息表；主持和参加制定的标准信息表；国家级(省级)研发平台信息表；国家（国际组织）认证实验室和检测机构信息表；获国家或重庆市自然科学、技术发明、科技进步奖项目信息表。</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5</w:t>
      </w:r>
      <w:r>
        <w:rPr>
          <w:rFonts w:hint="eastAsia" w:ascii="方正仿宋_GBK" w:eastAsia="方正仿宋_GBK"/>
          <w:sz w:val="32"/>
          <w:szCs w:val="32"/>
        </w:rPr>
        <w:t>．</w:t>
      </w:r>
      <w:r>
        <w:rPr>
          <w:rFonts w:hint="eastAsia" w:ascii="方正仿宋_GBK" w:eastAsia="方正仿宋_GBK"/>
          <w:kern w:val="0"/>
          <w:sz w:val="32"/>
          <w:szCs w:val="32"/>
          <w:lang w:bidi="ar"/>
        </w:rPr>
        <w:t>评价指标及相关附表所填数据的必要证明材料。</w:t>
      </w:r>
    </w:p>
    <w:p>
      <w:pPr>
        <w:widowControl/>
        <w:spacing w:line="560" w:lineRule="exact"/>
        <w:ind w:firstLine="640" w:firstLineChars="200"/>
        <w:rPr>
          <w:rFonts w:ascii="方正黑体_GBK" w:eastAsia="方正黑体_GBK"/>
          <w:kern w:val="0"/>
          <w:sz w:val="32"/>
          <w:szCs w:val="32"/>
        </w:rPr>
      </w:pPr>
      <w:r>
        <w:rPr>
          <w:rFonts w:hint="eastAsia" w:ascii="方正黑体_GBK" w:eastAsia="方正黑体_GBK"/>
          <w:kern w:val="0"/>
          <w:sz w:val="32"/>
          <w:szCs w:val="32"/>
          <w:lang w:bidi="ar"/>
        </w:rPr>
        <w:t>三、指标解释和填报说明</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w:t>
      </w:r>
      <w:r>
        <w:rPr>
          <w:rFonts w:hint="eastAsia" w:ascii="方正仿宋_GBK" w:eastAsia="方正仿宋_GBK"/>
          <w:sz w:val="32"/>
          <w:szCs w:val="32"/>
        </w:rPr>
        <w:t>．</w:t>
      </w:r>
      <w:r>
        <w:rPr>
          <w:rFonts w:hint="eastAsia" w:ascii="方正仿宋_GBK" w:eastAsia="方正仿宋_GBK"/>
          <w:kern w:val="0"/>
          <w:sz w:val="32"/>
          <w:szCs w:val="32"/>
          <w:lang w:bidi="ar"/>
        </w:rPr>
        <w:t>报告年度：指评价表中指标统计年度，时间范围从填写评价表的上一年1月1日到12月31日。所有指标的填报时间范围，如无特殊指明，均为报告年度。(T-1)年指报告年度的上一年。</w:t>
      </w:r>
    </w:p>
    <w:p>
      <w:pPr>
        <w:autoSpaceDE w:val="0"/>
        <w:autoSpaceDN w:val="0"/>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w:t>
      </w:r>
      <w:r>
        <w:rPr>
          <w:rFonts w:hint="eastAsia" w:ascii="方正仿宋_GBK" w:eastAsia="方正仿宋_GBK"/>
          <w:sz w:val="32"/>
          <w:szCs w:val="32"/>
        </w:rPr>
        <w:t>．</w:t>
      </w:r>
      <w:r>
        <w:rPr>
          <w:rFonts w:hint="eastAsia" w:ascii="方正仿宋_GBK" w:eastAsia="方正仿宋_GBK"/>
          <w:kern w:val="0"/>
          <w:sz w:val="32"/>
          <w:szCs w:val="32"/>
          <w:lang w:bidi="ar"/>
        </w:rPr>
        <w:t>企业主营业务收入：指报告年度内企业确认的销售商品、提供劳务等主营业务的收入。根据会计“主营业务收入”科目的期末贷方余额填报。若会计报告和会计报表中未设置该科目，以“营业收入”代替填报。</w:t>
      </w:r>
    </w:p>
    <w:p>
      <w:pPr>
        <w:autoSpaceDE w:val="0"/>
        <w:autoSpaceDN w:val="0"/>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3</w:t>
      </w:r>
      <w:r>
        <w:rPr>
          <w:rFonts w:hint="eastAsia" w:ascii="方正仿宋_GBK" w:eastAsia="方正仿宋_GBK"/>
          <w:sz w:val="32"/>
          <w:szCs w:val="32"/>
        </w:rPr>
        <w:t>．</w:t>
      </w:r>
      <w:r>
        <w:rPr>
          <w:rFonts w:hint="eastAsia" w:ascii="方正仿宋_GBK" w:eastAsia="方正仿宋_GBK"/>
          <w:kern w:val="0"/>
          <w:sz w:val="32"/>
          <w:szCs w:val="32"/>
          <w:lang w:bidi="ar"/>
        </w:rPr>
        <w:t>企业利润总额：指报告年度企业生产经营过程中各种收入扣除各种耗费后的盈余，反映企业在报告期内实现的盈亏总额。</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4</w:t>
      </w:r>
      <w:r>
        <w:rPr>
          <w:rFonts w:hint="eastAsia" w:ascii="方正仿宋_GBK" w:eastAsia="方正仿宋_GBK"/>
          <w:sz w:val="32"/>
          <w:szCs w:val="32"/>
        </w:rPr>
        <w:t>．</w:t>
      </w:r>
      <w:r>
        <w:rPr>
          <w:rFonts w:hint="eastAsia" w:ascii="方正仿宋_GBK" w:eastAsia="方正仿宋_GBK"/>
          <w:kern w:val="0"/>
          <w:sz w:val="32"/>
          <w:szCs w:val="32"/>
          <w:lang w:bidi="ar"/>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5</w:t>
      </w:r>
      <w:r>
        <w:rPr>
          <w:rFonts w:hint="eastAsia" w:ascii="方正仿宋_GBK" w:eastAsia="方正仿宋_GBK"/>
          <w:sz w:val="32"/>
          <w:szCs w:val="32"/>
        </w:rPr>
        <w:t>．</w:t>
      </w:r>
      <w:r>
        <w:rPr>
          <w:rFonts w:hint="eastAsia" w:ascii="方正仿宋_GBK" w:eastAsia="方正仿宋_GBK"/>
          <w:kern w:val="0"/>
          <w:sz w:val="32"/>
          <w:szCs w:val="32"/>
          <w:lang w:bidi="ar"/>
        </w:rPr>
        <w:t>新产品销售利润：指报告年度内企业通过销售新产品实现的销售（营业）利润。</w:t>
      </w:r>
    </w:p>
    <w:p>
      <w:pPr>
        <w:autoSpaceDE w:val="0"/>
        <w:autoSpaceDN w:val="0"/>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6</w:t>
      </w:r>
      <w:r>
        <w:rPr>
          <w:rFonts w:hint="eastAsia" w:ascii="方正仿宋_GBK" w:eastAsia="方正仿宋_GBK"/>
          <w:sz w:val="32"/>
          <w:szCs w:val="32"/>
        </w:rPr>
        <w:t>．</w:t>
      </w:r>
      <w:r>
        <w:rPr>
          <w:rFonts w:hint="eastAsia" w:ascii="方正仿宋_GBK" w:eastAsia="方正仿宋_GBK"/>
          <w:kern w:val="0"/>
          <w:sz w:val="32"/>
          <w:szCs w:val="32"/>
          <w:lang w:bidi="ar"/>
        </w:rPr>
        <w:t>企业研究与试验发展（R&amp;D）经费支出额：指报告年度内企业研发活动的经费支出合计，包括企业内部的日常研发经费支出，当年形成用于研发的固定资产支出和委托外单位开展研发的经费支出。</w:t>
      </w:r>
    </w:p>
    <w:p>
      <w:pPr>
        <w:widowControl/>
        <w:spacing w:line="560" w:lineRule="exact"/>
        <w:ind w:firstLine="640" w:firstLineChars="200"/>
        <w:rPr>
          <w:rFonts w:ascii="方正仿宋_GBK" w:eastAsia="方正仿宋_GBK"/>
          <w:spacing w:val="-4"/>
          <w:kern w:val="0"/>
          <w:sz w:val="32"/>
          <w:szCs w:val="32"/>
        </w:rPr>
      </w:pPr>
      <w:r>
        <w:rPr>
          <w:rFonts w:hint="eastAsia" w:ascii="方正仿宋_GBK" w:eastAsia="方正仿宋_GBK"/>
          <w:kern w:val="0"/>
          <w:sz w:val="32"/>
          <w:szCs w:val="32"/>
          <w:lang w:bidi="ar"/>
        </w:rPr>
        <w:t>7</w:t>
      </w:r>
      <w:r>
        <w:rPr>
          <w:rFonts w:hint="eastAsia" w:ascii="方正仿宋_GBK" w:eastAsia="方正仿宋_GBK"/>
          <w:sz w:val="32"/>
          <w:szCs w:val="32"/>
        </w:rPr>
        <w:t>．</w:t>
      </w:r>
      <w:r>
        <w:rPr>
          <w:rFonts w:hint="eastAsia" w:ascii="方正仿宋_GBK" w:eastAsia="方正仿宋_GBK"/>
          <w:spacing w:val="-4"/>
          <w:kern w:val="0"/>
          <w:sz w:val="32"/>
          <w:szCs w:val="32"/>
          <w:lang w:bidi="ar"/>
        </w:rPr>
        <w:t>企业内部的日常研发经费支出：指企业在报告年度用于内部开展</w:t>
      </w:r>
      <w:r>
        <w:rPr>
          <w:rFonts w:hint="eastAsia" w:ascii="方正仿宋_GBK" w:eastAsia="方正仿宋_GBK"/>
          <w:kern w:val="0"/>
          <w:sz w:val="32"/>
          <w:szCs w:val="32"/>
          <w:lang w:bidi="ar"/>
        </w:rPr>
        <w:t>R&amp;D</w:t>
      </w:r>
      <w:r>
        <w:rPr>
          <w:rFonts w:hint="eastAsia" w:ascii="方正仿宋_GBK" w:eastAsia="方正仿宋_GBK"/>
          <w:spacing w:val="-4"/>
          <w:kern w:val="0"/>
          <w:sz w:val="32"/>
          <w:szCs w:val="32"/>
          <w:lang w:bidi="ar"/>
        </w:rPr>
        <w:t>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widowControl/>
        <w:spacing w:line="560" w:lineRule="exact"/>
        <w:ind w:firstLine="624" w:firstLineChars="200"/>
        <w:rPr>
          <w:rFonts w:ascii="方正仿宋_GBK" w:eastAsia="方正仿宋_GBK"/>
          <w:spacing w:val="-4"/>
          <w:kern w:val="0"/>
          <w:sz w:val="32"/>
          <w:szCs w:val="32"/>
        </w:rPr>
      </w:pPr>
      <w:r>
        <w:rPr>
          <w:rFonts w:hint="eastAsia" w:ascii="方正仿宋_GBK" w:eastAsia="方正仿宋_GBK"/>
          <w:spacing w:val="-4"/>
          <w:kern w:val="0"/>
          <w:sz w:val="32"/>
          <w:szCs w:val="32"/>
          <w:lang w:bidi="ar"/>
        </w:rPr>
        <w:t>8</w:t>
      </w:r>
      <w:r>
        <w:rPr>
          <w:rFonts w:hint="eastAsia" w:ascii="方正仿宋_GBK" w:eastAsia="方正仿宋_GBK"/>
          <w:sz w:val="32"/>
          <w:szCs w:val="32"/>
        </w:rPr>
        <w:t>．</w:t>
      </w:r>
      <w:r>
        <w:rPr>
          <w:rFonts w:hint="eastAsia" w:ascii="方正仿宋_GBK" w:eastAsia="方正仿宋_GBK"/>
          <w:spacing w:val="-4"/>
          <w:kern w:val="0"/>
          <w:sz w:val="32"/>
          <w:szCs w:val="32"/>
          <w:lang w:bidi="ar"/>
        </w:rPr>
        <w:t>委托外单位开展研发的经费支出:指报告期企业委托外单位或与外单位合作进行R&amp;D活动而拨给对方的经费。</w:t>
      </w:r>
    </w:p>
    <w:p>
      <w:pPr>
        <w:widowControl/>
        <w:spacing w:line="560" w:lineRule="exact"/>
        <w:ind w:firstLine="624" w:firstLineChars="200"/>
        <w:rPr>
          <w:rFonts w:ascii="方正仿宋_GBK" w:eastAsia="方正仿宋_GBK"/>
          <w:spacing w:val="-4"/>
          <w:kern w:val="0"/>
          <w:sz w:val="32"/>
          <w:szCs w:val="32"/>
          <w:lang w:bidi="ar"/>
        </w:rPr>
      </w:pPr>
      <w:r>
        <w:rPr>
          <w:rFonts w:hint="eastAsia" w:ascii="方正仿宋_GBK" w:eastAsia="方正仿宋_GBK"/>
          <w:spacing w:val="-4"/>
          <w:kern w:val="0"/>
          <w:sz w:val="32"/>
          <w:szCs w:val="32"/>
          <w:lang w:bidi="ar"/>
        </w:rPr>
        <w:t>9</w:t>
      </w:r>
      <w:r>
        <w:rPr>
          <w:rFonts w:hint="eastAsia" w:ascii="方正仿宋_GBK" w:eastAsia="方正仿宋_GBK"/>
          <w:sz w:val="32"/>
          <w:szCs w:val="32"/>
        </w:rPr>
        <w:t>．</w:t>
      </w:r>
      <w:r>
        <w:rPr>
          <w:rFonts w:hint="eastAsia" w:ascii="方正仿宋_GBK" w:eastAsia="方正仿宋_GBK"/>
          <w:spacing w:val="-4"/>
          <w:kern w:val="0"/>
          <w:sz w:val="32"/>
          <w:szCs w:val="32"/>
          <w:lang w:bidi="ar"/>
        </w:rPr>
        <w:t>企业技术开发仪器设备原值：指报告年度末企业用于研发的固定资产中的仪器和设备原价。其中，设备包括用于研发活动的各类机器和设备、试验测量仪器、运输工具、工装工具等。</w:t>
      </w:r>
    </w:p>
    <w:p>
      <w:pPr>
        <w:widowControl/>
        <w:spacing w:line="560" w:lineRule="exact"/>
        <w:ind w:firstLine="624" w:firstLineChars="200"/>
        <w:rPr>
          <w:rFonts w:ascii="方正仿宋_GBK" w:eastAsia="方正仿宋_GBK"/>
          <w:spacing w:val="-4"/>
          <w:kern w:val="0"/>
          <w:sz w:val="32"/>
          <w:szCs w:val="32"/>
          <w:lang w:bidi="ar"/>
        </w:rPr>
      </w:pPr>
      <w:r>
        <w:rPr>
          <w:rFonts w:hint="eastAsia" w:ascii="方正仿宋_GBK" w:eastAsia="方正仿宋_GBK"/>
          <w:spacing w:val="-4"/>
          <w:kern w:val="0"/>
          <w:sz w:val="32"/>
          <w:szCs w:val="32"/>
          <w:lang w:bidi="ar"/>
        </w:rPr>
        <w:t>10</w:t>
      </w:r>
      <w:r>
        <w:rPr>
          <w:rFonts w:hint="eastAsia" w:ascii="方正仿宋_GBK" w:eastAsia="方正仿宋_GBK"/>
          <w:sz w:val="32"/>
          <w:szCs w:val="32"/>
        </w:rPr>
        <w:t>．</w:t>
      </w:r>
      <w:r>
        <w:rPr>
          <w:rFonts w:hint="eastAsia" w:ascii="方正仿宋_GBK" w:eastAsia="方正仿宋_GBK"/>
          <w:spacing w:val="-4"/>
          <w:kern w:val="0"/>
          <w:sz w:val="32"/>
          <w:szCs w:val="32"/>
          <w:lang w:bidi="ar"/>
        </w:rPr>
        <w:t>企业技术中心能力建设投入数：指报告年度企业用于技术中心软、硬件建设的投入数。</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11</w:t>
      </w:r>
      <w:r>
        <w:rPr>
          <w:rFonts w:hint="eastAsia" w:ascii="方正仿宋_GBK" w:eastAsia="方正仿宋_GBK"/>
          <w:sz w:val="32"/>
          <w:szCs w:val="32"/>
        </w:rPr>
        <w:t>．</w:t>
      </w:r>
      <w:r>
        <w:rPr>
          <w:rFonts w:hint="eastAsia" w:ascii="方正仿宋_GBK" w:eastAsia="方正仿宋_GBK"/>
          <w:kern w:val="0"/>
          <w:sz w:val="32"/>
          <w:szCs w:val="32"/>
          <w:lang w:bidi="ar"/>
        </w:rPr>
        <w:t>国家级、省级研发平台数：指企业作为项目法人承担建设，国家或省级政府有关部门归口管理且已经获得批复的全部科技类、研究开发类平台数。</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12</w:t>
      </w:r>
      <w:r>
        <w:rPr>
          <w:rFonts w:hint="eastAsia" w:ascii="方正仿宋_GBK" w:eastAsia="方正仿宋_GBK"/>
          <w:sz w:val="32"/>
          <w:szCs w:val="32"/>
        </w:rPr>
        <w:t>．</w:t>
      </w:r>
      <w:r>
        <w:rPr>
          <w:rFonts w:hint="eastAsia" w:ascii="方正仿宋_GBK" w:eastAsia="方正仿宋_GBK"/>
          <w:kern w:val="0"/>
          <w:sz w:val="32"/>
          <w:szCs w:val="32"/>
          <w:lang w:bidi="ar"/>
        </w:rPr>
        <w:t>通过国家或国际组织认证实验室等研究检测机构数：指中华人民共和国有关国家部门和国际组织认定认证的、仍在有效期内的实验室、研发检测中心的数量。</w:t>
      </w:r>
    </w:p>
    <w:p>
      <w:pPr>
        <w:spacing w:line="560" w:lineRule="exact"/>
        <w:ind w:firstLine="640" w:firstLineChars="200"/>
        <w:rPr>
          <w:rFonts w:ascii="方正仿宋_GBK" w:eastAsia="方正仿宋_GBK"/>
          <w:kern w:val="0"/>
          <w:sz w:val="32"/>
          <w:szCs w:val="32"/>
          <w:lang w:bidi="ar"/>
        </w:rPr>
      </w:pPr>
      <w:r>
        <w:rPr>
          <w:rFonts w:hint="eastAsia" w:ascii="方正仿宋_GBK" w:eastAsia="方正仿宋_GBK"/>
          <w:kern w:val="0"/>
          <w:sz w:val="32"/>
          <w:szCs w:val="32"/>
          <w:lang w:bidi="ar"/>
        </w:rPr>
        <w:t>13</w:t>
      </w:r>
      <w:r>
        <w:rPr>
          <w:rFonts w:hint="eastAsia" w:ascii="方正仿宋_GBK" w:eastAsia="方正仿宋_GBK"/>
          <w:sz w:val="32"/>
          <w:szCs w:val="32"/>
        </w:rPr>
        <w:t>．</w:t>
      </w:r>
      <w:r>
        <w:rPr>
          <w:rFonts w:hint="eastAsia" w:ascii="方正仿宋_GBK" w:eastAsia="方正仿宋_GBK"/>
          <w:kern w:val="0"/>
          <w:sz w:val="32"/>
          <w:szCs w:val="32"/>
          <w:lang w:bidi="ar"/>
        </w:rPr>
        <w:t>企业职工总数：指企业在册职工人数。</w:t>
      </w:r>
    </w:p>
    <w:p>
      <w:pPr>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14</w:t>
      </w:r>
      <w:r>
        <w:rPr>
          <w:rFonts w:hint="eastAsia" w:ascii="方正仿宋_GBK" w:eastAsia="方正仿宋_GBK"/>
          <w:sz w:val="32"/>
          <w:szCs w:val="32"/>
        </w:rPr>
        <w:t>．</w:t>
      </w:r>
      <w:r>
        <w:rPr>
          <w:rFonts w:hint="eastAsia" w:ascii="方正仿宋_GBK" w:eastAsia="方正仿宋_GBK"/>
          <w:kern w:val="0"/>
          <w:sz w:val="32"/>
          <w:szCs w:val="32"/>
          <w:lang w:bidi="ar"/>
        </w:rPr>
        <w:t>企业全体职工年收入总额：指企业在册全部职工一年的货币收入的总额。包括职工工资、福利费、奖金、政策补贴、项目提成等各项货币收入的总和。</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15</w:t>
      </w:r>
      <w:r>
        <w:rPr>
          <w:rFonts w:hint="eastAsia" w:ascii="方正仿宋_GBK" w:eastAsia="方正仿宋_GBK"/>
          <w:sz w:val="32"/>
          <w:szCs w:val="32"/>
        </w:rPr>
        <w:t>．</w:t>
      </w:r>
      <w:r>
        <w:rPr>
          <w:rFonts w:hint="eastAsia" w:ascii="方正仿宋_GBK" w:eastAsia="方正仿宋_GBK"/>
          <w:kern w:val="0"/>
          <w:sz w:val="32"/>
          <w:szCs w:val="32"/>
          <w:lang w:bidi="ar"/>
        </w:rPr>
        <w:t>企业研究与试验发展（R&amp;D）人员数：指报告年度内企业内部直接参加研发项目人员，以及研发活动的管理和直接服务的人员。不包括全年累计从事研发活动时间占制度工作时间10%以下的人员。　　</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16</w:t>
      </w:r>
      <w:r>
        <w:rPr>
          <w:rFonts w:hint="eastAsia" w:ascii="方正仿宋_GBK" w:eastAsia="方正仿宋_GBK"/>
          <w:sz w:val="32"/>
          <w:szCs w:val="32"/>
        </w:rPr>
        <w:t>．</w:t>
      </w:r>
      <w:r>
        <w:rPr>
          <w:rFonts w:hint="eastAsia" w:ascii="方正仿宋_GBK" w:eastAsia="方正仿宋_GBK"/>
          <w:kern w:val="0"/>
          <w:sz w:val="32"/>
          <w:szCs w:val="32"/>
          <w:lang w:bidi="ar"/>
        </w:rPr>
        <w:t>技术中心职工人数：在技术中心工作并取得劳动报酬的从业人员年平均数。包括技术中心科研开发人员、直接管理人员和直接为其服务的人员等。</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17</w:t>
      </w:r>
      <w:r>
        <w:rPr>
          <w:rFonts w:hint="eastAsia" w:ascii="方正仿宋_GBK" w:eastAsia="方正仿宋_GBK"/>
          <w:sz w:val="32"/>
          <w:szCs w:val="32"/>
        </w:rPr>
        <w:t>．</w:t>
      </w:r>
      <w:r>
        <w:rPr>
          <w:rFonts w:hint="eastAsia" w:ascii="方正仿宋_GBK" w:eastAsia="方正仿宋_GBK"/>
          <w:kern w:val="0"/>
          <w:sz w:val="32"/>
          <w:szCs w:val="32"/>
          <w:lang w:bidi="ar"/>
        </w:rPr>
        <w:t>技术中心全体职工年收入总额：指技术中心在册全体工作人员的年货币总收入，包括工资、福利费、奖金、政策补贴、项目提成等各项收入的总和。</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18</w:t>
      </w:r>
      <w:r>
        <w:rPr>
          <w:rFonts w:hint="eastAsia" w:ascii="方正仿宋_GBK" w:eastAsia="方正仿宋_GBK"/>
          <w:sz w:val="32"/>
          <w:szCs w:val="32"/>
        </w:rPr>
        <w:t>．</w:t>
      </w:r>
      <w:r>
        <w:rPr>
          <w:rFonts w:hint="eastAsia" w:ascii="方正仿宋_GBK" w:eastAsia="方正仿宋_GBK"/>
          <w:kern w:val="0"/>
          <w:sz w:val="32"/>
          <w:szCs w:val="32"/>
          <w:lang w:bidi="ar"/>
        </w:rPr>
        <w:t>技术中心中、高级专家人数：指全职在技术中心工作，获得中级职称以上或荣昌区高层次人才认定的人员数。</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19</w:t>
      </w:r>
      <w:r>
        <w:rPr>
          <w:rFonts w:hint="eastAsia" w:ascii="方正仿宋_GBK" w:eastAsia="方正仿宋_GBK"/>
          <w:sz w:val="32"/>
          <w:szCs w:val="32"/>
        </w:rPr>
        <w:t>．</w:t>
      </w:r>
      <w:r>
        <w:rPr>
          <w:rFonts w:hint="eastAsia" w:ascii="方正仿宋_GBK" w:eastAsia="方正仿宋_GBK"/>
          <w:kern w:val="0"/>
          <w:sz w:val="32"/>
          <w:szCs w:val="32"/>
          <w:lang w:bidi="ar"/>
        </w:rPr>
        <w:t>技术中心硕士、博士人数：指全职在技术中心工作，获得硕士、博士学位的人员数。在站的博士后可以作为博士进行统计。</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20</w:t>
      </w:r>
      <w:r>
        <w:rPr>
          <w:rFonts w:hint="eastAsia" w:ascii="方正仿宋_GBK" w:eastAsia="方正仿宋_GBK"/>
          <w:sz w:val="32"/>
          <w:szCs w:val="32"/>
        </w:rPr>
        <w:t>．</w:t>
      </w:r>
      <w:r>
        <w:rPr>
          <w:rFonts w:hint="eastAsia" w:ascii="方正仿宋_GBK" w:eastAsia="方正仿宋_GBK"/>
          <w:kern w:val="0"/>
          <w:sz w:val="32"/>
          <w:szCs w:val="32"/>
          <w:lang w:bidi="ar"/>
        </w:rPr>
        <w:t>来技术中心从事开发工作的外部专家人数：指来技术中心从事研究、技术开发工作的具有较高科技开发能力的企业外的专家累计人数。最小统计单位为：0.5人数。</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21</w:t>
      </w:r>
      <w:r>
        <w:rPr>
          <w:rFonts w:hint="eastAsia" w:ascii="方正仿宋_GBK" w:eastAsia="方正仿宋_GBK"/>
          <w:sz w:val="32"/>
          <w:szCs w:val="32"/>
        </w:rPr>
        <w:t>．</w:t>
      </w:r>
      <w:r>
        <w:rPr>
          <w:rFonts w:hint="eastAsia" w:ascii="方正仿宋_GBK" w:eastAsia="方正仿宋_GBK"/>
          <w:kern w:val="0"/>
          <w:sz w:val="32"/>
          <w:szCs w:val="32"/>
          <w:lang w:bidi="ar"/>
        </w:rPr>
        <w:t>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22</w:t>
      </w:r>
      <w:r>
        <w:rPr>
          <w:rFonts w:hint="eastAsia" w:ascii="方正仿宋_GBK" w:eastAsia="方正仿宋_GBK"/>
          <w:sz w:val="32"/>
          <w:szCs w:val="32"/>
        </w:rPr>
        <w:t>．</w:t>
      </w:r>
      <w:r>
        <w:rPr>
          <w:rFonts w:hint="eastAsia" w:ascii="方正仿宋_GBK" w:eastAsia="方正仿宋_GBK"/>
          <w:kern w:val="0"/>
          <w:sz w:val="32"/>
          <w:szCs w:val="32"/>
          <w:lang w:bidi="ar"/>
        </w:rPr>
        <w:t>基础研究和应用研究项目数：指企业全部研发项目中主要以科学原理的探索与发现、技术原理的研究为目标的项目数。</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23</w:t>
      </w:r>
      <w:r>
        <w:rPr>
          <w:rFonts w:hint="eastAsia" w:ascii="方正仿宋_GBK" w:eastAsia="方正仿宋_GBK"/>
          <w:sz w:val="32"/>
          <w:szCs w:val="32"/>
        </w:rPr>
        <w:t>．</w:t>
      </w:r>
      <w:r>
        <w:rPr>
          <w:rFonts w:hint="eastAsia" w:ascii="方正仿宋_GBK" w:eastAsia="方正仿宋_GBK"/>
          <w:kern w:val="0"/>
          <w:sz w:val="32"/>
          <w:szCs w:val="32"/>
          <w:lang w:bidi="ar"/>
        </w:rPr>
        <w:t>对外合作项目数：指企业与高等学校、科研院所及其他企业联合开展的科技项目数。</w:t>
      </w:r>
    </w:p>
    <w:p>
      <w:pPr>
        <w:widowControl/>
        <w:spacing w:line="560" w:lineRule="exact"/>
        <w:ind w:firstLine="640" w:firstLineChars="200"/>
        <w:rPr>
          <w:rFonts w:ascii="方正仿宋_GBK" w:eastAsia="方正仿宋_GBK"/>
          <w:kern w:val="0"/>
          <w:sz w:val="32"/>
          <w:szCs w:val="32"/>
          <w:lang w:bidi="ar"/>
        </w:rPr>
      </w:pPr>
      <w:r>
        <w:rPr>
          <w:rFonts w:hint="eastAsia" w:ascii="方正仿宋_GBK" w:eastAsia="方正仿宋_GBK"/>
          <w:kern w:val="0"/>
          <w:sz w:val="32"/>
          <w:szCs w:val="32"/>
          <w:lang w:bidi="ar"/>
        </w:rPr>
        <w:t>24</w:t>
      </w:r>
      <w:r>
        <w:rPr>
          <w:rFonts w:hint="eastAsia" w:ascii="方正仿宋_GBK" w:eastAsia="方正仿宋_GBK"/>
          <w:sz w:val="32"/>
          <w:szCs w:val="32"/>
        </w:rPr>
        <w:t>．</w:t>
      </w:r>
      <w:r>
        <w:rPr>
          <w:rFonts w:hint="eastAsia" w:ascii="方正仿宋_GBK" w:eastAsia="方正仿宋_GBK"/>
          <w:kern w:val="0"/>
          <w:sz w:val="32"/>
          <w:szCs w:val="32"/>
          <w:lang w:bidi="ar"/>
        </w:rPr>
        <w:t>当年完成新产品新技术新工艺开发项目数：指企业完成（结题）的新产品开发项目数、新技术项目数、新工艺开发项目数之和。</w:t>
      </w:r>
    </w:p>
    <w:p>
      <w:pPr>
        <w:widowControl/>
        <w:spacing w:line="560" w:lineRule="exact"/>
        <w:ind w:firstLine="640" w:firstLineChars="200"/>
        <w:rPr>
          <w:rFonts w:ascii="方正仿宋_GBK" w:eastAsia="方正仿宋_GBK"/>
          <w:kern w:val="0"/>
          <w:sz w:val="32"/>
          <w:szCs w:val="32"/>
          <w:lang w:bidi="ar"/>
        </w:rPr>
      </w:pPr>
      <w:r>
        <w:rPr>
          <w:rFonts w:hint="eastAsia" w:ascii="方正仿宋_GBK" w:eastAsia="方正仿宋_GBK"/>
          <w:kern w:val="0"/>
          <w:sz w:val="32"/>
          <w:szCs w:val="32"/>
          <w:lang w:bidi="ar"/>
        </w:rPr>
        <w:t>25</w:t>
      </w:r>
      <w:r>
        <w:rPr>
          <w:rFonts w:hint="eastAsia" w:ascii="方正仿宋_GBK" w:eastAsia="方正仿宋_GBK"/>
          <w:sz w:val="32"/>
          <w:szCs w:val="32"/>
        </w:rPr>
        <w:t>．</w:t>
      </w:r>
      <w:r>
        <w:rPr>
          <w:rFonts w:hint="eastAsia" w:ascii="方正仿宋_GBK" w:eastAsia="方正仿宋_GBK"/>
          <w:kern w:val="0"/>
          <w:sz w:val="32"/>
          <w:szCs w:val="32"/>
          <w:lang w:bidi="ar"/>
        </w:rPr>
        <w:t>新产品新技术新工艺列入市级计划数：指企业新产品新技术新工艺列入市技术创新指导性项目推荐目录、市级重点新产品计划等的数量。</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26</w:t>
      </w:r>
      <w:r>
        <w:rPr>
          <w:rFonts w:hint="eastAsia" w:ascii="方正仿宋_GBK" w:eastAsia="方正仿宋_GBK"/>
          <w:sz w:val="32"/>
          <w:szCs w:val="32"/>
        </w:rPr>
        <w:t>．</w:t>
      </w:r>
      <w:r>
        <w:rPr>
          <w:rFonts w:hint="eastAsia" w:ascii="方正仿宋_GBK" w:eastAsia="方正仿宋_GBK"/>
          <w:kern w:val="0"/>
          <w:sz w:val="32"/>
          <w:szCs w:val="32"/>
          <w:lang w:bidi="ar"/>
        </w:rPr>
        <w:t>企业拥有的全部有效发明专利数：指企业作为专利权人拥有专利权属、经国内外专利机构授权且在有效期内的全部发明专利件数。</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27</w:t>
      </w:r>
      <w:r>
        <w:rPr>
          <w:rFonts w:hint="eastAsia" w:ascii="方正仿宋_GBK" w:eastAsia="方正仿宋_GBK"/>
          <w:sz w:val="32"/>
          <w:szCs w:val="32"/>
        </w:rPr>
        <w:t>．</w:t>
      </w:r>
      <w:r>
        <w:rPr>
          <w:rFonts w:hint="eastAsia" w:ascii="方正仿宋_GBK" w:eastAsia="方正仿宋_GBK"/>
          <w:kern w:val="0"/>
          <w:sz w:val="32"/>
          <w:szCs w:val="32"/>
          <w:lang w:bidi="ar"/>
        </w:rPr>
        <w:t>当年被受理的专利申请数：指企业报告年度内向专利行政部门提出专利申请并被受理的专利件数。</w:t>
      </w:r>
    </w:p>
    <w:p>
      <w:pPr>
        <w:spacing w:line="560" w:lineRule="exact"/>
        <w:ind w:firstLine="640" w:firstLineChars="200"/>
        <w:rPr>
          <w:rFonts w:ascii="方正仿宋_GBK" w:eastAsia="方正仿宋_GBK"/>
          <w:kern w:val="0"/>
          <w:sz w:val="32"/>
          <w:szCs w:val="32"/>
          <w:lang w:bidi="ar"/>
        </w:rPr>
      </w:pPr>
      <w:r>
        <w:rPr>
          <w:rFonts w:hint="eastAsia" w:ascii="方正仿宋_GBK" w:eastAsia="方正仿宋_GBK"/>
          <w:kern w:val="0"/>
          <w:sz w:val="32"/>
          <w:szCs w:val="32"/>
          <w:lang w:bidi="ar"/>
        </w:rPr>
        <w:t>28</w:t>
      </w:r>
      <w:r>
        <w:rPr>
          <w:rFonts w:hint="eastAsia" w:ascii="方正仿宋_GBK" w:eastAsia="方正仿宋_GBK"/>
          <w:sz w:val="32"/>
          <w:szCs w:val="32"/>
        </w:rPr>
        <w:t>．</w:t>
      </w:r>
      <w:r>
        <w:rPr>
          <w:rFonts w:hint="eastAsia" w:ascii="方正仿宋_GBK" w:eastAsia="方正仿宋_GBK"/>
          <w:kern w:val="0"/>
          <w:sz w:val="32"/>
          <w:szCs w:val="32"/>
          <w:lang w:bidi="ar"/>
        </w:rPr>
        <w:t>被受理的发明专利申请数：指企业报告年度内向专利行政部门提出发明专利申请并被受理的专利件数。</w:t>
      </w:r>
    </w:p>
    <w:p>
      <w:pPr>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29</w:t>
      </w:r>
      <w:r>
        <w:rPr>
          <w:rFonts w:hint="eastAsia" w:ascii="方正仿宋_GBK" w:eastAsia="方正仿宋_GBK"/>
          <w:sz w:val="32"/>
          <w:szCs w:val="32"/>
        </w:rPr>
        <w:t>．</w:t>
      </w:r>
      <w:r>
        <w:rPr>
          <w:rFonts w:hint="eastAsia" w:ascii="方正仿宋_GBK" w:eastAsia="方正仿宋_GBK"/>
          <w:kern w:val="0"/>
          <w:sz w:val="32"/>
          <w:szCs w:val="32"/>
          <w:lang w:bidi="ar"/>
        </w:rPr>
        <w:t>主持和参加制定的国际、国家、行业标准（工法）数：指企业主持或参与制定，目前仍有效执行的国际、国家、行业标准（工法）的数量。</w:t>
      </w:r>
    </w:p>
    <w:p>
      <w:pPr>
        <w:widowControl/>
        <w:spacing w:line="560" w:lineRule="exact"/>
        <w:ind w:firstLine="640" w:firstLineChars="200"/>
        <w:rPr>
          <w:rFonts w:ascii="方正仿宋_GBK" w:eastAsia="方正仿宋_GBK"/>
          <w:kern w:val="0"/>
          <w:sz w:val="32"/>
          <w:szCs w:val="32"/>
        </w:rPr>
      </w:pPr>
      <w:r>
        <w:rPr>
          <w:rFonts w:hint="eastAsia" w:ascii="方正仿宋_GBK" w:eastAsia="方正仿宋_GBK"/>
          <w:kern w:val="0"/>
          <w:sz w:val="32"/>
          <w:szCs w:val="32"/>
          <w:lang w:bidi="ar"/>
        </w:rPr>
        <w:t>30</w:t>
      </w:r>
      <w:r>
        <w:rPr>
          <w:rFonts w:hint="eastAsia" w:ascii="方正仿宋_GBK" w:eastAsia="方正仿宋_GBK"/>
          <w:sz w:val="32"/>
          <w:szCs w:val="32"/>
        </w:rPr>
        <w:t>．</w:t>
      </w:r>
      <w:r>
        <w:rPr>
          <w:rFonts w:hint="eastAsia" w:ascii="方正仿宋_GBK" w:eastAsia="方正仿宋_GBK"/>
          <w:kern w:val="0"/>
          <w:sz w:val="32"/>
          <w:szCs w:val="32"/>
          <w:lang w:bidi="ar"/>
        </w:rPr>
        <w:t>企业拥有国家级（重庆市）质量品牌奖项数：指企业拥有的国家工商行政管理总局（重庆市工商行政管理局或重庆市质量技术监督局）评定的中国驰名商标数（重庆市著名商标或重庆市名牌产品），国家工业和信息化部工业质量标杆企业、品牌培育示范企业，建筑行业中国建筑工程鲁班奖（国家优质工程奖）、詹天佑奖：仅指名称完全符合的奖项，不包括任何其他奖项类型。</w:t>
      </w:r>
    </w:p>
    <w:p>
      <w:pPr>
        <w:spacing w:after="156" w:afterLines="50" w:line="560" w:lineRule="exact"/>
        <w:rPr>
          <w:rFonts w:ascii="方正仿宋_GBK" w:eastAsia="方正仿宋_GBK"/>
          <w:kern w:val="0"/>
          <w:sz w:val="32"/>
          <w:szCs w:val="32"/>
          <w:lang w:bidi="ar"/>
        </w:rPr>
      </w:pPr>
      <w:r>
        <w:rPr>
          <w:rFonts w:hint="eastAsia" w:ascii="方正仿宋_GBK" w:eastAsia="方正仿宋_GBK"/>
          <w:kern w:val="0"/>
          <w:sz w:val="32"/>
          <w:szCs w:val="32"/>
          <w:lang w:bidi="ar"/>
        </w:rPr>
        <w:t xml:space="preserve">    31</w:t>
      </w:r>
      <w:r>
        <w:rPr>
          <w:rFonts w:hint="eastAsia" w:ascii="方正仿宋_GBK" w:eastAsia="方正仿宋_GBK"/>
          <w:sz w:val="32"/>
          <w:szCs w:val="32"/>
        </w:rPr>
        <w:t>．</w:t>
      </w:r>
      <w:r>
        <w:rPr>
          <w:rFonts w:hint="eastAsia" w:ascii="方正仿宋_GBK" w:eastAsia="方正仿宋_GBK"/>
          <w:kern w:val="0"/>
          <w:sz w:val="32"/>
          <w:szCs w:val="32"/>
          <w:lang w:bidi="ar"/>
        </w:rPr>
        <w:t>企业拥有国家（重庆市）自然科学、技术发明、科技进步奖项目数：指企业获得国家（重庆市）自然科学奖、国家技术发明奖和科技进步奖的项目总数。</w:t>
      </w:r>
    </w:p>
    <w:p>
      <w:pPr>
        <w:widowControl/>
        <w:spacing w:line="580" w:lineRule="exact"/>
        <w:jc w:val="left"/>
        <w:rPr>
          <w:rFonts w:ascii="方正仿宋_GBK" w:eastAsia="方正仿宋_GBK"/>
          <w:kern w:val="0"/>
          <w:sz w:val="32"/>
          <w:szCs w:val="32"/>
        </w:rPr>
      </w:pPr>
      <w:r>
        <w:rPr>
          <w:rFonts w:hint="eastAsia" w:ascii="方正仿宋_GBK" w:eastAsia="方正仿宋_GBK"/>
          <w:kern w:val="0"/>
          <w:sz w:val="32"/>
          <w:szCs w:val="32"/>
          <w:lang w:bidi="ar"/>
        </w:rPr>
        <w:br w:type="page"/>
      </w:r>
      <w:r>
        <w:rPr>
          <w:rFonts w:hint="eastAsia" w:ascii="方正仿宋_GBK" w:hAnsi="楷体" w:eastAsia="方正仿宋_GBK"/>
          <w:kern w:val="0"/>
          <w:sz w:val="32"/>
          <w:szCs w:val="32"/>
          <w:lang w:bidi="ar"/>
        </w:rPr>
        <w:t>评价表相关附表（表</w:t>
      </w:r>
      <w:r>
        <w:rPr>
          <w:rFonts w:hint="eastAsia" w:ascii="方正仿宋_GBK" w:eastAsia="方正仿宋_GBK"/>
          <w:kern w:val="0"/>
          <w:sz w:val="32"/>
          <w:szCs w:val="32"/>
          <w:lang w:bidi="ar"/>
        </w:rPr>
        <w:t>1-</w:t>
      </w:r>
      <w:r>
        <w:rPr>
          <w:rFonts w:hint="eastAsia" w:ascii="方正仿宋_GBK" w:hAnsi="楷体" w:eastAsia="方正仿宋_GBK"/>
          <w:kern w:val="0"/>
          <w:sz w:val="32"/>
          <w:szCs w:val="32"/>
          <w:lang w:bidi="ar"/>
        </w:rPr>
        <w:t>表</w:t>
      </w:r>
      <w:r>
        <w:rPr>
          <w:rFonts w:hint="eastAsia" w:ascii="方正仿宋_GBK" w:eastAsia="方正仿宋_GBK"/>
          <w:kern w:val="0"/>
          <w:sz w:val="32"/>
          <w:szCs w:val="32"/>
          <w:lang w:bidi="ar"/>
        </w:rPr>
        <w:t>8</w:t>
      </w:r>
      <w:r>
        <w:rPr>
          <w:rFonts w:hint="eastAsia" w:ascii="方正仿宋_GBK" w:hAnsi="楷体" w:eastAsia="方正仿宋_GBK"/>
          <w:kern w:val="0"/>
          <w:sz w:val="32"/>
          <w:szCs w:val="32"/>
          <w:lang w:bidi="ar"/>
        </w:rPr>
        <w:t>）</w:t>
      </w:r>
    </w:p>
    <w:p>
      <w:pPr>
        <w:widowControl/>
        <w:spacing w:line="580" w:lineRule="exact"/>
        <w:jc w:val="left"/>
        <w:rPr>
          <w:rFonts w:ascii="方正仿宋_GBK" w:eastAsia="方正仿宋_GBK"/>
          <w:kern w:val="0"/>
          <w:sz w:val="32"/>
          <w:szCs w:val="32"/>
        </w:rPr>
      </w:pPr>
    </w:p>
    <w:tbl>
      <w:tblPr>
        <w:tblStyle w:val="14"/>
        <w:tblW w:w="10500" w:type="dxa"/>
        <w:jc w:val="center"/>
        <w:tblInd w:w="0" w:type="dxa"/>
        <w:tblLayout w:type="fixed"/>
        <w:tblCellMar>
          <w:top w:w="0" w:type="dxa"/>
          <w:left w:w="108" w:type="dxa"/>
          <w:bottom w:w="0" w:type="dxa"/>
          <w:right w:w="108" w:type="dxa"/>
        </w:tblCellMar>
      </w:tblPr>
      <w:tblGrid>
        <w:gridCol w:w="1080"/>
        <w:gridCol w:w="1060"/>
        <w:gridCol w:w="1080"/>
        <w:gridCol w:w="1420"/>
        <w:gridCol w:w="1080"/>
        <w:gridCol w:w="1080"/>
        <w:gridCol w:w="1080"/>
        <w:gridCol w:w="1080"/>
        <w:gridCol w:w="1540"/>
      </w:tblGrid>
      <w:tr>
        <w:tblPrEx>
          <w:tblLayout w:type="fixed"/>
          <w:tblCellMar>
            <w:top w:w="0" w:type="dxa"/>
            <w:left w:w="108" w:type="dxa"/>
            <w:bottom w:w="0" w:type="dxa"/>
            <w:right w:w="108" w:type="dxa"/>
          </w:tblCellMar>
        </w:tblPrEx>
        <w:trPr>
          <w:trHeight w:val="431" w:hRule="atLeast"/>
          <w:jc w:val="center"/>
        </w:trPr>
        <w:tc>
          <w:tcPr>
            <w:tcW w:w="10500" w:type="dxa"/>
            <w:gridSpan w:val="9"/>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表1：技术中心中、高级专家和硕士、博士信息表</w:t>
            </w:r>
          </w:p>
        </w:tc>
      </w:tr>
      <w:tr>
        <w:tblPrEx>
          <w:tblLayout w:type="fixed"/>
          <w:tblCellMar>
            <w:top w:w="0" w:type="dxa"/>
            <w:left w:w="108" w:type="dxa"/>
            <w:bottom w:w="0" w:type="dxa"/>
            <w:right w:w="108" w:type="dxa"/>
          </w:tblCellMar>
        </w:tblPrEx>
        <w:trPr>
          <w:trHeight w:val="526"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106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姓名</w:t>
            </w:r>
          </w:p>
        </w:tc>
        <w:tc>
          <w:tcPr>
            <w:tcW w:w="10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出生</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年月</w:t>
            </w:r>
          </w:p>
        </w:tc>
        <w:tc>
          <w:tcPr>
            <w:tcW w:w="142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所在部门</w:t>
            </w:r>
          </w:p>
        </w:tc>
        <w:tc>
          <w:tcPr>
            <w:tcW w:w="10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职称</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职务</w:t>
            </w:r>
          </w:p>
        </w:tc>
        <w:tc>
          <w:tcPr>
            <w:tcW w:w="10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技术</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领域</w:t>
            </w:r>
          </w:p>
        </w:tc>
        <w:tc>
          <w:tcPr>
            <w:tcW w:w="10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学历</w:t>
            </w:r>
          </w:p>
        </w:tc>
        <w:tc>
          <w:tcPr>
            <w:tcW w:w="10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专家</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类型</w:t>
            </w:r>
          </w:p>
        </w:tc>
        <w:tc>
          <w:tcPr>
            <w:tcW w:w="154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联系电话</w:t>
            </w:r>
          </w:p>
        </w:tc>
      </w:tr>
      <w:tr>
        <w:tblPrEx>
          <w:tblLayout w:type="fixed"/>
          <w:tblCellMar>
            <w:top w:w="0" w:type="dxa"/>
            <w:left w:w="108" w:type="dxa"/>
            <w:bottom w:w="0" w:type="dxa"/>
            <w:right w:w="108" w:type="dxa"/>
          </w:tblCellMar>
        </w:tblPrEx>
        <w:trPr>
          <w:trHeight w:val="366"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0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0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10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10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2525" w:hRule="atLeast"/>
          <w:jc w:val="center"/>
        </w:trPr>
        <w:tc>
          <w:tcPr>
            <w:tcW w:w="1050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“出生年月”为6位编码，其中前4位为年份，后2位为月份（1月至9月必须前补0）。</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“所在部门”指企业技术中心下属部门或分支机构名称。</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“专家类型”应按相应的分类代码填写，具体的分类及代码是：1. 高级职称；2. 中级职称；3. 博士；4. 硕士；5. 在站博士后；6 .荣昌区高层次人才；7. 其他类型专家（需具体说明）。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4.  联系电话应为专家本人常用电话，以便于评价组与专家联系核实。</w:t>
            </w:r>
          </w:p>
        </w:tc>
      </w:tr>
    </w:tbl>
    <w:p>
      <w:pPr>
        <w:rPr>
          <w:rFonts w:ascii="方正仿宋_GBK" w:eastAsia="方正仿宋_GBK"/>
          <w:sz w:val="32"/>
          <w:szCs w:val="32"/>
        </w:rPr>
      </w:pPr>
    </w:p>
    <w:tbl>
      <w:tblPr>
        <w:tblStyle w:val="14"/>
        <w:tblW w:w="10600" w:type="dxa"/>
        <w:jc w:val="center"/>
        <w:tblInd w:w="0" w:type="dxa"/>
        <w:tblLayout w:type="fixed"/>
        <w:tblCellMar>
          <w:top w:w="0" w:type="dxa"/>
          <w:left w:w="108" w:type="dxa"/>
          <w:bottom w:w="0" w:type="dxa"/>
          <w:right w:w="108" w:type="dxa"/>
        </w:tblCellMar>
      </w:tblPr>
      <w:tblGrid>
        <w:gridCol w:w="600"/>
        <w:gridCol w:w="110"/>
        <w:gridCol w:w="970"/>
        <w:gridCol w:w="880"/>
        <w:gridCol w:w="1680"/>
        <w:gridCol w:w="227"/>
        <w:gridCol w:w="853"/>
        <w:gridCol w:w="690"/>
        <w:gridCol w:w="830"/>
        <w:gridCol w:w="1000"/>
        <w:gridCol w:w="79"/>
        <w:gridCol w:w="1141"/>
        <w:gridCol w:w="179"/>
        <w:gridCol w:w="1361"/>
      </w:tblGrid>
      <w:tr>
        <w:tblPrEx>
          <w:tblLayout w:type="fixed"/>
          <w:tblCellMar>
            <w:top w:w="0" w:type="dxa"/>
            <w:left w:w="108" w:type="dxa"/>
            <w:bottom w:w="0" w:type="dxa"/>
            <w:right w:w="108" w:type="dxa"/>
          </w:tblCellMar>
        </w:tblPrEx>
        <w:trPr>
          <w:trHeight w:val="855" w:hRule="atLeast"/>
          <w:jc w:val="center"/>
        </w:trPr>
        <w:tc>
          <w:tcPr>
            <w:tcW w:w="10600" w:type="dxa"/>
            <w:gridSpan w:val="14"/>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表2：技术中心外部专家信息表</w:t>
            </w:r>
          </w:p>
        </w:tc>
      </w:tr>
      <w:tr>
        <w:tblPrEx>
          <w:tblLayout w:type="fixed"/>
          <w:tblCellMar>
            <w:top w:w="0" w:type="dxa"/>
            <w:left w:w="108" w:type="dxa"/>
            <w:bottom w:w="0" w:type="dxa"/>
            <w:right w:w="108" w:type="dxa"/>
          </w:tblCellMar>
        </w:tblPrEx>
        <w:trPr>
          <w:trHeight w:val="600"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姓名</w:t>
            </w:r>
          </w:p>
        </w:tc>
        <w:tc>
          <w:tcPr>
            <w:tcW w:w="8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出生年月</w:t>
            </w:r>
          </w:p>
        </w:tc>
        <w:tc>
          <w:tcPr>
            <w:tcW w:w="16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工作单位</w:t>
            </w:r>
          </w:p>
        </w:tc>
        <w:tc>
          <w:tcPr>
            <w:tcW w:w="108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职称</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职务</w:t>
            </w:r>
          </w:p>
        </w:tc>
        <w:tc>
          <w:tcPr>
            <w:tcW w:w="152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技术领域</w:t>
            </w:r>
          </w:p>
        </w:tc>
        <w:tc>
          <w:tcPr>
            <w:tcW w:w="100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学历</w:t>
            </w:r>
          </w:p>
        </w:tc>
        <w:tc>
          <w:tcPr>
            <w:tcW w:w="122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工作时间（人月）</w:t>
            </w:r>
          </w:p>
        </w:tc>
        <w:tc>
          <w:tcPr>
            <w:tcW w:w="154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联系电话</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8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8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8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60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8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0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402" w:hRule="atLeast"/>
          <w:jc w:val="center"/>
        </w:trPr>
        <w:tc>
          <w:tcPr>
            <w:tcW w:w="7840" w:type="dxa"/>
            <w:gridSpan w:val="10"/>
            <w:tcBorders>
              <w:top w:val="single" w:color="auto" w:sz="4" w:space="0"/>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外部专家来企业工作时间合计（人月）</w:t>
            </w:r>
          </w:p>
        </w:tc>
        <w:tc>
          <w:tcPr>
            <w:tcW w:w="2760" w:type="dxa"/>
            <w:gridSpan w:val="4"/>
            <w:tcBorders>
              <w:top w:val="single" w:color="auto" w:sz="4" w:space="0"/>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2247" w:hRule="atLeast"/>
          <w:jc w:val="center"/>
        </w:trPr>
        <w:tc>
          <w:tcPr>
            <w:tcW w:w="10600"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“出生年月”为6位编码，其中前4位为年份，后2位为月份（1月至9月必须前补0）。</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“工作单位”指外部专家所属原工作单位名称。</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“工作时间”指外部专家在技术中心开展技术创新相关研究咨询工作的时间合计，最小统计单位为“0.5人月”。</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4. 联系电话应为专家本人常用电话，以便于评价组与专家联系核实。</w:t>
            </w:r>
          </w:p>
        </w:tc>
      </w:tr>
      <w:tr>
        <w:tblPrEx>
          <w:tblLayout w:type="fixed"/>
          <w:tblCellMar>
            <w:top w:w="0" w:type="dxa"/>
            <w:left w:w="108" w:type="dxa"/>
            <w:bottom w:w="0" w:type="dxa"/>
            <w:right w:w="108" w:type="dxa"/>
          </w:tblCellMar>
        </w:tblPrEx>
        <w:trPr>
          <w:trHeight w:val="870" w:hRule="atLeast"/>
          <w:jc w:val="center"/>
        </w:trPr>
        <w:tc>
          <w:tcPr>
            <w:tcW w:w="10600" w:type="dxa"/>
            <w:gridSpan w:val="14"/>
            <w:tcBorders>
              <w:top w:val="nil"/>
              <w:left w:val="nil"/>
              <w:bottom w:val="single" w:color="auto" w:sz="4" w:space="0"/>
              <w:right w:val="nil"/>
            </w:tcBorders>
            <w:vAlign w:val="center"/>
          </w:tcPr>
          <w:p>
            <w:pPr>
              <w:widowControl/>
              <w:jc w:val="center"/>
              <w:rPr>
                <w:rFonts w:ascii="方正仿宋_GBK" w:eastAsia="方正仿宋_GBK"/>
                <w:kern w:val="0"/>
                <w:sz w:val="32"/>
                <w:szCs w:val="32"/>
              </w:rPr>
            </w:pP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表3：企业有效发明专利信息表</w:t>
            </w:r>
          </w:p>
        </w:tc>
      </w:tr>
      <w:tr>
        <w:tblPrEx>
          <w:tblLayout w:type="fixed"/>
          <w:tblCellMar>
            <w:top w:w="0" w:type="dxa"/>
            <w:left w:w="108" w:type="dxa"/>
            <w:bottom w:w="0" w:type="dxa"/>
            <w:right w:w="108" w:type="dxa"/>
          </w:tblCellMar>
        </w:tblPrEx>
        <w:trPr>
          <w:trHeight w:val="28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3757" w:type="dxa"/>
            <w:gridSpan w:val="4"/>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专利名称</w:t>
            </w:r>
          </w:p>
        </w:tc>
        <w:tc>
          <w:tcPr>
            <w:tcW w:w="1543"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授权国别</w:t>
            </w:r>
          </w:p>
        </w:tc>
        <w:tc>
          <w:tcPr>
            <w:tcW w:w="1909" w:type="dxa"/>
            <w:gridSpan w:val="3"/>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专利号</w:t>
            </w:r>
          </w:p>
        </w:tc>
        <w:tc>
          <w:tcPr>
            <w:tcW w:w="132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专利权人</w:t>
            </w:r>
          </w:p>
        </w:tc>
        <w:tc>
          <w:tcPr>
            <w:tcW w:w="136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授权</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公告日</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3757" w:type="dxa"/>
            <w:gridSpan w:val="4"/>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09" w:type="dxa"/>
            <w:gridSpan w:val="3"/>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61"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3757" w:type="dxa"/>
            <w:gridSpan w:val="4"/>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09" w:type="dxa"/>
            <w:gridSpan w:val="3"/>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61"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3757" w:type="dxa"/>
            <w:gridSpan w:val="4"/>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09" w:type="dxa"/>
            <w:gridSpan w:val="3"/>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61"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710"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3757" w:type="dxa"/>
            <w:gridSpan w:val="4"/>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3"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09" w:type="dxa"/>
            <w:gridSpan w:val="3"/>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61"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1882" w:hRule="atLeast"/>
          <w:jc w:val="center"/>
        </w:trPr>
        <w:tc>
          <w:tcPr>
            <w:tcW w:w="10600" w:type="dxa"/>
            <w:gridSpan w:val="14"/>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该表只填写有效“发明专利”，已经无效的专利和报告年度之后获得授权的专利不得列入。</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所有填列专利信息请按照专利号顺序依次排列。</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该表所填写信息需与《发明专利证书》内容一致。</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4. “专利权人”应为技术中心所在企业或其下属企业。</w:t>
            </w:r>
          </w:p>
        </w:tc>
      </w:tr>
    </w:tbl>
    <w:p>
      <w:pPr>
        <w:rPr>
          <w:rFonts w:ascii="方正仿宋_GBK" w:eastAsia="方正仿宋_GBK"/>
          <w:sz w:val="32"/>
          <w:szCs w:val="32"/>
        </w:rPr>
      </w:pPr>
    </w:p>
    <w:tbl>
      <w:tblPr>
        <w:tblStyle w:val="14"/>
        <w:tblW w:w="10708" w:type="dxa"/>
        <w:jc w:val="center"/>
        <w:tblInd w:w="0" w:type="dxa"/>
        <w:tblLayout w:type="fixed"/>
        <w:tblCellMar>
          <w:top w:w="0" w:type="dxa"/>
          <w:left w:w="108" w:type="dxa"/>
          <w:bottom w:w="0" w:type="dxa"/>
          <w:right w:w="108" w:type="dxa"/>
        </w:tblCellMar>
      </w:tblPr>
      <w:tblGrid>
        <w:gridCol w:w="561"/>
        <w:gridCol w:w="519"/>
        <w:gridCol w:w="2549"/>
        <w:gridCol w:w="611"/>
        <w:gridCol w:w="331"/>
        <w:gridCol w:w="829"/>
        <w:gridCol w:w="113"/>
        <w:gridCol w:w="1247"/>
        <w:gridCol w:w="838"/>
        <w:gridCol w:w="342"/>
        <w:gridCol w:w="1142"/>
        <w:gridCol w:w="578"/>
        <w:gridCol w:w="1048"/>
      </w:tblGrid>
      <w:tr>
        <w:tblPrEx>
          <w:tblLayout w:type="fixed"/>
          <w:tblCellMar>
            <w:top w:w="0" w:type="dxa"/>
            <w:left w:w="108" w:type="dxa"/>
            <w:bottom w:w="0" w:type="dxa"/>
            <w:right w:w="108" w:type="dxa"/>
          </w:tblCellMar>
        </w:tblPrEx>
        <w:trPr>
          <w:trHeight w:val="926" w:hRule="atLeast"/>
          <w:jc w:val="center"/>
        </w:trPr>
        <w:tc>
          <w:tcPr>
            <w:tcW w:w="10708" w:type="dxa"/>
            <w:gridSpan w:val="13"/>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表4：企业当年被受理的专利申请信息表</w:t>
            </w:r>
          </w:p>
        </w:tc>
      </w:tr>
      <w:tr>
        <w:tblPrEx>
          <w:tblLayout w:type="fixed"/>
          <w:tblCellMar>
            <w:top w:w="0" w:type="dxa"/>
            <w:left w:w="108" w:type="dxa"/>
            <w:bottom w:w="0" w:type="dxa"/>
            <w:right w:w="108" w:type="dxa"/>
          </w:tblCellMar>
        </w:tblPrEx>
        <w:trPr>
          <w:trHeight w:val="718"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3068"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专利名称</w:t>
            </w:r>
          </w:p>
        </w:tc>
        <w:tc>
          <w:tcPr>
            <w:tcW w:w="942"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专利</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类型</w:t>
            </w:r>
          </w:p>
        </w:tc>
        <w:tc>
          <w:tcPr>
            <w:tcW w:w="942"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申请</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国别</w:t>
            </w:r>
          </w:p>
        </w:tc>
        <w:tc>
          <w:tcPr>
            <w:tcW w:w="2085"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申请号</w:t>
            </w:r>
          </w:p>
        </w:tc>
        <w:tc>
          <w:tcPr>
            <w:tcW w:w="1484"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申请日期</w:t>
            </w:r>
          </w:p>
        </w:tc>
        <w:tc>
          <w:tcPr>
            <w:tcW w:w="1626" w:type="dxa"/>
            <w:gridSpan w:val="2"/>
            <w:tcBorders>
              <w:top w:val="nil"/>
              <w:left w:val="nil"/>
              <w:bottom w:val="nil"/>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申请人</w:t>
            </w:r>
          </w:p>
        </w:tc>
      </w:tr>
      <w:tr>
        <w:tblPrEx>
          <w:tblLayout w:type="fixed"/>
          <w:tblCellMar>
            <w:top w:w="0" w:type="dxa"/>
            <w:left w:w="108" w:type="dxa"/>
            <w:bottom w:w="0" w:type="dxa"/>
            <w:right w:w="108" w:type="dxa"/>
          </w:tblCellMar>
        </w:tblPrEx>
        <w:trPr>
          <w:trHeight w:val="649"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3068"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5"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4"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26" w:type="dxa"/>
            <w:gridSpan w:val="2"/>
            <w:tcBorders>
              <w:top w:val="single" w:color="auto" w:sz="4" w:space="0"/>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700"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3068"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5"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4"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26"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708"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3068"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5"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4"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26"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690" w:hRule="atLeast"/>
          <w:jc w:val="center"/>
        </w:trPr>
        <w:tc>
          <w:tcPr>
            <w:tcW w:w="561"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3068"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2"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5"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4"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626"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2539" w:hRule="atLeast"/>
          <w:jc w:val="center"/>
        </w:trPr>
        <w:tc>
          <w:tcPr>
            <w:tcW w:w="10708"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该表所填写信息应与《专利申请受理通知书》内容一致。</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报告年度之外申请受理的专利不得列入。</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专利类型应按相应的分类代码填写，具体的分类及代码是：1. 发明；2. 实用新型；3. 外观设计，并按照三种类型依次排列。</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4. 申请日期为8位编码，其中前4位为年份，5-6位为月份（1月至9月必须前补0），后2位为日期（1日至9日必须前补0）。</w:t>
            </w:r>
          </w:p>
        </w:tc>
      </w:tr>
      <w:tr>
        <w:tblPrEx>
          <w:tblLayout w:type="fixed"/>
          <w:tblCellMar>
            <w:top w:w="0" w:type="dxa"/>
            <w:left w:w="108" w:type="dxa"/>
            <w:bottom w:w="0" w:type="dxa"/>
            <w:right w:w="108" w:type="dxa"/>
          </w:tblCellMar>
        </w:tblPrEx>
        <w:trPr>
          <w:gridAfter w:val="1"/>
          <w:wAfter w:w="1048" w:type="dxa"/>
          <w:trHeight w:val="840" w:hRule="atLeast"/>
          <w:jc w:val="center"/>
        </w:trPr>
        <w:tc>
          <w:tcPr>
            <w:tcW w:w="9660" w:type="dxa"/>
            <w:gridSpan w:val="12"/>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表5：主持和参加制定的标准信息表</w:t>
            </w:r>
          </w:p>
        </w:tc>
      </w:tr>
      <w:tr>
        <w:tblPrEx>
          <w:tblLayout w:type="fixed"/>
          <w:tblCellMar>
            <w:top w:w="0" w:type="dxa"/>
            <w:left w:w="108" w:type="dxa"/>
            <w:bottom w:w="0" w:type="dxa"/>
            <w:right w:w="108" w:type="dxa"/>
          </w:tblCellMar>
        </w:tblPrEx>
        <w:trPr>
          <w:gridAfter w:val="1"/>
          <w:wAfter w:w="1048" w:type="dxa"/>
          <w:trHeight w:val="57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3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名称</w:t>
            </w:r>
          </w:p>
        </w:tc>
        <w:tc>
          <w:tcPr>
            <w:tcW w:w="1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标准</w:t>
            </w:r>
          </w:p>
          <w:p>
            <w:pPr>
              <w:widowControl/>
              <w:rPr>
                <w:rFonts w:ascii="方正仿宋_GBK" w:eastAsia="方正仿宋_GBK"/>
                <w:kern w:val="0"/>
                <w:sz w:val="32"/>
                <w:szCs w:val="32"/>
              </w:rPr>
            </w:pPr>
            <w:r>
              <w:rPr>
                <w:rFonts w:hint="eastAsia" w:ascii="方正仿宋_GBK" w:eastAsia="方正仿宋_GBK"/>
                <w:kern w:val="0"/>
                <w:sz w:val="32"/>
                <w:szCs w:val="32"/>
                <w:lang w:bidi="ar"/>
              </w:rPr>
              <w:t>类型</w:t>
            </w:r>
          </w:p>
        </w:tc>
        <w:tc>
          <w:tcPr>
            <w:tcW w:w="13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标准号</w:t>
            </w:r>
          </w:p>
        </w:tc>
        <w:tc>
          <w:tcPr>
            <w:tcW w:w="118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主持或</w:t>
            </w:r>
          </w:p>
          <w:p>
            <w:pPr>
              <w:widowControl/>
              <w:rPr>
                <w:rFonts w:ascii="方正仿宋_GBK" w:eastAsia="方正仿宋_GBK"/>
                <w:kern w:val="0"/>
                <w:sz w:val="32"/>
                <w:szCs w:val="32"/>
              </w:rPr>
            </w:pPr>
            <w:r>
              <w:rPr>
                <w:rFonts w:hint="eastAsia" w:ascii="方正仿宋_GBK" w:eastAsia="方正仿宋_GBK"/>
                <w:kern w:val="0"/>
                <w:sz w:val="32"/>
                <w:szCs w:val="32"/>
                <w:lang w:bidi="ar"/>
              </w:rPr>
              <w:t>参加</w:t>
            </w:r>
          </w:p>
        </w:tc>
        <w:tc>
          <w:tcPr>
            <w:tcW w:w="172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颁布日期</w:t>
            </w:r>
          </w:p>
        </w:tc>
      </w:tr>
      <w:tr>
        <w:tblPrEx>
          <w:tblLayout w:type="fixed"/>
          <w:tblCellMar>
            <w:top w:w="0" w:type="dxa"/>
            <w:left w:w="108" w:type="dxa"/>
            <w:bottom w:w="0" w:type="dxa"/>
            <w:right w:w="108" w:type="dxa"/>
          </w:tblCellMar>
        </w:tblPrEx>
        <w:trPr>
          <w:gridAfter w:val="1"/>
          <w:wAfter w:w="104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1</w:t>
            </w:r>
          </w:p>
        </w:tc>
        <w:tc>
          <w:tcPr>
            <w:tcW w:w="3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3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8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72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r>
      <w:tr>
        <w:tblPrEx>
          <w:tblLayout w:type="fixed"/>
          <w:tblCellMar>
            <w:top w:w="0" w:type="dxa"/>
            <w:left w:w="108" w:type="dxa"/>
            <w:bottom w:w="0" w:type="dxa"/>
            <w:right w:w="108" w:type="dxa"/>
          </w:tblCellMar>
        </w:tblPrEx>
        <w:trPr>
          <w:gridAfter w:val="1"/>
          <w:wAfter w:w="104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2</w:t>
            </w:r>
          </w:p>
        </w:tc>
        <w:tc>
          <w:tcPr>
            <w:tcW w:w="3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3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8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72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r>
      <w:tr>
        <w:tblPrEx>
          <w:tblLayout w:type="fixed"/>
          <w:tblCellMar>
            <w:top w:w="0" w:type="dxa"/>
            <w:left w:w="108" w:type="dxa"/>
            <w:bottom w:w="0" w:type="dxa"/>
            <w:right w:w="108" w:type="dxa"/>
          </w:tblCellMar>
        </w:tblPrEx>
        <w:trPr>
          <w:gridAfter w:val="1"/>
          <w:wAfter w:w="104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w:t>
            </w:r>
          </w:p>
        </w:tc>
        <w:tc>
          <w:tcPr>
            <w:tcW w:w="3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3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8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72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r>
      <w:tr>
        <w:tblPrEx>
          <w:tblLayout w:type="fixed"/>
          <w:tblCellMar>
            <w:top w:w="0" w:type="dxa"/>
            <w:left w:w="108" w:type="dxa"/>
            <w:bottom w:w="0" w:type="dxa"/>
            <w:right w:w="108" w:type="dxa"/>
          </w:tblCellMar>
        </w:tblPrEx>
        <w:trPr>
          <w:gridAfter w:val="1"/>
          <w:wAfter w:w="1048" w:type="dxa"/>
          <w:trHeight w:val="402"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n</w:t>
            </w:r>
          </w:p>
        </w:tc>
        <w:tc>
          <w:tcPr>
            <w:tcW w:w="3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36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18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c>
          <w:tcPr>
            <w:tcW w:w="1720" w:type="dxa"/>
            <w:gridSpan w:val="2"/>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p>
        </w:tc>
      </w:tr>
      <w:tr>
        <w:tblPrEx>
          <w:tblLayout w:type="fixed"/>
          <w:tblCellMar>
            <w:top w:w="0" w:type="dxa"/>
            <w:left w:w="108" w:type="dxa"/>
            <w:bottom w:w="0" w:type="dxa"/>
            <w:right w:w="108" w:type="dxa"/>
          </w:tblCellMar>
        </w:tblPrEx>
        <w:trPr>
          <w:gridAfter w:val="1"/>
          <w:wAfter w:w="1048" w:type="dxa"/>
          <w:trHeight w:val="2292" w:hRule="atLeast"/>
          <w:jc w:val="center"/>
        </w:trPr>
        <w:tc>
          <w:tcPr>
            <w:tcW w:w="9660" w:type="dxa"/>
            <w:gridSpan w:val="12"/>
            <w:tcBorders>
              <w:top w:val="single" w:color="auto" w:sz="4" w:space="0"/>
              <w:left w:val="single" w:color="auto" w:sz="4" w:space="0"/>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所填标准应为现行有效标准。</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标准类型应按相应的分类代码填写，具体的分类及代码是：1. 国际；2. 国家；3. 行业。</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颁布日期为8位编码，其中前4位为年份，5-6位为月份（1月至9月必须前补0），后2位为日期（1日至9日必须前补0）。</w:t>
            </w:r>
          </w:p>
        </w:tc>
      </w:tr>
    </w:tbl>
    <w:p>
      <w:pPr>
        <w:rPr>
          <w:rFonts w:ascii="方正仿宋_GBK" w:eastAsia="方正仿宋_GBK"/>
          <w:sz w:val="32"/>
          <w:szCs w:val="32"/>
        </w:rPr>
      </w:pPr>
    </w:p>
    <w:p>
      <w:pPr>
        <w:rPr>
          <w:rFonts w:ascii="方正仿宋_GBK" w:eastAsia="方正仿宋_GBK"/>
          <w:sz w:val="32"/>
          <w:szCs w:val="32"/>
        </w:rPr>
      </w:pPr>
    </w:p>
    <w:tbl>
      <w:tblPr>
        <w:tblStyle w:val="14"/>
        <w:tblW w:w="10640" w:type="dxa"/>
        <w:jc w:val="center"/>
        <w:tblInd w:w="0" w:type="dxa"/>
        <w:tblLayout w:type="fixed"/>
        <w:tblCellMar>
          <w:top w:w="0" w:type="dxa"/>
          <w:left w:w="108" w:type="dxa"/>
          <w:bottom w:w="0" w:type="dxa"/>
          <w:right w:w="108" w:type="dxa"/>
        </w:tblCellMar>
      </w:tblPr>
      <w:tblGrid>
        <w:gridCol w:w="1080"/>
        <w:gridCol w:w="2820"/>
        <w:gridCol w:w="1060"/>
        <w:gridCol w:w="260"/>
        <w:gridCol w:w="680"/>
        <w:gridCol w:w="580"/>
        <w:gridCol w:w="900"/>
        <w:gridCol w:w="640"/>
        <w:gridCol w:w="580"/>
        <w:gridCol w:w="1300"/>
        <w:gridCol w:w="740"/>
      </w:tblGrid>
      <w:tr>
        <w:tblPrEx>
          <w:tblLayout w:type="fixed"/>
          <w:tblCellMar>
            <w:top w:w="0" w:type="dxa"/>
            <w:left w:w="108" w:type="dxa"/>
            <w:bottom w:w="0" w:type="dxa"/>
            <w:right w:w="108" w:type="dxa"/>
          </w:tblCellMar>
        </w:tblPrEx>
        <w:trPr>
          <w:trHeight w:val="945" w:hRule="atLeast"/>
          <w:jc w:val="center"/>
        </w:trPr>
        <w:tc>
          <w:tcPr>
            <w:tcW w:w="10640" w:type="dxa"/>
            <w:gridSpan w:val="11"/>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表6：国家级(省级)研发平台信息表</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388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名称</w:t>
            </w:r>
          </w:p>
        </w:tc>
        <w:tc>
          <w:tcPr>
            <w:tcW w:w="94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级别</w:t>
            </w:r>
          </w:p>
        </w:tc>
        <w:tc>
          <w:tcPr>
            <w:tcW w:w="148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主管部门</w:t>
            </w:r>
          </w:p>
        </w:tc>
        <w:tc>
          <w:tcPr>
            <w:tcW w:w="122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平台类型</w:t>
            </w:r>
          </w:p>
        </w:tc>
        <w:tc>
          <w:tcPr>
            <w:tcW w:w="204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批复文号</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3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3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3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3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9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4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2865" w:hRule="atLeast"/>
          <w:jc w:val="center"/>
        </w:trPr>
        <w:tc>
          <w:tcPr>
            <w:tcW w:w="10640"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技术中心所在企业或其下属企业需为研发平台的依托法人单位，企业作为参建单位的不得列入。</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“名称”、“批复文号”应与有关政府部门批复文件一致。</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“级别”应按相应的分类代码填写，具体的分类及代码是：1. 国家级；2. 省（区、市）级。</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4. “主管部门”填写平台的国家（或省、区、市）主管政府部门名称。</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5. 平台类型应按相应的分类代码填写，具体的分类及代码是：1. 工程实验室；2. 工程研究中心；3. 工程技术研究中心；4. 重点实验室；5. 国家地方联合工程实验室；6. 国家地方联合工程研究中心；7. 其他（需具体说明）。</w:t>
            </w:r>
          </w:p>
        </w:tc>
      </w:tr>
      <w:tr>
        <w:tblPrEx>
          <w:tblLayout w:type="fixed"/>
          <w:tblCellMar>
            <w:top w:w="0" w:type="dxa"/>
            <w:left w:w="108" w:type="dxa"/>
            <w:bottom w:w="0" w:type="dxa"/>
            <w:right w:w="108" w:type="dxa"/>
          </w:tblCellMar>
        </w:tblPrEx>
        <w:trPr>
          <w:gridAfter w:val="1"/>
          <w:wAfter w:w="740" w:type="dxa"/>
          <w:trHeight w:val="1005" w:hRule="atLeast"/>
          <w:jc w:val="center"/>
        </w:trPr>
        <w:tc>
          <w:tcPr>
            <w:tcW w:w="9900" w:type="dxa"/>
            <w:gridSpan w:val="10"/>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表7：国家（国际组织）认证实验室和检测机构信息表</w:t>
            </w:r>
          </w:p>
        </w:tc>
      </w:tr>
      <w:tr>
        <w:tblPrEx>
          <w:tblLayout w:type="fixed"/>
          <w:tblCellMar>
            <w:top w:w="0" w:type="dxa"/>
            <w:left w:w="108" w:type="dxa"/>
            <w:bottom w:w="0" w:type="dxa"/>
            <w:right w:w="108" w:type="dxa"/>
          </w:tblCellMar>
        </w:tblPrEx>
        <w:trPr>
          <w:gridAfter w:val="1"/>
          <w:wAfter w:w="740" w:type="dxa"/>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282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名称</w:t>
            </w:r>
          </w:p>
        </w:tc>
        <w:tc>
          <w:tcPr>
            <w:tcW w:w="132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类型</w:t>
            </w:r>
          </w:p>
        </w:tc>
        <w:tc>
          <w:tcPr>
            <w:tcW w:w="126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发证机关</w:t>
            </w:r>
          </w:p>
        </w:tc>
        <w:tc>
          <w:tcPr>
            <w:tcW w:w="154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证书号</w:t>
            </w:r>
          </w:p>
        </w:tc>
        <w:tc>
          <w:tcPr>
            <w:tcW w:w="1880" w:type="dxa"/>
            <w:gridSpan w:val="2"/>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有效期</w:t>
            </w:r>
          </w:p>
        </w:tc>
      </w:tr>
      <w:tr>
        <w:tblPrEx>
          <w:tblLayout w:type="fixed"/>
          <w:tblCellMar>
            <w:top w:w="0" w:type="dxa"/>
            <w:left w:w="108" w:type="dxa"/>
            <w:bottom w:w="0" w:type="dxa"/>
            <w:right w:w="108" w:type="dxa"/>
          </w:tblCellMar>
        </w:tblPrEx>
        <w:trPr>
          <w:gridAfter w:val="1"/>
          <w:wAfter w:w="740" w:type="dxa"/>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28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gridAfter w:val="1"/>
          <w:wAfter w:w="740" w:type="dxa"/>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28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gridAfter w:val="1"/>
          <w:wAfter w:w="740" w:type="dxa"/>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28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gridAfter w:val="1"/>
          <w:wAfter w:w="740" w:type="dxa"/>
          <w:trHeight w:val="402" w:hRule="atLeast"/>
          <w:jc w:val="center"/>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28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32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54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880" w:type="dxa"/>
            <w:gridSpan w:val="2"/>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gridAfter w:val="1"/>
          <w:wAfter w:w="740" w:type="dxa"/>
          <w:trHeight w:val="3128" w:hRule="atLeast"/>
          <w:jc w:val="center"/>
        </w:trPr>
        <w:tc>
          <w:tcPr>
            <w:tcW w:w="9900" w:type="dxa"/>
            <w:gridSpan w:val="10"/>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本表所填信息应与认证认可证书相关信息一致。</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类型指认证认可类型，应按相应的分类代码填写，具体的分类及代码是：1. CNAS；2. CMA；3. CAL；4. 其他（需具体说明）。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 认证机关应按相应的分类代码填写，具体的分类及代码是：1. 中国合格评定国家认可委员会（CNAS）；2. 国家认证认可监督管理委员会（CNCA）；3. 其他国家（国际组织）认证认可机构（需具体说明）。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4. 有效期为6位编码，其中前4位为年份，后2位为月份（1月至9月必须前补0），填写格式为“201410-201810”</w:t>
            </w:r>
          </w:p>
        </w:tc>
      </w:tr>
    </w:tbl>
    <w:p>
      <w:pPr>
        <w:rPr>
          <w:rFonts w:ascii="方正仿宋_GBK" w:eastAsia="方正仿宋_GBK"/>
          <w:sz w:val="32"/>
          <w:szCs w:val="32"/>
        </w:rPr>
      </w:pPr>
    </w:p>
    <w:tbl>
      <w:tblPr>
        <w:tblStyle w:val="14"/>
        <w:tblW w:w="10700" w:type="dxa"/>
        <w:jc w:val="center"/>
        <w:tblInd w:w="0" w:type="dxa"/>
        <w:tblLayout w:type="fixed"/>
        <w:tblCellMar>
          <w:top w:w="0" w:type="dxa"/>
          <w:left w:w="108" w:type="dxa"/>
          <w:bottom w:w="0" w:type="dxa"/>
          <w:right w:w="108" w:type="dxa"/>
        </w:tblCellMar>
      </w:tblPr>
      <w:tblGrid>
        <w:gridCol w:w="860"/>
        <w:gridCol w:w="3460"/>
        <w:gridCol w:w="1180"/>
        <w:gridCol w:w="1200"/>
        <w:gridCol w:w="1920"/>
        <w:gridCol w:w="2080"/>
      </w:tblGrid>
      <w:tr>
        <w:tblPrEx>
          <w:tblLayout w:type="fixed"/>
          <w:tblCellMar>
            <w:top w:w="0" w:type="dxa"/>
            <w:left w:w="108" w:type="dxa"/>
            <w:bottom w:w="0" w:type="dxa"/>
            <w:right w:w="108" w:type="dxa"/>
          </w:tblCellMar>
        </w:tblPrEx>
        <w:trPr>
          <w:trHeight w:val="720" w:hRule="atLeast"/>
          <w:jc w:val="center"/>
        </w:trPr>
        <w:tc>
          <w:tcPr>
            <w:tcW w:w="10700" w:type="dxa"/>
            <w:gridSpan w:val="6"/>
            <w:tcBorders>
              <w:top w:val="nil"/>
              <w:left w:val="nil"/>
              <w:bottom w:val="single" w:color="auto" w:sz="4" w:space="0"/>
              <w:right w:val="nil"/>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表8：国家（重庆市）自然科学、技术发明、科技进步奖项目信息表</w:t>
            </w:r>
          </w:p>
        </w:tc>
      </w:tr>
      <w:tr>
        <w:tblPrEx>
          <w:tblLayout w:type="fixed"/>
          <w:tblCellMar>
            <w:top w:w="0" w:type="dxa"/>
            <w:left w:w="108" w:type="dxa"/>
            <w:bottom w:w="0" w:type="dxa"/>
            <w:right w:w="108" w:type="dxa"/>
          </w:tblCellMar>
        </w:tblPrEx>
        <w:trPr>
          <w:trHeight w:val="359"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序号</w:t>
            </w:r>
          </w:p>
        </w:tc>
        <w:tc>
          <w:tcPr>
            <w:tcW w:w="346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项目名称</w:t>
            </w:r>
          </w:p>
        </w:tc>
        <w:tc>
          <w:tcPr>
            <w:tcW w:w="11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奖励类型</w:t>
            </w:r>
          </w:p>
        </w:tc>
        <w:tc>
          <w:tcPr>
            <w:tcW w:w="120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奖励等级</w:t>
            </w:r>
          </w:p>
        </w:tc>
        <w:tc>
          <w:tcPr>
            <w:tcW w:w="192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证书号</w:t>
            </w:r>
          </w:p>
        </w:tc>
        <w:tc>
          <w:tcPr>
            <w:tcW w:w="2080"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获奖者</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34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1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34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1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34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1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15" w:hRule="atLeast"/>
          <w:jc w:val="center"/>
        </w:trPr>
        <w:tc>
          <w:tcPr>
            <w:tcW w:w="860"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n</w:t>
            </w:r>
          </w:p>
        </w:tc>
        <w:tc>
          <w:tcPr>
            <w:tcW w:w="346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1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20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192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c>
          <w:tcPr>
            <w:tcW w:w="2080" w:type="dxa"/>
            <w:tcBorders>
              <w:top w:val="nil"/>
              <w:left w:val="nil"/>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　</w:t>
            </w:r>
          </w:p>
        </w:tc>
      </w:tr>
      <w:tr>
        <w:tblPrEx>
          <w:tblLayout w:type="fixed"/>
          <w:tblCellMar>
            <w:top w:w="0" w:type="dxa"/>
            <w:left w:w="108" w:type="dxa"/>
            <w:bottom w:w="0" w:type="dxa"/>
            <w:right w:w="108" w:type="dxa"/>
          </w:tblCellMar>
        </w:tblPrEx>
        <w:trPr>
          <w:trHeight w:val="3012" w:hRule="atLeast"/>
          <w:jc w:val="center"/>
        </w:trPr>
        <w:tc>
          <w:tcPr>
            <w:tcW w:w="107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eastAsia="方正仿宋_GBK"/>
                <w:kern w:val="0"/>
                <w:sz w:val="32"/>
                <w:szCs w:val="32"/>
              </w:rPr>
            </w:pPr>
            <w:r>
              <w:rPr>
                <w:rFonts w:hint="eastAsia" w:ascii="方正仿宋_GBK" w:eastAsia="方正仿宋_GBK"/>
                <w:kern w:val="0"/>
                <w:sz w:val="32"/>
                <w:szCs w:val="32"/>
                <w:lang w:bidi="ar"/>
              </w:rPr>
              <w:t>填写说明：</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1. 本表所填信息应与获奖证书相关内容一致。</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2. 获奖项目填报的时间范围为报告年度及以前。</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3.“奖励类型”应按相应的分类代码填写，具体的分类及代码是：1. 国家自然科学奖；2. 国家技术发明奖；3. 国家科技进步奖；4. 国家自然科学奖；5. 国家技术发明奖；6. 国家科技进步奖。</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 xml:space="preserve">4. “奖励等级”应按相应的分类代码填写，具体的分类及代码是：1. 特等奖；2. 一等奖；3. 二等奖。 </w:t>
            </w: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5. 获奖者需为技术中心所在企业、下属企业或企业在职职工。获奖者为个人的，需提供个人相关信息及必要证明材料。</w:t>
            </w:r>
          </w:p>
        </w:tc>
      </w:tr>
    </w:tbl>
    <w:p>
      <w:pPr>
        <w:widowControl/>
        <w:spacing w:line="600" w:lineRule="exact"/>
        <w:jc w:val="left"/>
        <w:rPr>
          <w:rFonts w:ascii="方正黑体_GBK" w:eastAsia="方正黑体_GBK"/>
          <w:kern w:val="0"/>
          <w:sz w:val="32"/>
          <w:szCs w:val="32"/>
        </w:rPr>
      </w:pPr>
      <w:r>
        <w:rPr>
          <w:rFonts w:hint="eastAsia" w:ascii="方正仿宋_GBK" w:eastAsia="方正仿宋_GBK"/>
          <w:kern w:val="0"/>
          <w:sz w:val="32"/>
          <w:szCs w:val="32"/>
          <w:lang w:bidi="ar"/>
        </w:rPr>
        <w:br w:type="page"/>
      </w:r>
      <w:r>
        <w:rPr>
          <w:rFonts w:hint="eastAsia" w:ascii="方正黑体_GBK" w:eastAsia="方正黑体_GBK"/>
          <w:kern w:val="0"/>
          <w:sz w:val="32"/>
          <w:szCs w:val="32"/>
          <w:lang w:bidi="ar"/>
        </w:rPr>
        <w:t>附件3</w:t>
      </w:r>
    </w:p>
    <w:p>
      <w:pPr>
        <w:widowControl/>
        <w:spacing w:line="600" w:lineRule="exact"/>
        <w:ind w:firstLine="250"/>
        <w:jc w:val="center"/>
        <w:rPr>
          <w:rFonts w:ascii="方正小标宋_GBK" w:eastAsia="方正小标宋_GBK"/>
          <w:kern w:val="0"/>
          <w:sz w:val="44"/>
          <w:szCs w:val="44"/>
        </w:rPr>
      </w:pPr>
      <w:r>
        <w:rPr>
          <w:rFonts w:hint="eastAsia" w:ascii="方正小标宋_GBK" w:eastAsia="方正小标宋_GBK"/>
          <w:kern w:val="0"/>
          <w:sz w:val="44"/>
          <w:szCs w:val="44"/>
          <w:lang w:bidi="ar"/>
        </w:rPr>
        <w:t>荣昌区企业技术中心评价指标体系</w:t>
      </w:r>
    </w:p>
    <w:p>
      <w:pPr>
        <w:widowControl/>
        <w:spacing w:line="600" w:lineRule="exact"/>
        <w:ind w:firstLine="250"/>
        <w:jc w:val="left"/>
        <w:rPr>
          <w:rFonts w:ascii="方正黑体_GBK" w:eastAsia="方正黑体_GBK"/>
          <w:kern w:val="0"/>
          <w:sz w:val="32"/>
          <w:szCs w:val="32"/>
        </w:rPr>
      </w:pPr>
      <w:r>
        <w:rPr>
          <w:rFonts w:hint="eastAsia" w:ascii="方正黑体_GBK" w:eastAsia="方正黑体_GBK"/>
          <w:kern w:val="0"/>
          <w:sz w:val="32"/>
          <w:szCs w:val="32"/>
          <w:lang w:bidi="ar"/>
        </w:rPr>
        <w:t>一、评价指标及评价基本要求</w:t>
      </w:r>
    </w:p>
    <w:tbl>
      <w:tblPr>
        <w:tblStyle w:val="14"/>
        <w:tblW w:w="9083" w:type="dxa"/>
        <w:jc w:val="center"/>
        <w:tblInd w:w="0" w:type="dxa"/>
        <w:tblLayout w:type="fixed"/>
        <w:tblCellMar>
          <w:top w:w="0" w:type="dxa"/>
          <w:left w:w="108" w:type="dxa"/>
          <w:bottom w:w="0" w:type="dxa"/>
          <w:right w:w="108" w:type="dxa"/>
        </w:tblCellMar>
      </w:tblPr>
      <w:tblGrid>
        <w:gridCol w:w="698"/>
        <w:gridCol w:w="815"/>
        <w:gridCol w:w="707"/>
        <w:gridCol w:w="3698"/>
        <w:gridCol w:w="1048"/>
        <w:gridCol w:w="936"/>
        <w:gridCol w:w="1181"/>
      </w:tblGrid>
      <w:tr>
        <w:tblPrEx>
          <w:tblLayout w:type="fixed"/>
          <w:tblCellMar>
            <w:top w:w="0" w:type="dxa"/>
            <w:left w:w="108" w:type="dxa"/>
            <w:bottom w:w="0" w:type="dxa"/>
            <w:right w:w="108" w:type="dxa"/>
          </w:tblCellMar>
        </w:tblPrEx>
        <w:trPr>
          <w:trHeight w:val="79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b/>
                <w:kern w:val="0"/>
                <w:sz w:val="32"/>
                <w:szCs w:val="32"/>
              </w:rPr>
            </w:pPr>
            <w:r>
              <w:rPr>
                <w:rFonts w:hint="eastAsia" w:ascii="方正仿宋_GBK" w:eastAsia="方正仿宋_GBK"/>
                <w:b/>
                <w:kern w:val="0"/>
                <w:sz w:val="32"/>
                <w:szCs w:val="32"/>
                <w:lang w:bidi="ar"/>
              </w:rPr>
              <w:t>一级</w:t>
            </w:r>
          </w:p>
          <w:p>
            <w:pPr>
              <w:jc w:val="center"/>
              <w:rPr>
                <w:rFonts w:ascii="方正仿宋_GBK" w:eastAsia="方正仿宋_GBK"/>
                <w:b/>
                <w:kern w:val="0"/>
                <w:sz w:val="32"/>
                <w:szCs w:val="32"/>
              </w:rPr>
            </w:pPr>
            <w:r>
              <w:rPr>
                <w:rFonts w:hint="eastAsia" w:ascii="方正仿宋_GBK" w:eastAsia="方正仿宋_GBK"/>
                <w:b/>
                <w:kern w:val="0"/>
                <w:sz w:val="32"/>
                <w:szCs w:val="32"/>
                <w:lang w:bidi="ar"/>
              </w:rPr>
              <w:t>指标</w:t>
            </w:r>
          </w:p>
        </w:tc>
        <w:tc>
          <w:tcPr>
            <w:tcW w:w="815"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kern w:val="0"/>
                <w:sz w:val="32"/>
                <w:szCs w:val="32"/>
              </w:rPr>
            </w:pPr>
            <w:r>
              <w:rPr>
                <w:rFonts w:hint="eastAsia" w:ascii="方正仿宋_GBK" w:eastAsia="方正仿宋_GBK"/>
                <w:b/>
                <w:kern w:val="0"/>
                <w:sz w:val="32"/>
                <w:szCs w:val="32"/>
                <w:lang w:bidi="ar"/>
              </w:rPr>
              <w:t>二级</w:t>
            </w:r>
          </w:p>
          <w:p>
            <w:pPr>
              <w:jc w:val="center"/>
              <w:rPr>
                <w:rFonts w:ascii="方正仿宋_GBK" w:eastAsia="方正仿宋_GBK"/>
                <w:b/>
                <w:kern w:val="0"/>
                <w:sz w:val="32"/>
                <w:szCs w:val="32"/>
              </w:rPr>
            </w:pPr>
            <w:r>
              <w:rPr>
                <w:rFonts w:hint="eastAsia" w:ascii="方正仿宋_GBK" w:eastAsia="方正仿宋_GBK"/>
                <w:b/>
                <w:kern w:val="0"/>
                <w:sz w:val="32"/>
                <w:szCs w:val="32"/>
                <w:lang w:bidi="ar"/>
              </w:rPr>
              <w:t>指标</w:t>
            </w:r>
          </w:p>
        </w:tc>
        <w:tc>
          <w:tcPr>
            <w:tcW w:w="707"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kern w:val="0"/>
                <w:sz w:val="32"/>
                <w:szCs w:val="32"/>
              </w:rPr>
            </w:pPr>
            <w:r>
              <w:rPr>
                <w:rFonts w:hint="eastAsia" w:ascii="方正仿宋_GBK" w:eastAsia="方正仿宋_GBK"/>
                <w:b/>
                <w:kern w:val="0"/>
                <w:sz w:val="32"/>
                <w:szCs w:val="32"/>
                <w:lang w:bidi="ar"/>
              </w:rPr>
              <w:t>权重</w:t>
            </w:r>
          </w:p>
          <w:p>
            <w:pPr>
              <w:jc w:val="center"/>
              <w:rPr>
                <w:rFonts w:ascii="方正仿宋_GBK" w:eastAsia="方正仿宋_GBK"/>
                <w:b/>
                <w:kern w:val="0"/>
                <w:sz w:val="32"/>
                <w:szCs w:val="32"/>
              </w:rPr>
            </w:pPr>
            <w:r>
              <w:rPr>
                <w:rFonts w:hint="eastAsia" w:ascii="方正仿宋_GBK" w:eastAsia="方正仿宋_GBK"/>
                <w:b/>
                <w:kern w:val="0"/>
                <w:sz w:val="32"/>
                <w:szCs w:val="32"/>
                <w:lang w:bidi="ar"/>
              </w:rPr>
              <w:t>(分)</w:t>
            </w:r>
          </w:p>
        </w:tc>
        <w:tc>
          <w:tcPr>
            <w:tcW w:w="36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b/>
                <w:kern w:val="0"/>
                <w:sz w:val="32"/>
                <w:szCs w:val="32"/>
              </w:rPr>
            </w:pPr>
            <w:r>
              <w:rPr>
                <w:rFonts w:hint="eastAsia" w:ascii="方正仿宋_GBK" w:eastAsia="方正仿宋_GBK"/>
                <w:b/>
                <w:kern w:val="0"/>
                <w:sz w:val="32"/>
                <w:szCs w:val="32"/>
                <w:lang w:bidi="ar"/>
              </w:rPr>
              <w:t>三级指标</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b/>
                <w:kern w:val="0"/>
                <w:sz w:val="32"/>
                <w:szCs w:val="32"/>
              </w:rPr>
            </w:pPr>
            <w:r>
              <w:rPr>
                <w:rFonts w:hint="eastAsia" w:ascii="方正仿宋_GBK" w:eastAsia="方正仿宋_GBK"/>
                <w:b/>
                <w:kern w:val="0"/>
                <w:sz w:val="32"/>
                <w:szCs w:val="32"/>
                <w:lang w:bidi="ar"/>
              </w:rPr>
              <w:t>权重</w:t>
            </w:r>
          </w:p>
          <w:p>
            <w:pPr>
              <w:jc w:val="center"/>
              <w:rPr>
                <w:rFonts w:ascii="方正仿宋_GBK" w:eastAsia="方正仿宋_GBK"/>
                <w:b/>
                <w:kern w:val="0"/>
                <w:sz w:val="32"/>
                <w:szCs w:val="32"/>
              </w:rPr>
            </w:pPr>
            <w:r>
              <w:rPr>
                <w:rFonts w:hint="eastAsia" w:ascii="方正仿宋_GBK" w:eastAsia="方正仿宋_GBK"/>
                <w:b/>
                <w:kern w:val="0"/>
                <w:sz w:val="32"/>
                <w:szCs w:val="32"/>
                <w:lang w:bidi="ar"/>
              </w:rPr>
              <w:t>(分)</w:t>
            </w:r>
          </w:p>
        </w:tc>
        <w:tc>
          <w:tcPr>
            <w:tcW w:w="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b/>
                <w:kern w:val="0"/>
                <w:sz w:val="32"/>
                <w:szCs w:val="32"/>
              </w:rPr>
            </w:pPr>
            <w:r>
              <w:rPr>
                <w:rFonts w:hint="eastAsia" w:ascii="方正仿宋_GBK" w:eastAsia="方正仿宋_GBK"/>
                <w:b/>
                <w:kern w:val="0"/>
                <w:sz w:val="32"/>
                <w:szCs w:val="32"/>
                <w:lang w:bidi="ar"/>
              </w:rPr>
              <w:t>单位</w:t>
            </w:r>
          </w:p>
        </w:tc>
        <w:tc>
          <w:tcPr>
            <w:tcW w:w="1181" w:type="dxa"/>
            <w:tcBorders>
              <w:top w:val="single" w:color="auto" w:sz="4" w:space="0"/>
              <w:left w:val="nil"/>
              <w:bottom w:val="single" w:color="auto" w:sz="4" w:space="0"/>
              <w:right w:val="single" w:color="auto" w:sz="4" w:space="0"/>
            </w:tcBorders>
            <w:vAlign w:val="center"/>
          </w:tcPr>
          <w:p>
            <w:pPr>
              <w:jc w:val="center"/>
              <w:rPr>
                <w:rFonts w:ascii="方正仿宋_GBK" w:eastAsia="方正仿宋_GBK"/>
                <w:b/>
                <w:kern w:val="0"/>
                <w:sz w:val="32"/>
                <w:szCs w:val="32"/>
              </w:rPr>
            </w:pPr>
            <w:r>
              <w:rPr>
                <w:rFonts w:hint="eastAsia" w:ascii="方正仿宋_GBK" w:eastAsia="方正仿宋_GBK"/>
                <w:b/>
                <w:kern w:val="0"/>
                <w:sz w:val="32"/>
                <w:szCs w:val="32"/>
                <w:lang w:bidi="ar"/>
              </w:rPr>
              <w:t>基本要求</w:t>
            </w:r>
          </w:p>
        </w:tc>
      </w:tr>
      <w:tr>
        <w:tblPrEx>
          <w:tblLayout w:type="fixed"/>
          <w:tblCellMar>
            <w:top w:w="0" w:type="dxa"/>
            <w:left w:w="108" w:type="dxa"/>
            <w:bottom w:w="0" w:type="dxa"/>
            <w:right w:w="108" w:type="dxa"/>
          </w:tblCellMar>
        </w:tblPrEx>
        <w:trPr>
          <w:trHeight w:val="810"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创新机制</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创新投入机制</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23</w:t>
            </w: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研究与试验发展（R&amp;D）经费支出额占主营业务收入的比重</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≤18</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rPr>
              <w:t>分档次计算</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研究与试验发展（R&amp;D）经费支出比上年度增长</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5</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万元</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 0</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人才激励机制</w:t>
            </w:r>
          </w:p>
        </w:tc>
        <w:tc>
          <w:tcPr>
            <w:tcW w:w="707"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中心年人均收入与企业年人均收入之比</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≥120</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创新合作机制</w:t>
            </w:r>
          </w:p>
        </w:tc>
        <w:tc>
          <w:tcPr>
            <w:tcW w:w="707"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6</w:t>
            </w: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来中心从事技术开发工作的外部专家数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人月</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≥12</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对外合作项目占全部开发项目数的比重</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 5</w:t>
            </w:r>
          </w:p>
        </w:tc>
      </w:tr>
      <w:tr>
        <w:tblPrEx>
          <w:tblLayout w:type="fixed"/>
          <w:tblCellMar>
            <w:top w:w="0" w:type="dxa"/>
            <w:left w:w="108" w:type="dxa"/>
            <w:bottom w:w="0" w:type="dxa"/>
            <w:right w:w="108" w:type="dxa"/>
          </w:tblCellMar>
        </w:tblPrEx>
        <w:trPr>
          <w:trHeight w:val="810" w:hRule="atLeast"/>
          <w:jc w:val="center"/>
        </w:trPr>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rPr>
              <w:t>技术人才</w:t>
            </w:r>
          </w:p>
        </w:tc>
        <w:tc>
          <w:tcPr>
            <w:tcW w:w="815"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创新队伍建设</w:t>
            </w:r>
          </w:p>
        </w:tc>
        <w:tc>
          <w:tcPr>
            <w:tcW w:w="707"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14</w:t>
            </w: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企业研究与试验发展（R&amp;D）人员占职工人数的比重</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9</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 3</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技术中心拥有的中、高级专家及硕士、博士人数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5</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人</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2</w:t>
            </w:r>
          </w:p>
        </w:tc>
      </w:tr>
      <w:tr>
        <w:tblPrEx>
          <w:tblLayout w:type="fixed"/>
          <w:tblCellMar>
            <w:top w:w="0" w:type="dxa"/>
            <w:left w:w="108" w:type="dxa"/>
            <w:bottom w:w="0" w:type="dxa"/>
            <w:right w:w="108" w:type="dxa"/>
          </w:tblCellMar>
        </w:tblPrEx>
        <w:trPr>
          <w:trHeight w:val="571"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创新条件建设</w:t>
            </w:r>
          </w:p>
        </w:tc>
        <w:tc>
          <w:tcPr>
            <w:tcW w:w="707"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13</w:t>
            </w: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企业技术开发仪器设备原值</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8</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万元</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≥100</w:t>
            </w:r>
          </w:p>
        </w:tc>
      </w:tr>
      <w:tr>
        <w:tblPrEx>
          <w:tblLayout w:type="fixed"/>
          <w:tblCellMar>
            <w:top w:w="0" w:type="dxa"/>
            <w:left w:w="108" w:type="dxa"/>
            <w:bottom w:w="0" w:type="dxa"/>
            <w:right w:w="108" w:type="dxa"/>
          </w:tblCellMar>
        </w:tblPrEx>
        <w:trPr>
          <w:trHeight w:val="551"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strike/>
                <w:color w:val="000000"/>
                <w:kern w:val="0"/>
                <w:sz w:val="32"/>
                <w:szCs w:val="32"/>
              </w:rPr>
            </w:pPr>
            <w:r>
              <w:rPr>
                <w:rFonts w:hint="eastAsia" w:ascii="方正仿宋_GBK" w:eastAsia="方正仿宋_GBK"/>
                <w:color w:val="000000"/>
                <w:kern w:val="0"/>
                <w:sz w:val="32"/>
                <w:szCs w:val="32"/>
                <w:lang w:bidi="ar"/>
              </w:rPr>
              <w:t>企业技术中心能力建设投入数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5</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万元</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30</w:t>
            </w:r>
          </w:p>
        </w:tc>
      </w:tr>
      <w:tr>
        <w:tblPrEx>
          <w:tblLayout w:type="fixed"/>
          <w:tblCellMar>
            <w:top w:w="0" w:type="dxa"/>
            <w:left w:w="108" w:type="dxa"/>
            <w:bottom w:w="0" w:type="dxa"/>
            <w:right w:w="108" w:type="dxa"/>
          </w:tblCellMar>
        </w:tblPrEx>
        <w:trPr>
          <w:trHeight w:val="810"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产出</w:t>
            </w:r>
          </w:p>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效益</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技术创新产出</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18</w:t>
            </w: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当年完成的新产品新技术新工艺开发项目数</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8</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项</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3</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left w:val="single" w:color="auto" w:sz="4" w:space="0"/>
              <w:right w:val="single" w:color="auto" w:sz="4" w:space="0"/>
            </w:tcBorders>
            <w:vAlign w:val="center"/>
          </w:tcPr>
          <w:p>
            <w:pPr>
              <w:widowControl/>
              <w:jc w:val="center"/>
              <w:rPr>
                <w:rFonts w:ascii="方正仿宋_GBK" w:eastAsia="方正仿宋_GBK"/>
                <w:kern w:val="0"/>
                <w:sz w:val="32"/>
                <w:szCs w:val="32"/>
                <w:lang w:bidi="ar"/>
              </w:rPr>
            </w:pPr>
          </w:p>
        </w:tc>
        <w:tc>
          <w:tcPr>
            <w:tcW w:w="815" w:type="dxa"/>
            <w:vMerge w:val="continue"/>
            <w:tcBorders>
              <w:left w:val="single" w:color="auto" w:sz="4" w:space="0"/>
              <w:right w:val="single" w:color="auto" w:sz="4" w:space="0"/>
            </w:tcBorders>
            <w:vAlign w:val="center"/>
          </w:tcPr>
          <w:p>
            <w:pPr>
              <w:widowControl/>
              <w:jc w:val="center"/>
              <w:rPr>
                <w:rFonts w:ascii="方正仿宋_GBK" w:eastAsia="方正仿宋_GBK"/>
                <w:kern w:val="0"/>
                <w:sz w:val="32"/>
                <w:szCs w:val="32"/>
                <w:lang w:bidi="ar"/>
              </w:rPr>
            </w:pPr>
          </w:p>
        </w:tc>
        <w:tc>
          <w:tcPr>
            <w:tcW w:w="707" w:type="dxa"/>
            <w:vMerge w:val="continue"/>
            <w:tcBorders>
              <w:left w:val="single" w:color="auto" w:sz="4" w:space="0"/>
              <w:right w:val="single" w:color="auto" w:sz="4" w:space="0"/>
            </w:tcBorders>
            <w:vAlign w:val="center"/>
          </w:tcPr>
          <w:p>
            <w:pPr>
              <w:widowControl/>
              <w:jc w:val="center"/>
              <w:rPr>
                <w:rFonts w:ascii="方正仿宋_GBK" w:eastAsia="方正仿宋_GBK"/>
                <w:kern w:val="0"/>
                <w:sz w:val="32"/>
                <w:szCs w:val="32"/>
                <w:lang w:bidi="ar"/>
              </w:rPr>
            </w:pP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——其中列入市级计划数</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4</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lang w:bidi="ar"/>
              </w:rPr>
            </w:pP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 1</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当年受理的专利申请数</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4</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项</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2</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——其中当年受理的发明专利申请数</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2</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项</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技术创新效益</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23</w:t>
            </w: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新产品销售收入占主营业务收入的比重</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13</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15</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single" w:color="auto" w:sz="4" w:space="0"/>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新产品销售利润占利润总额的比重</w:t>
            </w:r>
          </w:p>
        </w:tc>
        <w:tc>
          <w:tcPr>
            <w:tcW w:w="1048"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10</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w:t>
            </w:r>
          </w:p>
        </w:tc>
        <w:tc>
          <w:tcPr>
            <w:tcW w:w="1181" w:type="dxa"/>
            <w:tcBorders>
              <w:top w:val="single" w:color="auto" w:sz="4" w:space="0"/>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10</w:t>
            </w:r>
          </w:p>
        </w:tc>
      </w:tr>
      <w:tr>
        <w:tblPrEx>
          <w:tblLayout w:type="fixed"/>
          <w:tblCellMar>
            <w:top w:w="0" w:type="dxa"/>
            <w:left w:w="108" w:type="dxa"/>
            <w:bottom w:w="0" w:type="dxa"/>
            <w:right w:w="108" w:type="dxa"/>
          </w:tblCellMar>
        </w:tblPrEx>
        <w:trPr>
          <w:trHeight w:val="810" w:hRule="atLeast"/>
          <w:jc w:val="center"/>
        </w:trPr>
        <w:tc>
          <w:tcPr>
            <w:tcW w:w="698"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加分</w:t>
            </w:r>
          </w:p>
        </w:tc>
        <w:tc>
          <w:tcPr>
            <w:tcW w:w="815"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加分</w:t>
            </w:r>
          </w:p>
        </w:tc>
        <w:tc>
          <w:tcPr>
            <w:tcW w:w="707" w:type="dxa"/>
            <w:vMerge w:val="restart"/>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10</w:t>
            </w: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获国家、国家行业协会、市级科技奖等项目数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≤3</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项</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全部有效发明专利数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2</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项</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拥有国家级、省级研发平台数，以及国家或国际组织认证的实验室等研发检测机构数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2</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个</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1</w:t>
            </w:r>
          </w:p>
        </w:tc>
      </w:tr>
      <w:tr>
        <w:tblPrEx>
          <w:tblLayout w:type="fixed"/>
          <w:tblCellMar>
            <w:top w:w="0" w:type="dxa"/>
            <w:left w:w="108" w:type="dxa"/>
            <w:bottom w:w="0" w:type="dxa"/>
            <w:right w:w="108" w:type="dxa"/>
          </w:tblCellMar>
        </w:tblPrEx>
        <w:trPr>
          <w:trHeight w:val="81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获得国家级、市级质量品牌奖项数</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 2</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个</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lang w:bidi="ar"/>
              </w:rPr>
            </w:pPr>
            <w:r>
              <w:rPr>
                <w:rFonts w:hint="eastAsia" w:ascii="方正仿宋_GBK" w:eastAsia="方正仿宋_GBK"/>
                <w:color w:val="000000"/>
                <w:kern w:val="0"/>
                <w:sz w:val="32"/>
                <w:szCs w:val="32"/>
                <w:lang w:bidi="ar"/>
              </w:rPr>
              <w:t>≥ 1</w:t>
            </w:r>
          </w:p>
        </w:tc>
      </w:tr>
      <w:tr>
        <w:tblPrEx>
          <w:tblLayout w:type="fixed"/>
          <w:tblCellMar>
            <w:top w:w="0" w:type="dxa"/>
            <w:left w:w="108" w:type="dxa"/>
            <w:bottom w:w="0" w:type="dxa"/>
            <w:right w:w="108" w:type="dxa"/>
          </w:tblCellMar>
        </w:tblPrEx>
        <w:trPr>
          <w:trHeight w:val="111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815"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707" w:type="dxa"/>
            <w:vMerge w:val="continue"/>
            <w:tcBorders>
              <w:top w:val="nil"/>
              <w:left w:val="single" w:color="auto" w:sz="4" w:space="0"/>
              <w:bottom w:val="single" w:color="auto" w:sz="4" w:space="0"/>
              <w:right w:val="single" w:color="auto" w:sz="4" w:space="0"/>
            </w:tcBorders>
            <w:vAlign w:val="center"/>
          </w:tcPr>
          <w:p>
            <w:pPr>
              <w:rPr>
                <w:rFonts w:ascii="方正仿宋_GBK" w:eastAsia="方正仿宋_GBK"/>
                <w:sz w:val="32"/>
                <w:szCs w:val="32"/>
              </w:rPr>
            </w:pP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当年研究与试验发展（R&amp;D）经费支出额占主营业务收入的比重超过5%</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3</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color w:val="000000"/>
                <w:kern w:val="0"/>
                <w:sz w:val="32"/>
                <w:szCs w:val="32"/>
              </w:rPr>
            </w:pPr>
            <w:r>
              <w:rPr>
                <w:rFonts w:hint="eastAsia" w:ascii="方正仿宋_GBK" w:eastAsia="方正仿宋_GBK"/>
                <w:color w:val="000000"/>
                <w:kern w:val="0"/>
                <w:sz w:val="32"/>
                <w:szCs w:val="32"/>
                <w:lang w:bidi="ar"/>
              </w:rPr>
              <w:t>≥ 5</w:t>
            </w:r>
          </w:p>
        </w:tc>
      </w:tr>
      <w:tr>
        <w:tblPrEx>
          <w:tblLayout w:type="fixed"/>
          <w:tblCellMar>
            <w:top w:w="0" w:type="dxa"/>
            <w:left w:w="108" w:type="dxa"/>
            <w:bottom w:w="0" w:type="dxa"/>
            <w:right w:w="108" w:type="dxa"/>
          </w:tblCellMar>
        </w:tblPrEx>
        <w:trPr>
          <w:trHeight w:val="810" w:hRule="atLeast"/>
          <w:jc w:val="center"/>
        </w:trPr>
        <w:tc>
          <w:tcPr>
            <w:tcW w:w="698" w:type="dxa"/>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扣分</w:t>
            </w:r>
          </w:p>
        </w:tc>
        <w:tc>
          <w:tcPr>
            <w:tcW w:w="815"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扣分</w:t>
            </w:r>
          </w:p>
        </w:tc>
        <w:tc>
          <w:tcPr>
            <w:tcW w:w="707"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3698" w:type="dxa"/>
            <w:tcBorders>
              <w:top w:val="nil"/>
              <w:left w:val="nil"/>
              <w:bottom w:val="single" w:color="auto" w:sz="4" w:space="0"/>
              <w:right w:val="single" w:color="auto" w:sz="4" w:space="0"/>
            </w:tcBorders>
            <w:vAlign w:val="center"/>
          </w:tcPr>
          <w:p>
            <w:pPr>
              <w:widowControl/>
              <w:rPr>
                <w:rFonts w:ascii="方正仿宋_GBK" w:eastAsia="方正仿宋_GBK"/>
                <w:kern w:val="0"/>
                <w:sz w:val="32"/>
                <w:szCs w:val="32"/>
              </w:rPr>
            </w:pPr>
            <w:r>
              <w:rPr>
                <w:rFonts w:hint="eastAsia" w:ascii="方正仿宋_GBK" w:eastAsia="方正仿宋_GBK"/>
                <w:kern w:val="0"/>
                <w:sz w:val="32"/>
                <w:szCs w:val="32"/>
                <w:lang w:bidi="ar"/>
              </w:rPr>
              <w:t>企业经营亏损</w:t>
            </w:r>
          </w:p>
        </w:tc>
        <w:tc>
          <w:tcPr>
            <w:tcW w:w="1048"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 3</w:t>
            </w:r>
          </w:p>
        </w:tc>
        <w:tc>
          <w:tcPr>
            <w:tcW w:w="936"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万元</w:t>
            </w:r>
          </w:p>
        </w:tc>
        <w:tc>
          <w:tcPr>
            <w:tcW w:w="1181" w:type="dxa"/>
            <w:tcBorders>
              <w:top w:val="nil"/>
              <w:left w:val="nil"/>
              <w:bottom w:val="single" w:color="auto" w:sz="4" w:space="0"/>
              <w:right w:val="single" w:color="auto" w:sz="4" w:space="0"/>
            </w:tcBorders>
            <w:vAlign w:val="center"/>
          </w:tcPr>
          <w:p>
            <w:pPr>
              <w:widowControl/>
              <w:jc w:val="center"/>
              <w:rPr>
                <w:rFonts w:ascii="方正仿宋_GBK" w:eastAsia="方正仿宋_GBK"/>
                <w:kern w:val="0"/>
                <w:sz w:val="32"/>
                <w:szCs w:val="32"/>
              </w:rPr>
            </w:pPr>
            <w:r>
              <w:rPr>
                <w:rFonts w:hint="eastAsia" w:ascii="方正仿宋_GBK" w:eastAsia="方正仿宋_GBK"/>
                <w:kern w:val="0"/>
                <w:sz w:val="32"/>
                <w:szCs w:val="32"/>
                <w:lang w:bidi="ar"/>
              </w:rPr>
              <w:t>　</w:t>
            </w:r>
          </w:p>
        </w:tc>
      </w:tr>
    </w:tbl>
    <w:p>
      <w:pPr>
        <w:widowControl/>
        <w:spacing w:line="500" w:lineRule="atLeast"/>
        <w:ind w:firstLine="320"/>
        <w:jc w:val="left"/>
        <w:rPr>
          <w:rFonts w:ascii="方正黑体_GBK" w:eastAsia="方正黑体_GBK"/>
          <w:kern w:val="0"/>
          <w:sz w:val="32"/>
          <w:szCs w:val="32"/>
        </w:rPr>
      </w:pPr>
      <w:r>
        <w:rPr>
          <w:rFonts w:hint="eastAsia" w:ascii="方正黑体_GBK" w:eastAsia="方正黑体_GBK"/>
          <w:kern w:val="0"/>
          <w:sz w:val="32"/>
          <w:szCs w:val="32"/>
          <w:lang w:bidi="ar"/>
        </w:rPr>
        <w:t>二、行业系数　　</w:t>
      </w:r>
    </w:p>
    <w:tbl>
      <w:tblPr>
        <w:tblStyle w:val="14"/>
        <w:tblW w:w="9185" w:type="dxa"/>
        <w:jc w:val="center"/>
        <w:tblInd w:w="0" w:type="dxa"/>
        <w:tblLayout w:type="fixed"/>
        <w:tblCellMar>
          <w:top w:w="0" w:type="dxa"/>
          <w:left w:w="108" w:type="dxa"/>
          <w:bottom w:w="0" w:type="dxa"/>
          <w:right w:w="108" w:type="dxa"/>
        </w:tblCellMar>
      </w:tblPr>
      <w:tblGrid>
        <w:gridCol w:w="3135"/>
        <w:gridCol w:w="2432"/>
        <w:gridCol w:w="1809"/>
        <w:gridCol w:w="1809"/>
      </w:tblGrid>
      <w:tr>
        <w:tblPrEx>
          <w:tblLayout w:type="fixed"/>
          <w:tblCellMar>
            <w:top w:w="0" w:type="dxa"/>
            <w:left w:w="108" w:type="dxa"/>
            <w:bottom w:w="0" w:type="dxa"/>
            <w:right w:w="108" w:type="dxa"/>
          </w:tblCellMar>
        </w:tblPrEx>
        <w:trPr>
          <w:trHeight w:val="1254" w:hRule="atLeast"/>
          <w:jc w:val="center"/>
        </w:trPr>
        <w:tc>
          <w:tcPr>
            <w:tcW w:w="31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b/>
                <w:kern w:val="0"/>
                <w:sz w:val="32"/>
                <w:szCs w:val="32"/>
              </w:rPr>
            </w:pPr>
            <w:r>
              <w:rPr>
                <w:rFonts w:hint="eastAsia" w:ascii="方正仿宋_GBK" w:eastAsia="方正仿宋_GBK"/>
                <w:b/>
                <w:kern w:val="0"/>
                <w:sz w:val="32"/>
                <w:szCs w:val="32"/>
                <w:lang w:bidi="ar"/>
              </w:rPr>
              <w:t>行业名称</w:t>
            </w:r>
          </w:p>
        </w:tc>
        <w:tc>
          <w:tcPr>
            <w:tcW w:w="24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b/>
                <w:kern w:val="0"/>
                <w:sz w:val="32"/>
                <w:szCs w:val="32"/>
              </w:rPr>
            </w:pPr>
            <w:r>
              <w:rPr>
                <w:rFonts w:hint="eastAsia" w:ascii="方正仿宋_GBK" w:eastAsia="方正仿宋_GBK"/>
                <w:b/>
                <w:kern w:val="0"/>
                <w:sz w:val="32"/>
                <w:szCs w:val="32"/>
                <w:lang w:bidi="ar"/>
              </w:rPr>
              <w:t>研究与试验发展经费支出占主营业务收入的比重</w:t>
            </w:r>
          </w:p>
        </w:tc>
        <w:tc>
          <w:tcPr>
            <w:tcW w:w="18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b/>
                <w:kern w:val="0"/>
                <w:sz w:val="32"/>
                <w:szCs w:val="32"/>
              </w:rPr>
            </w:pPr>
            <w:r>
              <w:rPr>
                <w:rFonts w:hint="eastAsia" w:ascii="方正仿宋_GBK" w:eastAsia="方正仿宋_GBK"/>
                <w:b/>
                <w:kern w:val="0"/>
                <w:sz w:val="32"/>
                <w:szCs w:val="32"/>
                <w:lang w:bidi="ar"/>
              </w:rPr>
              <w:t>新产品销售收</w:t>
            </w:r>
            <w:r>
              <w:rPr>
                <w:rFonts w:hint="eastAsia" w:ascii="方正仿宋_GBK" w:eastAsia="方正仿宋_GBK"/>
                <w:b/>
                <w:kern w:val="0"/>
                <w:sz w:val="32"/>
                <w:szCs w:val="32"/>
                <w:lang w:bidi="ar"/>
              </w:rPr>
              <w:br w:type="textWrapping"/>
            </w:r>
            <w:r>
              <w:rPr>
                <w:rFonts w:hint="eastAsia" w:ascii="方正仿宋_GBK" w:eastAsia="方正仿宋_GBK"/>
                <w:b/>
                <w:kern w:val="0"/>
                <w:sz w:val="32"/>
                <w:szCs w:val="32"/>
                <w:lang w:bidi="ar"/>
              </w:rPr>
              <w:t>入占主营业务</w:t>
            </w:r>
            <w:r>
              <w:rPr>
                <w:rFonts w:hint="eastAsia" w:ascii="方正仿宋_GBK" w:eastAsia="方正仿宋_GBK"/>
                <w:b/>
                <w:kern w:val="0"/>
                <w:sz w:val="32"/>
                <w:szCs w:val="32"/>
                <w:lang w:bidi="ar"/>
              </w:rPr>
              <w:br w:type="textWrapping"/>
            </w:r>
            <w:r>
              <w:rPr>
                <w:rFonts w:hint="eastAsia" w:ascii="方正仿宋_GBK" w:eastAsia="方正仿宋_GBK"/>
                <w:b/>
                <w:kern w:val="0"/>
                <w:sz w:val="32"/>
                <w:szCs w:val="32"/>
                <w:lang w:bidi="ar"/>
              </w:rPr>
              <w:t>收入的比重</w:t>
            </w:r>
          </w:p>
        </w:tc>
        <w:tc>
          <w:tcPr>
            <w:tcW w:w="18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b/>
                <w:kern w:val="0"/>
                <w:sz w:val="32"/>
                <w:szCs w:val="32"/>
              </w:rPr>
            </w:pPr>
            <w:r>
              <w:rPr>
                <w:rFonts w:hint="eastAsia" w:ascii="方正仿宋_GBK" w:eastAsia="方正仿宋_GBK"/>
                <w:b/>
                <w:kern w:val="0"/>
                <w:sz w:val="32"/>
                <w:szCs w:val="32"/>
                <w:lang w:bidi="ar"/>
              </w:rPr>
              <w:t>新产品销售利</w:t>
            </w:r>
            <w:r>
              <w:rPr>
                <w:rFonts w:hint="eastAsia" w:ascii="方正仿宋_GBK" w:eastAsia="方正仿宋_GBK"/>
                <w:b/>
                <w:kern w:val="0"/>
                <w:sz w:val="32"/>
                <w:szCs w:val="32"/>
                <w:lang w:bidi="ar"/>
              </w:rPr>
              <w:br w:type="textWrapping"/>
            </w:r>
            <w:r>
              <w:rPr>
                <w:rFonts w:hint="eastAsia" w:ascii="方正仿宋_GBK" w:eastAsia="方正仿宋_GBK"/>
                <w:b/>
                <w:kern w:val="0"/>
                <w:sz w:val="32"/>
                <w:szCs w:val="32"/>
                <w:lang w:bidi="ar"/>
              </w:rPr>
              <w:t>润占利润总额</w:t>
            </w:r>
            <w:r>
              <w:rPr>
                <w:rFonts w:hint="eastAsia" w:ascii="方正仿宋_GBK" w:eastAsia="方正仿宋_GBK"/>
                <w:b/>
                <w:kern w:val="0"/>
                <w:sz w:val="32"/>
                <w:szCs w:val="32"/>
                <w:lang w:bidi="ar"/>
              </w:rPr>
              <w:br w:type="textWrapping"/>
            </w:r>
            <w:r>
              <w:rPr>
                <w:rFonts w:hint="eastAsia" w:ascii="方正仿宋_GBK" w:eastAsia="方正仿宋_GBK"/>
                <w:b/>
                <w:kern w:val="0"/>
                <w:sz w:val="32"/>
                <w:szCs w:val="32"/>
                <w:lang w:bidi="ar"/>
              </w:rPr>
              <w:t>的比重</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农业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煤炭开采和洗选业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石油和天然气开采业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有色金属矿采选业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农副食品加工业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食品制造业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酒、饮料和精制茶制造业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烟草制品业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纺织业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纺织服装、服饰业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626"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皮革、毛皮、羽毛及其制品和制鞋业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626"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木材加工和木、竹、藤、棕、草制品业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家具制造业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造纸和纸制品业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印刷和记录媒介复制业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r>
      <w:tr>
        <w:tblPrEx>
          <w:tblLayout w:type="fixed"/>
          <w:tblCellMar>
            <w:top w:w="0" w:type="dxa"/>
            <w:left w:w="108" w:type="dxa"/>
            <w:bottom w:w="0" w:type="dxa"/>
            <w:right w:w="108" w:type="dxa"/>
          </w:tblCellMar>
        </w:tblPrEx>
        <w:trPr>
          <w:trHeight w:val="626"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文教、工美、体育和娱乐用品制造业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石油加工、炼焦和核燃料加工业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化学原料和化学制品制造业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医药制造业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化学纤维制造业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橡胶和塑料制品业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非金属矿物制品业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黑色金属冶炼和压延加工业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有色金属冶炼和压延加工业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金属制品业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通用设备制造业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专用设备制造业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汽车制造业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626"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铁路、船舶、航空航天和其他运输设备制造业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57"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电气机械和器材制造业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940" w:hRule="atLeast"/>
          <w:jc w:val="center"/>
        </w:trPr>
        <w:tc>
          <w:tcPr>
            <w:tcW w:w="31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br w:type="textWrapping"/>
            </w:r>
            <w:r>
              <w:rPr>
                <w:rFonts w:hint="eastAsia" w:ascii="方正仿宋_GBK" w:eastAsia="方正仿宋_GBK"/>
                <w:kern w:val="0"/>
                <w:sz w:val="32"/>
                <w:szCs w:val="32"/>
                <w:lang w:bidi="ar"/>
              </w:rPr>
              <w:t>计算机、通信和其他电子设备制造业</w:t>
            </w:r>
          </w:p>
        </w:tc>
        <w:tc>
          <w:tcPr>
            <w:tcW w:w="243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r>
      <w:tr>
        <w:tblPrEx>
          <w:tblLayout w:type="fixed"/>
          <w:tblCellMar>
            <w:top w:w="0" w:type="dxa"/>
            <w:left w:w="108" w:type="dxa"/>
            <w:bottom w:w="0" w:type="dxa"/>
            <w:right w:w="108" w:type="dxa"/>
          </w:tblCellMar>
        </w:tblPrEx>
        <w:trPr>
          <w:trHeight w:val="314" w:hRule="atLeast"/>
          <w:jc w:val="center"/>
        </w:trPr>
        <w:tc>
          <w:tcPr>
            <w:tcW w:w="31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仪器仪表制造业</w:t>
            </w:r>
          </w:p>
        </w:tc>
        <w:tc>
          <w:tcPr>
            <w:tcW w:w="243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c>
          <w:tcPr>
            <w:tcW w:w="180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0.8</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电力、热力生产和供应业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3</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房屋建筑业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土木工程建筑业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建筑安装业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2</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软件和信息技术服务业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0.6</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专业技术服务业</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r>
        <w:tblPrEx>
          <w:tblLayout w:type="fixed"/>
          <w:tblCellMar>
            <w:top w:w="0" w:type="dxa"/>
            <w:left w:w="108" w:type="dxa"/>
            <w:bottom w:w="0" w:type="dxa"/>
            <w:right w:w="108" w:type="dxa"/>
          </w:tblCellMar>
        </w:tblPrEx>
        <w:trPr>
          <w:trHeight w:val="314" w:hRule="atLeast"/>
          <w:jc w:val="center"/>
        </w:trPr>
        <w:tc>
          <w:tcPr>
            <w:tcW w:w="3135" w:type="dxa"/>
            <w:tcBorders>
              <w:top w:val="nil"/>
              <w:left w:val="single" w:color="auto" w:sz="4" w:space="0"/>
              <w:bottom w:val="single" w:color="auto" w:sz="4" w:space="0"/>
              <w:right w:val="single" w:color="auto" w:sz="4" w:space="0"/>
            </w:tcBorders>
            <w:vAlign w:val="center"/>
          </w:tcPr>
          <w:p>
            <w:pPr>
              <w:widowControl/>
              <w:spacing w:line="300" w:lineRule="exact"/>
              <w:rPr>
                <w:rFonts w:ascii="方正仿宋_GBK" w:eastAsia="方正仿宋_GBK"/>
                <w:kern w:val="0"/>
                <w:sz w:val="32"/>
                <w:szCs w:val="32"/>
              </w:rPr>
            </w:pPr>
            <w:r>
              <w:rPr>
                <w:rFonts w:hint="eastAsia" w:ascii="方正仿宋_GBK" w:eastAsia="方正仿宋_GBK"/>
                <w:kern w:val="0"/>
                <w:sz w:val="32"/>
                <w:szCs w:val="32"/>
                <w:lang w:bidi="ar"/>
              </w:rPr>
              <w:t>其他</w:t>
            </w:r>
          </w:p>
        </w:tc>
        <w:tc>
          <w:tcPr>
            <w:tcW w:w="2432"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1.5</w:t>
            </w:r>
          </w:p>
        </w:tc>
        <w:tc>
          <w:tcPr>
            <w:tcW w:w="1809" w:type="dxa"/>
            <w:tcBorders>
              <w:top w:val="nil"/>
              <w:left w:val="nil"/>
              <w:bottom w:val="single" w:color="auto" w:sz="4" w:space="0"/>
              <w:right w:val="single" w:color="auto" w:sz="4" w:space="0"/>
            </w:tcBorders>
            <w:vAlign w:val="center"/>
          </w:tcPr>
          <w:p>
            <w:pPr>
              <w:widowControl/>
              <w:spacing w:line="300" w:lineRule="exact"/>
              <w:jc w:val="center"/>
              <w:rPr>
                <w:rFonts w:ascii="方正仿宋_GBK" w:eastAsia="方正仿宋_GBK"/>
                <w:kern w:val="0"/>
                <w:sz w:val="32"/>
                <w:szCs w:val="32"/>
              </w:rPr>
            </w:pPr>
            <w:r>
              <w:rPr>
                <w:rFonts w:hint="eastAsia" w:ascii="方正仿宋_GBK" w:eastAsia="方正仿宋_GBK"/>
                <w:kern w:val="0"/>
                <w:sz w:val="32"/>
                <w:szCs w:val="32"/>
                <w:lang w:bidi="ar"/>
              </w:rPr>
              <w:t>1</w:t>
            </w:r>
          </w:p>
        </w:tc>
      </w:tr>
    </w:tbl>
    <w:p>
      <w:pPr>
        <w:widowControl/>
        <w:spacing w:line="500" w:lineRule="atLeast"/>
        <w:jc w:val="left"/>
        <w:rPr>
          <w:rFonts w:ascii="方正仿宋_GBK" w:eastAsia="方正仿宋_GBK"/>
          <w:kern w:val="0"/>
          <w:sz w:val="32"/>
          <w:szCs w:val="32"/>
        </w:rPr>
      </w:pPr>
      <w:r>
        <w:rPr>
          <w:rFonts w:hint="eastAsia" w:ascii="方正仿宋_GBK" w:eastAsia="方正仿宋_GBK"/>
          <w:kern w:val="0"/>
          <w:sz w:val="32"/>
          <w:szCs w:val="32"/>
          <w:lang w:bidi="ar"/>
        </w:rPr>
        <w:t>有关说明：</w:t>
      </w:r>
    </w:p>
    <w:p>
      <w:pPr>
        <w:autoSpaceDE w:val="0"/>
        <w:autoSpaceDN w:val="0"/>
        <w:adjustRightInd w:val="0"/>
        <w:spacing w:line="560" w:lineRule="exact"/>
        <w:ind w:firstLine="640" w:firstLineChars="200"/>
        <w:jc w:val="left"/>
        <w:rPr>
          <w:rFonts w:ascii="方正仿宋_GBK" w:eastAsia="方正仿宋_GBK"/>
          <w:color w:val="000000"/>
          <w:kern w:val="0"/>
          <w:sz w:val="32"/>
          <w:szCs w:val="32"/>
          <w:lang w:bidi="ar"/>
        </w:rPr>
      </w:pPr>
      <w:r>
        <w:rPr>
          <w:rFonts w:hint="eastAsia" w:ascii="方正仿宋_GBK" w:eastAsia="方正仿宋_GBK"/>
          <w:kern w:val="0"/>
          <w:sz w:val="32"/>
          <w:szCs w:val="32"/>
          <w:lang w:bidi="ar"/>
        </w:rPr>
        <w:t>1</w:t>
      </w:r>
      <w:r>
        <w:rPr>
          <w:rFonts w:hint="eastAsia" w:ascii="方正仿宋_GBK" w:eastAsia="方正仿宋_GBK"/>
          <w:sz w:val="32"/>
          <w:szCs w:val="32"/>
        </w:rPr>
        <w:t>．</w:t>
      </w:r>
      <w:r>
        <w:rPr>
          <w:rFonts w:hint="eastAsia" w:ascii="方正仿宋_GBK" w:eastAsia="方正仿宋_GBK"/>
          <w:kern w:val="0"/>
          <w:sz w:val="32"/>
          <w:szCs w:val="32"/>
          <w:lang w:bidi="ar"/>
        </w:rPr>
        <w:t>考虑到不同规模企业在研发投入强度上存在显著差异，对“研究与试验发展（R&amp;D）经费支出额占主营业务收入的比重”这一指标的基本要求按照</w:t>
      </w:r>
      <w:r>
        <w:rPr>
          <w:rFonts w:hint="eastAsia" w:ascii="方正仿宋_GBK" w:eastAsia="方正仿宋_GBK"/>
          <w:color w:val="000000"/>
          <w:kern w:val="0"/>
          <w:sz w:val="32"/>
          <w:szCs w:val="32"/>
          <w:lang w:bidi="ar"/>
        </w:rPr>
        <w:t>企业规模设置4个档次系数：主营业务收入30亿元及以上的企业为1.5%，主营业务收入5～30亿元（含5亿元）的企业为2.0%，主营业务收入1～5亿元（含1亿元）的企业为2.5%，主营业务收入1亿元以下的企业为3.0%。（说明：</w:t>
      </w:r>
      <w:r>
        <w:rPr>
          <w:rFonts w:hint="eastAsia" w:ascii="方正仿宋_GBK" w:eastAsia="方正仿宋_GBK"/>
          <w:kern w:val="0"/>
          <w:sz w:val="32"/>
          <w:szCs w:val="32"/>
          <w:lang w:bidi="ar"/>
        </w:rPr>
        <w:t>“研究与试验发展（R&amp;D）经费支出额占主营业务收入的比重”达到对应档次系数60%以上，得分=（“研究与试验发展（R&amp;D）经费支出额占主营业务收入的比重”/对应档次系数）*18分，最高上限为18分；“研究与试验发展（R&amp;D）经费支出额占主营业务收入的比重”低于对应档次系数60%，则</w:t>
      </w:r>
      <w:r>
        <w:rPr>
          <w:rFonts w:hint="eastAsia" w:ascii="方正仿宋_GBK" w:eastAsia="方正仿宋_GBK"/>
          <w:color w:val="000000"/>
          <w:kern w:val="0"/>
          <w:sz w:val="32"/>
          <w:szCs w:val="32"/>
          <w:lang w:bidi="ar"/>
        </w:rPr>
        <w:t>不得分）。</w:t>
      </w:r>
    </w:p>
    <w:p>
      <w:pPr>
        <w:widowControl/>
        <w:spacing w:line="560" w:lineRule="exact"/>
        <w:ind w:firstLine="614"/>
        <w:jc w:val="left"/>
        <w:rPr>
          <w:rFonts w:ascii="方正仿宋_GBK" w:eastAsia="方正仿宋_GBK"/>
          <w:kern w:val="0"/>
          <w:sz w:val="32"/>
          <w:szCs w:val="32"/>
        </w:rPr>
      </w:pPr>
      <w:r>
        <w:rPr>
          <w:rFonts w:hint="eastAsia" w:ascii="方正仿宋_GBK" w:eastAsia="方正仿宋_GBK"/>
          <w:kern w:val="0"/>
          <w:sz w:val="32"/>
          <w:szCs w:val="32"/>
          <w:lang w:bidi="ar"/>
        </w:rPr>
        <w:t>2</w:t>
      </w:r>
      <w:r>
        <w:rPr>
          <w:rFonts w:hint="eastAsia" w:ascii="方正仿宋_GBK" w:eastAsia="方正仿宋_GBK"/>
          <w:sz w:val="32"/>
          <w:szCs w:val="32"/>
        </w:rPr>
        <w:t>．</w:t>
      </w:r>
      <w:r>
        <w:rPr>
          <w:rFonts w:hint="eastAsia" w:ascii="方正仿宋_GBK" w:eastAsia="方正仿宋_GBK"/>
          <w:kern w:val="0"/>
          <w:sz w:val="32"/>
          <w:szCs w:val="32"/>
          <w:lang w:bidi="ar"/>
        </w:rPr>
        <w:t>由于不同行业在研发投入与产出方面存在较大差异，技术中心评估时，对不同行业企业“企业研究与试验发展（R&amp;D）经费支出额占主营业务收入的比重”、“新产品销售收入占主营业务收入的比重”、“新产品销售利润占利润总额的比重”三个指标引入行业系数加以调节。</w:t>
      </w:r>
    </w:p>
    <w:p>
      <w:pPr>
        <w:widowControl/>
        <w:spacing w:line="560" w:lineRule="exact"/>
        <w:ind w:firstLine="614"/>
        <w:jc w:val="left"/>
        <w:rPr>
          <w:rFonts w:ascii="方正仿宋_GBK" w:eastAsia="方正仿宋_GBK"/>
          <w:kern w:val="0"/>
          <w:sz w:val="32"/>
          <w:szCs w:val="32"/>
        </w:rPr>
      </w:pPr>
      <w:r>
        <w:rPr>
          <w:rFonts w:hint="eastAsia" w:ascii="方正仿宋_GBK" w:eastAsia="方正仿宋_GBK"/>
          <w:kern w:val="0"/>
          <w:sz w:val="32"/>
          <w:szCs w:val="32"/>
          <w:lang w:bidi="ar"/>
        </w:rPr>
        <w:t>3</w:t>
      </w:r>
      <w:r>
        <w:rPr>
          <w:rFonts w:hint="eastAsia" w:ascii="方正仿宋_GBK" w:eastAsia="方正仿宋_GBK"/>
          <w:sz w:val="32"/>
          <w:szCs w:val="32"/>
        </w:rPr>
        <w:t>．</w:t>
      </w:r>
      <w:r>
        <w:rPr>
          <w:rFonts w:hint="eastAsia" w:ascii="方正仿宋_GBK" w:eastAsia="方正仿宋_GBK"/>
          <w:kern w:val="0"/>
          <w:sz w:val="32"/>
          <w:szCs w:val="32"/>
          <w:lang w:bidi="ar"/>
        </w:rPr>
        <w:t>行业系数只作为评估机构评价时使用，企业填报时无需考虑行业系数，按实际数据填报。评价时，根据企业填报的实际数据计算得出上述指标的比重，再乘以行业系数，得出指标的评价值。</w:t>
      </w:r>
    </w:p>
    <w:p>
      <w:pPr>
        <w:widowControl/>
        <w:spacing w:line="560" w:lineRule="exact"/>
        <w:ind w:firstLine="614"/>
        <w:jc w:val="left"/>
        <w:rPr>
          <w:rFonts w:ascii="方正仿宋_GBK" w:eastAsia="方正仿宋_GBK"/>
          <w:kern w:val="0"/>
          <w:sz w:val="32"/>
          <w:szCs w:val="32"/>
        </w:rPr>
      </w:pPr>
      <w:r>
        <w:rPr>
          <w:rFonts w:hint="eastAsia" w:ascii="方正仿宋_GBK" w:eastAsia="方正仿宋_GBK"/>
          <w:kern w:val="0"/>
          <w:sz w:val="32"/>
          <w:szCs w:val="32"/>
          <w:lang w:bidi="ar"/>
        </w:rPr>
        <w:t>4</w:t>
      </w:r>
      <w:r>
        <w:rPr>
          <w:rFonts w:hint="eastAsia" w:ascii="方正仿宋_GBK" w:eastAsia="方正仿宋_GBK"/>
          <w:sz w:val="32"/>
          <w:szCs w:val="32"/>
        </w:rPr>
        <w:t>．</w:t>
      </w:r>
      <w:r>
        <w:rPr>
          <w:rFonts w:hint="eastAsia" w:ascii="方正仿宋_GBK" w:eastAsia="方正仿宋_GBK"/>
          <w:kern w:val="0"/>
          <w:sz w:val="32"/>
          <w:szCs w:val="32"/>
          <w:lang w:bidi="ar"/>
        </w:rPr>
        <w:t>行业系数表中的“其他”行业包括“交通运输、仓储和邮政业”、“文化、体育和娱乐业”等行业。</w:t>
      </w:r>
    </w:p>
    <w:p>
      <w:pPr>
        <w:widowControl/>
        <w:spacing w:line="560" w:lineRule="exact"/>
        <w:ind w:firstLine="614"/>
        <w:jc w:val="left"/>
        <w:rPr>
          <w:rFonts w:ascii="方正黑体_GBK" w:eastAsia="方正黑体_GBK"/>
          <w:kern w:val="0"/>
          <w:sz w:val="32"/>
          <w:szCs w:val="32"/>
        </w:rPr>
      </w:pPr>
      <w:r>
        <w:rPr>
          <w:rFonts w:hint="eastAsia" w:ascii="方正黑体_GBK" w:eastAsia="方正黑体_GBK"/>
          <w:kern w:val="0"/>
          <w:sz w:val="32"/>
          <w:szCs w:val="32"/>
          <w:lang w:bidi="ar"/>
        </w:rPr>
        <w:t>三、指标体系的完善</w:t>
      </w:r>
    </w:p>
    <w:p>
      <w:pPr>
        <w:widowControl/>
        <w:spacing w:line="560" w:lineRule="exact"/>
        <w:ind w:firstLine="611"/>
        <w:jc w:val="left"/>
        <w:rPr>
          <w:rFonts w:ascii="方正仿宋_GBK" w:eastAsia="方正仿宋_GBK"/>
          <w:kern w:val="0"/>
          <w:sz w:val="32"/>
          <w:szCs w:val="32"/>
        </w:rPr>
      </w:pPr>
      <w:r>
        <w:rPr>
          <w:rFonts w:hint="eastAsia" w:ascii="方正仿宋_GBK" w:eastAsia="方正仿宋_GBK"/>
          <w:kern w:val="0"/>
          <w:sz w:val="32"/>
          <w:szCs w:val="32"/>
          <w:lang w:bidi="ar"/>
        </w:rPr>
        <w:t>区经济信息委、区科技局将根据各行业技术创新的实际状况和政府的宏观政策导向对评价指标、行业系数等适时进行必要的调整。</w:t>
      </w:r>
    </w:p>
    <w:p>
      <w:pPr>
        <w:widowControl/>
        <w:spacing w:line="560" w:lineRule="exact"/>
        <w:ind w:firstLine="611"/>
        <w:jc w:val="left"/>
        <w:rPr>
          <w:rFonts w:ascii="方正黑体_GBK" w:eastAsia="方正黑体_GBK"/>
          <w:kern w:val="0"/>
          <w:sz w:val="32"/>
          <w:szCs w:val="32"/>
        </w:rPr>
      </w:pPr>
      <w:r>
        <w:rPr>
          <w:rFonts w:hint="eastAsia" w:ascii="方正黑体_GBK" w:eastAsia="方正黑体_GBK"/>
          <w:kern w:val="0"/>
          <w:sz w:val="32"/>
          <w:szCs w:val="32"/>
          <w:lang w:bidi="ar"/>
        </w:rPr>
        <w:t>四、限定性指标的最低标准</w:t>
      </w:r>
    </w:p>
    <w:p>
      <w:pPr>
        <w:widowControl/>
        <w:spacing w:line="560" w:lineRule="exact"/>
        <w:ind w:firstLine="611"/>
        <w:jc w:val="left"/>
        <w:rPr>
          <w:rFonts w:ascii="方正仿宋_GBK" w:eastAsia="方正仿宋_GBK"/>
          <w:kern w:val="0"/>
          <w:sz w:val="32"/>
          <w:szCs w:val="32"/>
        </w:rPr>
      </w:pPr>
      <w:r>
        <w:rPr>
          <w:rFonts w:hint="eastAsia" w:ascii="方正仿宋_GBK" w:eastAsia="方正仿宋_GBK"/>
          <w:kern w:val="0"/>
          <w:sz w:val="32"/>
          <w:szCs w:val="32"/>
          <w:lang w:bidi="ar"/>
        </w:rPr>
        <w:t>1</w:t>
      </w:r>
      <w:r>
        <w:rPr>
          <w:rFonts w:hint="eastAsia" w:ascii="方正仿宋_GBK" w:eastAsia="方正仿宋_GBK"/>
          <w:sz w:val="32"/>
          <w:szCs w:val="32"/>
        </w:rPr>
        <w:t>．</w:t>
      </w:r>
      <w:r>
        <w:rPr>
          <w:rFonts w:hint="eastAsia" w:ascii="方正仿宋_GBK" w:eastAsia="方正仿宋_GBK"/>
          <w:kern w:val="0"/>
          <w:sz w:val="32"/>
          <w:szCs w:val="32"/>
          <w:lang w:bidi="ar"/>
        </w:rPr>
        <w:t>企业研究与试验发展（R&amp;D）经费支出额不低于80万元。</w:t>
      </w:r>
    </w:p>
    <w:p>
      <w:pPr>
        <w:widowControl/>
        <w:spacing w:line="560" w:lineRule="exact"/>
        <w:ind w:firstLine="611"/>
        <w:jc w:val="left"/>
        <w:rPr>
          <w:rFonts w:ascii="方正仿宋_GBK" w:eastAsia="方正仿宋_GBK"/>
          <w:kern w:val="0"/>
          <w:sz w:val="32"/>
          <w:szCs w:val="32"/>
        </w:rPr>
      </w:pPr>
      <w:r>
        <w:rPr>
          <w:rFonts w:hint="eastAsia" w:ascii="方正仿宋_GBK" w:eastAsia="方正仿宋_GBK"/>
          <w:kern w:val="0"/>
          <w:sz w:val="32"/>
          <w:szCs w:val="32"/>
          <w:lang w:bidi="ar"/>
        </w:rPr>
        <w:t>2</w:t>
      </w:r>
      <w:r>
        <w:rPr>
          <w:rFonts w:hint="eastAsia" w:ascii="方正仿宋_GBK" w:eastAsia="方正仿宋_GBK"/>
          <w:sz w:val="32"/>
          <w:szCs w:val="32"/>
        </w:rPr>
        <w:t>．</w:t>
      </w:r>
      <w:r>
        <w:rPr>
          <w:rFonts w:hint="eastAsia" w:ascii="方正仿宋_GBK" w:eastAsia="方正仿宋_GBK"/>
          <w:kern w:val="0"/>
          <w:sz w:val="32"/>
          <w:szCs w:val="32"/>
          <w:lang w:bidi="ar"/>
        </w:rPr>
        <w:t>企业专职研究与试验发展人员数不低于10人（建筑、物流、现代服务业、现代农业等行业企业可放宽到6人）。</w:t>
      </w:r>
    </w:p>
    <w:p>
      <w:pPr>
        <w:pStyle w:val="8"/>
        <w:widowControl/>
        <w:spacing w:beforeAutospacing="0" w:afterAutospacing="0"/>
        <w:ind w:firstLine="640" w:firstLineChars="200"/>
        <w:rPr>
          <w:rFonts w:ascii="方正仿宋_GBK" w:eastAsia="方正仿宋_GBK"/>
          <w:sz w:val="32"/>
          <w:szCs w:val="32"/>
          <w:lang w:bidi="ar"/>
        </w:rPr>
      </w:pPr>
      <w:r>
        <w:rPr>
          <w:rFonts w:hint="eastAsia" w:ascii="方正仿宋_GBK" w:eastAsia="方正仿宋_GBK"/>
          <w:sz w:val="32"/>
          <w:szCs w:val="32"/>
          <w:lang w:bidi="ar"/>
        </w:rPr>
        <w:t>3</w:t>
      </w:r>
      <w:r>
        <w:rPr>
          <w:rFonts w:hint="eastAsia" w:ascii="方正仿宋_GBK" w:eastAsia="方正仿宋_GBK"/>
          <w:sz w:val="32"/>
          <w:szCs w:val="32"/>
        </w:rPr>
        <w:t>．</w:t>
      </w:r>
      <w:r>
        <w:rPr>
          <w:rFonts w:hint="eastAsia" w:ascii="方正仿宋_GBK" w:eastAsia="方正仿宋_GBK"/>
          <w:sz w:val="32"/>
          <w:szCs w:val="32"/>
          <w:lang w:bidi="ar"/>
        </w:rPr>
        <w:t>企业技术开发仪器设备原值不低于100万元（软件、物流、现代服务业、现代农业等行业企业可放宽到50万元）。</w:t>
      </w:r>
    </w:p>
    <w:p>
      <w:pPr>
        <w:pStyle w:val="8"/>
        <w:widowControl/>
        <w:spacing w:beforeAutospacing="0" w:afterAutospacing="0"/>
        <w:ind w:firstLine="640" w:firstLineChars="200"/>
        <w:rPr>
          <w:rFonts w:ascii="方正仿宋_GBK" w:eastAsia="方正仿宋_GBK"/>
          <w:sz w:val="32"/>
          <w:szCs w:val="32"/>
          <w:lang w:bidi="ar"/>
        </w:rPr>
      </w:pPr>
      <w:r>
        <w:rPr>
          <w:rFonts w:hint="eastAsia" w:ascii="方正仿宋_GBK" w:eastAsia="方正仿宋_GBK"/>
          <w:sz w:val="32"/>
          <w:szCs w:val="32"/>
          <w:lang w:bidi="ar"/>
        </w:rPr>
        <w:t>4</w:t>
      </w:r>
      <w:r>
        <w:rPr>
          <w:rFonts w:hint="eastAsia" w:ascii="方正仿宋_GBK" w:eastAsia="方正仿宋_GBK"/>
          <w:sz w:val="32"/>
          <w:szCs w:val="32"/>
        </w:rPr>
        <w:t>．</w:t>
      </w:r>
      <w:r>
        <w:rPr>
          <w:rFonts w:hint="eastAsia" w:ascii="方正仿宋_GBK" w:eastAsia="方正仿宋_GBK"/>
          <w:sz w:val="32"/>
          <w:szCs w:val="32"/>
          <w:lang w:bidi="ar"/>
        </w:rPr>
        <w:t>建筑企业具有二级及以上资质，注册资本金2000万元以上、净资产4000万元以上，营业税在2000万元以上；上年度没有由于技术原因发生重大质量事故、较大生产安全事故或</w:t>
      </w:r>
      <w:r>
        <w:rPr>
          <w:rFonts w:hint="eastAsia" w:ascii="方正仿宋_GBK" w:eastAsia="方正仿宋_GBK"/>
          <w:sz w:val="32"/>
          <w:szCs w:val="32"/>
          <w:lang w:eastAsia="zh-CN" w:bidi="ar"/>
        </w:rPr>
        <w:t>两</w:t>
      </w:r>
      <w:r>
        <w:rPr>
          <w:rFonts w:hint="eastAsia" w:ascii="方正仿宋_GBK" w:eastAsia="方正仿宋_GBK"/>
          <w:sz w:val="32"/>
          <w:szCs w:val="32"/>
          <w:lang w:bidi="ar"/>
        </w:rPr>
        <w:t>起以上（含</w:t>
      </w:r>
      <w:r>
        <w:rPr>
          <w:rFonts w:hint="eastAsia" w:ascii="方正仿宋_GBK" w:eastAsia="方正仿宋_GBK"/>
          <w:sz w:val="32"/>
          <w:szCs w:val="32"/>
          <w:lang w:eastAsia="zh-CN" w:bidi="ar"/>
        </w:rPr>
        <w:t>两</w:t>
      </w:r>
      <w:r>
        <w:rPr>
          <w:rFonts w:hint="eastAsia" w:ascii="方正仿宋_GBK" w:eastAsia="方正仿宋_GBK"/>
          <w:sz w:val="32"/>
          <w:szCs w:val="32"/>
          <w:lang w:bidi="ar"/>
        </w:rPr>
        <w:t>起）一般生产安全事故。</w:t>
      </w:r>
    </w:p>
    <w:p>
      <w:pPr>
        <w:pStyle w:val="8"/>
        <w:widowControl/>
        <w:spacing w:beforeAutospacing="0" w:afterAutospacing="0"/>
        <w:rPr>
          <w:rFonts w:ascii="方正黑体_GBK" w:eastAsia="方正黑体_GBK"/>
          <w:b/>
          <w:bCs/>
          <w:spacing w:val="-8"/>
          <w:kern w:val="2"/>
          <w:sz w:val="32"/>
          <w:szCs w:val="32"/>
        </w:rPr>
      </w:pPr>
      <w:r>
        <w:rPr>
          <w:rFonts w:hint="eastAsia" w:ascii="方正仿宋_GBK" w:eastAsia="方正仿宋_GBK"/>
          <w:sz w:val="32"/>
          <w:szCs w:val="32"/>
          <w:lang w:bidi="ar"/>
        </w:rPr>
        <w:br w:type="page"/>
      </w:r>
      <w:r>
        <w:rPr>
          <w:rStyle w:val="10"/>
          <w:rFonts w:hint="eastAsia" w:ascii="方正黑体_GBK" w:eastAsia="方正黑体_GBK"/>
          <w:b w:val="0"/>
          <w:bCs w:val="0"/>
          <w:spacing w:val="-8"/>
          <w:kern w:val="2"/>
          <w:sz w:val="32"/>
          <w:szCs w:val="32"/>
        </w:rPr>
        <w:t>附件4</w:t>
      </w:r>
    </w:p>
    <w:p>
      <w:pPr>
        <w:pStyle w:val="8"/>
        <w:widowControl/>
        <w:spacing w:beforeAutospacing="0" w:afterAutospacing="0" w:line="580" w:lineRule="exact"/>
        <w:jc w:val="center"/>
        <w:rPr>
          <w:rFonts w:ascii="方正小标宋_GBK" w:eastAsia="方正小标宋_GBK"/>
          <w:b/>
          <w:spacing w:val="-8"/>
          <w:kern w:val="2"/>
          <w:sz w:val="44"/>
          <w:szCs w:val="44"/>
        </w:rPr>
      </w:pPr>
      <w:r>
        <w:rPr>
          <w:rStyle w:val="10"/>
          <w:rFonts w:hint="eastAsia" w:ascii="方正小标宋_GBK" w:eastAsia="方正小标宋_GBK"/>
          <w:b w:val="0"/>
          <w:bCs w:val="0"/>
          <w:spacing w:val="-8"/>
          <w:kern w:val="2"/>
          <w:sz w:val="44"/>
          <w:szCs w:val="44"/>
        </w:rPr>
        <w:t>《荣昌区企业技术中心年度工作总结》提纲</w:t>
      </w:r>
    </w:p>
    <w:p>
      <w:pPr>
        <w:pStyle w:val="8"/>
        <w:widowControl/>
        <w:spacing w:beforeAutospacing="0" w:afterAutospacing="0" w:line="560" w:lineRule="exact"/>
        <w:ind w:firstLine="640" w:firstLineChars="200"/>
        <w:jc w:val="both"/>
        <w:rPr>
          <w:rFonts w:ascii="方正仿宋_GBK" w:eastAsia="方正仿宋_GBK"/>
          <w:kern w:val="2"/>
          <w:sz w:val="32"/>
          <w:szCs w:val="32"/>
        </w:rPr>
      </w:pPr>
    </w:p>
    <w:p>
      <w:pPr>
        <w:pStyle w:val="8"/>
        <w:widowControl/>
        <w:spacing w:beforeAutospacing="0" w:afterAutospacing="0"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已认定的荣昌区企业技术中心需在评价年度提交上一年度工作总结和</w:t>
      </w:r>
      <w:r>
        <w:rPr>
          <w:rFonts w:hint="eastAsia" w:ascii="方正仿宋_GBK" w:hAnsi="方正仿宋_GBK" w:eastAsia="方正仿宋_GBK"/>
          <w:sz w:val="32"/>
          <w:szCs w:val="32"/>
        </w:rPr>
        <w:t>《荣昌区企业技术中心评价材料》（附件</w:t>
      </w:r>
      <w:r>
        <w:rPr>
          <w:rFonts w:hint="eastAsia" w:ascii="方正仿宋_GBK" w:eastAsia="方正仿宋_GBK"/>
          <w:sz w:val="32"/>
          <w:szCs w:val="32"/>
        </w:rPr>
        <w:t>2</w:t>
      </w:r>
      <w:r>
        <w:rPr>
          <w:rFonts w:hint="eastAsia" w:ascii="方正仿宋_GBK" w:hAnsi="方正仿宋_GBK" w:eastAsia="方正仿宋_GBK"/>
          <w:sz w:val="32"/>
          <w:szCs w:val="32"/>
        </w:rPr>
        <w:t>）</w:t>
      </w:r>
      <w:r>
        <w:rPr>
          <w:rFonts w:hint="eastAsia" w:ascii="方正仿宋_GBK" w:eastAsia="方正仿宋_GBK"/>
          <w:kern w:val="2"/>
          <w:sz w:val="32"/>
          <w:szCs w:val="32"/>
        </w:rPr>
        <w:t>，以全面总结报告企业技术创新与技术中心工作情况（评价数据表只填写报告年度数据）。主要包括如下内容：</w:t>
      </w:r>
    </w:p>
    <w:p>
      <w:pPr>
        <w:pStyle w:val="8"/>
        <w:widowControl/>
        <w:spacing w:beforeAutospacing="0" w:afterAutospacing="0"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1</w:t>
      </w:r>
      <w:r>
        <w:rPr>
          <w:rFonts w:hint="eastAsia" w:ascii="方正仿宋_GBK" w:eastAsia="方正仿宋_GBK"/>
          <w:sz w:val="32"/>
          <w:szCs w:val="32"/>
        </w:rPr>
        <w:t>．</w:t>
      </w:r>
      <w:r>
        <w:rPr>
          <w:rFonts w:hint="eastAsia" w:ascii="方正仿宋_GBK" w:eastAsia="方正仿宋_GBK"/>
          <w:kern w:val="2"/>
          <w:sz w:val="32"/>
          <w:szCs w:val="32"/>
        </w:rPr>
        <w:t>企业技术创新体系建设情况，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创新环境与文化氛围的形成，以及在提高技术管理水平方面的工作及成效。</w:t>
      </w:r>
    </w:p>
    <w:p>
      <w:pPr>
        <w:pStyle w:val="8"/>
        <w:widowControl/>
        <w:spacing w:beforeAutospacing="0" w:afterAutospacing="0"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2</w:t>
      </w:r>
      <w:r>
        <w:rPr>
          <w:rFonts w:hint="eastAsia" w:ascii="方正仿宋_GBK" w:eastAsia="方正仿宋_GBK"/>
          <w:sz w:val="32"/>
          <w:szCs w:val="32"/>
        </w:rPr>
        <w:t>．</w:t>
      </w:r>
      <w:r>
        <w:rPr>
          <w:rFonts w:hint="eastAsia" w:ascii="方正仿宋_GBK" w:eastAsia="方正仿宋_GBK"/>
          <w:kern w:val="2"/>
          <w:sz w:val="32"/>
          <w:szCs w:val="32"/>
        </w:rPr>
        <w:t>企业技术创新活动开展情况，包括重点创新项目的组织实施情况、关键核心技术和产品开发情况、资源综合利用、节能降耗、清洁生产等创新情况。</w:t>
      </w:r>
    </w:p>
    <w:p>
      <w:pPr>
        <w:pStyle w:val="8"/>
        <w:widowControl/>
        <w:spacing w:beforeAutospacing="0" w:afterAutospacing="0" w:line="560" w:lineRule="exact"/>
        <w:ind w:firstLine="640" w:firstLineChars="200"/>
        <w:jc w:val="both"/>
        <w:rPr>
          <w:rFonts w:ascii="方正仿宋_GBK" w:eastAsia="方正仿宋_GBK"/>
          <w:kern w:val="2"/>
          <w:sz w:val="32"/>
          <w:szCs w:val="32"/>
        </w:rPr>
      </w:pPr>
      <w:r>
        <w:rPr>
          <w:rFonts w:hint="eastAsia" w:ascii="方正仿宋_GBK" w:eastAsia="方正仿宋_GBK"/>
          <w:kern w:val="2"/>
          <w:sz w:val="32"/>
          <w:szCs w:val="32"/>
        </w:rPr>
        <w:t>3</w:t>
      </w:r>
      <w:r>
        <w:rPr>
          <w:rFonts w:hint="eastAsia" w:ascii="方正仿宋_GBK" w:eastAsia="方正仿宋_GBK"/>
          <w:sz w:val="32"/>
          <w:szCs w:val="32"/>
        </w:rPr>
        <w:t>．</w:t>
      </w:r>
      <w:r>
        <w:rPr>
          <w:rFonts w:hint="eastAsia" w:ascii="方正仿宋_GBK" w:eastAsia="方正仿宋_GBK"/>
          <w:kern w:val="2"/>
          <w:sz w:val="32"/>
          <w:szCs w:val="32"/>
        </w:rPr>
        <w:t>企业技术中心取得的主要创新成果，形成的核心技术及自主知识产权情况，重点介绍相关技术成果对企业核心产品研发、核心竞争力提升的支撑作用，以及取得的经济和社会效益。</w:t>
      </w:r>
    </w:p>
    <w:p>
      <w:pPr>
        <w:pStyle w:val="8"/>
        <w:widowControl/>
        <w:spacing w:beforeAutospacing="0" w:afterAutospacing="0" w:line="560" w:lineRule="exact"/>
        <w:ind w:firstLine="640" w:firstLineChars="200"/>
        <w:jc w:val="both"/>
        <w:rPr>
          <w:rFonts w:ascii="方正仿宋_GBK" w:eastAsia="方正仿宋_GBK"/>
          <w:sz w:val="32"/>
          <w:szCs w:val="32"/>
        </w:rPr>
      </w:pPr>
      <w:r>
        <w:rPr>
          <w:rFonts w:hint="eastAsia" w:ascii="方正仿宋_GBK" w:eastAsia="方正仿宋_GBK"/>
          <w:kern w:val="2"/>
          <w:sz w:val="32"/>
          <w:szCs w:val="32"/>
        </w:rPr>
        <w:t>4．其他有特色的工作情况（包括推动行业与地区科技进步方面所做的工作及成效等）。</w:t>
      </w:r>
    </w:p>
    <w:p>
      <w:pPr>
        <w:pStyle w:val="8"/>
        <w:widowControl/>
        <w:shd w:val="clear" w:color="auto" w:fill="FFFFFF"/>
        <w:spacing w:beforeAutospacing="0" w:afterAutospacing="0" w:line="600" w:lineRule="exact"/>
        <w:ind w:firstLine="640" w:firstLineChars="200"/>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荣昌区</w:t>
    </w:r>
    <w:r>
      <w:rPr>
        <w:rFonts w:hint="eastAsia" w:ascii="宋体" w:hAnsi="宋体" w:eastAsia="宋体" w:cs="宋体"/>
        <w:b/>
        <w:bCs/>
        <w:color w:val="005192"/>
        <w:sz w:val="28"/>
        <w:szCs w:val="44"/>
        <w:lang w:eastAsia="zh-CN"/>
      </w:rPr>
      <w:t>经济和信息化委员会</w:t>
    </w:r>
    <w:r>
      <w:rPr>
        <w:rFonts w:hint="eastAsia" w:ascii="宋体" w:hAnsi="宋体" w:eastAsia="宋体" w:cs="宋体"/>
        <w:b/>
        <w:bCs/>
        <w:color w:val="005192"/>
        <w:sz w:val="28"/>
        <w:szCs w:val="44"/>
      </w:rPr>
      <w:t xml:space="preserve">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荣昌区</w:t>
    </w:r>
    <w:r>
      <w:rPr>
        <w:rFonts w:hint="eastAsia" w:ascii="宋体" w:hAnsi="宋体" w:eastAsia="宋体" w:cs="宋体"/>
        <w:b/>
        <w:bCs/>
        <w:color w:val="005192"/>
        <w:sz w:val="32"/>
        <w:lang w:eastAsia="zh-CN"/>
      </w:rPr>
      <w:t>经济和信息化委员会</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0172A27"/>
    <w:rsid w:val="006862F0"/>
    <w:rsid w:val="007F31BB"/>
    <w:rsid w:val="00B17F1B"/>
    <w:rsid w:val="00C60A70"/>
    <w:rsid w:val="00DC766F"/>
    <w:rsid w:val="019E71BD"/>
    <w:rsid w:val="041C42DA"/>
    <w:rsid w:val="04B679C3"/>
    <w:rsid w:val="05F07036"/>
    <w:rsid w:val="06E00104"/>
    <w:rsid w:val="080F63D8"/>
    <w:rsid w:val="09341458"/>
    <w:rsid w:val="09362AA1"/>
    <w:rsid w:val="098254C2"/>
    <w:rsid w:val="0A766EDE"/>
    <w:rsid w:val="0AD64BE8"/>
    <w:rsid w:val="0B0912D7"/>
    <w:rsid w:val="0E025194"/>
    <w:rsid w:val="152D2DCA"/>
    <w:rsid w:val="187168EA"/>
    <w:rsid w:val="196673CA"/>
    <w:rsid w:val="1B2F4AEE"/>
    <w:rsid w:val="1CF734C9"/>
    <w:rsid w:val="1DEC284C"/>
    <w:rsid w:val="1E6523AC"/>
    <w:rsid w:val="1F5754A7"/>
    <w:rsid w:val="202A535B"/>
    <w:rsid w:val="22440422"/>
    <w:rsid w:val="22BB4BBB"/>
    <w:rsid w:val="2AEB3417"/>
    <w:rsid w:val="31A15F24"/>
    <w:rsid w:val="324A1681"/>
    <w:rsid w:val="36FB1DF0"/>
    <w:rsid w:val="395347B5"/>
    <w:rsid w:val="39A232A0"/>
    <w:rsid w:val="39E745AA"/>
    <w:rsid w:val="3B5A6BBB"/>
    <w:rsid w:val="3EAFF950"/>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qFormat/>
    <w:uiPriority w:val="0"/>
    <w:rPr>
      <w:rFonts w:ascii="Times New Roman" w:hAnsi="Times New Roman" w:eastAsia="仿宋_GB2312" w:cs="Times New Roman"/>
      <w:sz w:val="28"/>
      <w:szCs w:val="20"/>
    </w:rPr>
  </w:style>
  <w:style w:type="paragraph" w:styleId="5">
    <w:name w:val="Balloon Text"/>
    <w:basedOn w:val="1"/>
    <w:link w:val="16"/>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basedOn w:val="9"/>
    <w:uiPriority w:val="0"/>
  </w:style>
  <w:style w:type="character" w:styleId="12">
    <w:name w:val="FollowedHyperlink"/>
    <w:basedOn w:val="9"/>
    <w:qFormat/>
    <w:uiPriority w:val="0"/>
    <w:rPr>
      <w:color w:val="954F72" w:themeColor="followedHyperlink"/>
      <w:u w:val="single"/>
      <w14:textFill>
        <w14:solidFill>
          <w14:schemeClr w14:val="folHlink"/>
        </w14:solidFill>
      </w14:textFill>
    </w:rPr>
  </w:style>
  <w:style w:type="character" w:styleId="13">
    <w:name w:val="Hyperlink"/>
    <w:basedOn w:val="9"/>
    <w:uiPriority w:val="0"/>
    <w:rPr>
      <w:color w:val="000000"/>
      <w:u w:val="non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7">
    <w:name w:val="页脚 Char"/>
    <w:link w:val="6"/>
    <w:qFormat/>
    <w:uiPriority w:val="99"/>
    <w:rPr>
      <w:rFonts w:asciiTheme="minorHAnsi" w:hAnsiTheme="minorHAnsi" w:eastAsiaTheme="minorEastAsia" w:cstheme="minorBidi"/>
      <w:kern w:val="2"/>
      <w:sz w:val="18"/>
      <w:szCs w:val="24"/>
    </w:rPr>
  </w:style>
  <w:style w:type="character" w:customStyle="1" w:styleId="18">
    <w:name w:val="正文文本 Char"/>
    <w:basedOn w:val="9"/>
    <w:link w:val="4"/>
    <w:qFormat/>
    <w:uiPriority w:val="0"/>
    <w:rPr>
      <w:rFonts w:eastAsia="仿宋_GB2312"/>
      <w:kern w:val="2"/>
      <w:sz w:val="28"/>
    </w:rPr>
  </w:style>
  <w:style w:type="paragraph" w:customStyle="1" w:styleId="19">
    <w:name w:val="Char1 Char Char Char"/>
    <w:basedOn w:val="1"/>
    <w:uiPriority w:val="0"/>
    <w:pPr>
      <w:widowControl/>
      <w:spacing w:after="160" w:line="240" w:lineRule="exact"/>
      <w:jc w:val="left"/>
    </w:pPr>
    <w:rPr>
      <w:rFonts w:ascii="Times New Roman" w:hAnsi="Times New Roman" w:eastAsia="方正仿宋_GBK" w:cs="Times New Roman"/>
      <w:sz w:val="32"/>
      <w:szCs w:val="20"/>
    </w:rPr>
  </w:style>
  <w:style w:type="paragraph" w:customStyle="1" w:styleId="20">
    <w:name w:val="_Style 18"/>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1"/>
    <w:basedOn w:val="1"/>
    <w:uiPriority w:val="0"/>
    <w:pPr>
      <w:widowControl/>
      <w:spacing w:before="100" w:beforeAutospacing="1" w:after="100" w:afterAutospacing="1"/>
      <w:jc w:val="left"/>
    </w:pPr>
    <w:rPr>
      <w:rFonts w:hint="eastAsia" w:ascii="宋体" w:hAnsi="宋体" w:eastAsia="宋体" w:cs="Times New Roman"/>
      <w:sz w:val="32"/>
      <w:szCs w:val="20"/>
    </w:rPr>
  </w:style>
  <w:style w:type="paragraph" w:customStyle="1" w:styleId="22">
    <w:name w:val="普通(网站)1"/>
    <w:basedOn w:val="1"/>
    <w:qFormat/>
    <w:uiPriority w:val="0"/>
    <w:pPr>
      <w:widowControl/>
      <w:spacing w:before="100" w:beforeAutospacing="1" w:after="100" w:afterAutospacing="1"/>
      <w:jc w:val="left"/>
    </w:pPr>
    <w:rPr>
      <w:rFonts w:hint="eastAsia" w:ascii="宋体" w:hAnsi="宋体" w:eastAsia="宋体" w:cs="Times New Roman"/>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2017</Words>
  <Characters>11502</Characters>
  <Lines>95</Lines>
  <Paragraphs>26</Paragraphs>
  <TotalTime>5</TotalTime>
  <ScaleCrop>false</ScaleCrop>
  <LinksUpToDate>false</LinksUpToDate>
  <CharactersWithSpaces>13493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2023-06-26T10:41:00Z</cp:lastPrinted>
  <dcterms:modified xsi:type="dcterms:W3CDTF">2023-10-26T08:28:53Z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