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153"/>
        <w:textAlignment w:val="auto"/>
        <w:rPr>
          <w:rFonts w:hint="eastAsia" w:ascii="方正黑体_GBK" w:hAnsi="方正黑体_GBK" w:eastAsia="方正黑体_GBK" w:cs="方正黑体_GBK"/>
        </w:rPr>
      </w:pPr>
    </w:p>
    <w:p>
      <w:pPr>
        <w:pStyle w:val="3"/>
        <w:keepNext w:val="0"/>
        <w:keepLines w:val="0"/>
        <w:pageBreakBefore w:val="0"/>
        <w:widowControl w:val="0"/>
        <w:kinsoku/>
        <w:wordWrap/>
        <w:overflowPunct/>
        <w:topLinePunct w:val="0"/>
        <w:autoSpaceDE/>
        <w:autoSpaceDN/>
        <w:bidi w:val="0"/>
        <w:adjustRightInd/>
        <w:snapToGrid/>
        <w:spacing w:line="560" w:lineRule="exact"/>
        <w:ind w:left="153"/>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left="153"/>
        <w:textAlignment w:val="auto"/>
      </w:pPr>
    </w:p>
    <w:p>
      <w:pPr>
        <w:snapToGrid w:val="0"/>
        <w:spacing w:line="1240" w:lineRule="exact"/>
        <w:ind w:left="158" w:leftChars="50" w:right="158" w:rightChars="50"/>
        <w:jc w:val="distribute"/>
        <w:rPr>
          <w:rFonts w:eastAsia="方正小标宋_GBK"/>
          <w:b/>
          <w:color w:val="FF0000"/>
          <w:w w:val="53"/>
          <w:sz w:val="110"/>
          <w:szCs w:val="110"/>
        </w:rPr>
      </w:pPr>
      <w:r>
        <w:rPr>
          <w:rFonts w:hint="eastAsia" w:eastAsia="方正小标宋_GBK"/>
          <w:b/>
          <w:color w:val="FF0000"/>
          <w:w w:val="46"/>
          <w:sz w:val="104"/>
          <w:szCs w:val="104"/>
        </w:rPr>
        <w:t>重庆市荣昌区经济和信息化委员会文件</w:t>
      </w:r>
    </w:p>
    <w:p>
      <w:pPr>
        <w:keepNext w:val="0"/>
        <w:keepLines w:val="0"/>
        <w:pageBreakBefore w:val="0"/>
        <w:widowControl w:val="0"/>
        <w:kinsoku/>
        <w:wordWrap/>
        <w:overflowPunct/>
        <w:topLinePunct w:val="0"/>
        <w:autoSpaceDE/>
        <w:autoSpaceDN/>
        <w:bidi w:val="0"/>
        <w:adjustRightInd/>
        <w:snapToGrid w:val="0"/>
        <w:spacing w:before="57" w:beforeLines="10" w:line="560" w:lineRule="exact"/>
        <w:textAlignment w:val="auto"/>
        <w:rPr>
          <w:szCs w:val="32"/>
        </w:rPr>
      </w:pPr>
    </w:p>
    <w:p>
      <w:pPr>
        <w:keepNext w:val="0"/>
        <w:keepLines w:val="0"/>
        <w:pageBreakBefore w:val="0"/>
        <w:widowControl w:val="0"/>
        <w:kinsoku/>
        <w:wordWrap/>
        <w:overflowPunct/>
        <w:topLinePunct w:val="0"/>
        <w:autoSpaceDE/>
        <w:autoSpaceDN/>
        <w:bidi w:val="0"/>
        <w:adjustRightInd/>
        <w:spacing w:line="560" w:lineRule="exact"/>
        <w:textAlignment w:val="auto"/>
      </w:pPr>
    </w:p>
    <w:p>
      <w:pPr>
        <w:spacing w:before="173" w:beforeLines="30"/>
        <w:ind w:left="316" w:leftChars="100" w:right="316" w:rightChars="100"/>
        <w:jc w:val="center"/>
      </w:pPr>
      <w:r>
        <w:rPr>
          <w:rFonts w:hint="eastAsia"/>
        </w:rPr>
        <w:t>荣经信发</w:t>
      </w:r>
      <w:r>
        <w:rPr>
          <w:rFonts w:ascii="Times New Roman" w:hAnsi="Times New Roman" w:cs="Times New Roman"/>
        </w:rPr>
        <w:t>〔202</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1号</w:t>
      </w:r>
    </w:p>
    <w:p>
      <w:pPr>
        <w:spacing w:before="173" w:beforeLines="30"/>
        <w:ind w:left="316" w:leftChars="100" w:right="316" w:rightChars="100"/>
        <w:jc w:val="center"/>
      </w:pPr>
    </w:p>
    <w:p>
      <w:pPr>
        <w:spacing w:line="640" w:lineRule="exact"/>
        <w:jc w:val="center"/>
        <w:rPr>
          <w:rFonts w:ascii="方正小标宋_GBK" w:hAnsi="方正小标宋_GBK" w:eastAsia="方正小标宋_GBK" w:cs="方正小标宋_GBK"/>
          <w:spacing w:val="2"/>
          <w:w w:val="99"/>
          <w:kern w:val="0"/>
          <w:sz w:val="44"/>
          <w:szCs w:val="44"/>
        </w:rPr>
      </w:pPr>
      <w:r>
        <w:rPr>
          <w:rFonts w:hint="eastAsia" w:ascii="方正小标宋_GBK" w:hAnsi="方正小标宋_GBK" w:eastAsia="方正小标宋_GBK" w:cs="方正小标宋_GBK"/>
          <w:w w:val="99"/>
          <w:kern w:val="0"/>
          <w:sz w:val="44"/>
          <w:szCs w:val="44"/>
        </w:rPr>
        <w:t>重庆市荣昌区经济和信息化委员</w:t>
      </w:r>
      <w:r>
        <w:rPr>
          <w:rFonts w:hint="eastAsia" w:ascii="方正小标宋_GBK" w:hAnsi="方正小标宋_GBK" w:eastAsia="方正小标宋_GBK" w:cs="方正小标宋_GBK"/>
          <w:spacing w:val="2"/>
          <w:w w:val="99"/>
          <w:kern w:val="0"/>
          <w:sz w:val="44"/>
          <w:szCs w:val="44"/>
        </w:rPr>
        <w:t>会</w:t>
      </w:r>
    </w:p>
    <w:p>
      <w:pPr>
        <w:snapToGrid w:val="0"/>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59"/>
          <w:sz w:val="44"/>
          <w:szCs w:val="44"/>
        </w:rPr>
        <w:t>重庆市荣昌</w:t>
      </w:r>
      <w:r>
        <w:rPr>
          <w:rFonts w:hint="eastAsia" w:eastAsia="方正小标宋_GBK"/>
          <w:b/>
          <w:color w:val="FF0000"/>
          <w:w w:val="55"/>
          <w:sz w:val="108"/>
          <w:szCs w:val="108"/>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3044190</wp:posOffset>
                </wp:positionV>
                <wp:extent cx="5615940" cy="0"/>
                <wp:effectExtent l="0" t="10795" r="3810" b="1778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6.55pt;margin-top:239.7pt;height:0pt;width:442.2pt;mso-position-horizontal-relative:page;mso-position-vertical-relative:margin;z-index:251660288;mso-width-relative:page;mso-height-relative:page;" filled="f" stroked="t" coordsize="21600,21600" o:gfxdata="UEsDBAoAAAAAAIdO4kAAAAAAAAAAAAAAAAAEAAAAZHJzL1BLAwQUAAAACACHTuJACydJD9kAAAAM&#10;AQAADwAAAGRycy9kb3ducmV2LnhtbE2Py07DMBBF90j8gzVI7Kgd+giEOF0ggcRTSuEDnHhIosbj&#10;ELtp4euZSkiwvDNXZ87k64PrxYRj6DxpSGYKBFLtbUeNhve3u4srECEasqb3hBq+MMC6OD3JTWb9&#10;nkqcNrERDKGQGQ1tjEMmZahbdCbM/IDEuw8/OhM5jo20o9kz3PXyUqmVdKYjvtCaAW9brLebnWPK&#10;lG6fn16+y8/Hzj+U96vXqulR6/OzRN2AiHiIf2U46rM6FOxU+R3ZIHrOy3nCVQ2L9HoB4thQ83QJ&#10;ovodySKX/58ofgBQSwMEFAAAAAgAh07iQCC726fUAQAAiwMAAA4AAABkcnMvZTJvRG9jLnhtbK1T&#10;S44TMRDdI3EHy3vSnYjMQCudWUwIGwSRgANUbHe3Jf/kMunkElwAiR2sWLLnNjMcg7KTyfDZIIQX&#10;1XZV+VW95+rF1d4atlMRtXctn05qzpQTXmrXt/ztm/WjJ5xhAifBeKdaflDIr5YPHyzG0KiZH7yR&#10;KjICcdiMoeVDSqGpKhSDsoATH5SjYOejhUTH2Fcywkjo1lSzur6oRh9liF4oRPKujkG+LPhdp0R6&#10;1XWoEjMtp95SsbHYbbbVcgFNHyEMWpzagH/owoJ2VPQMtYIE7F3Uf0BZLaJH36WJ8LbyXaeFKhyI&#10;zbT+jc3rAYIqXEgcDGeZ8P/Bipe7TWRatvySMweWnuj2w9eb95++f/tI9vbLZ3aZRRoDNpR77Tbx&#10;dMKwiZnxvos2f4kL2xdhD2dh1T4xQc75xXT+9DHpL+5i1f3FEDE9V96yvGm50S5zhgZ2LzBRMUq9&#10;S8lu49jY8hmtOeEBzUxnINHWBmKBri+X0Rst19qYfAVjv702ke2ApmC9rmllTgT8S1qusgIcjnkl&#10;dJyPQYF85iRLh0D6OBpknnuwSnJmFM193hEgNAm0+ZtMKm0cdZBlPQqZd1svD0Xf4qcXLz2epjOP&#10;1M/ncvv+H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snSQ/ZAAAADAEAAA8AAAAAAAAAAQAg&#10;AAAAIgAAAGRycy9kb3ducmV2LnhtbFBLAQIUABQAAAAIAIdO4kAgu9un1AEAAIsDAAAOAAAAAAAA&#10;AAEAIAAAACgBAABkcnMvZTJvRG9jLnhtbFBLBQYAAAAABgAGAFkBAABuBQAAAAA=&#10;">
                <v:fill on="f" focussize="0,0"/>
                <v:stroke weight="1.75pt" color="#FF0000" joinstyle="round"/>
                <v:imagedata o:title=""/>
                <o:lock v:ext="edit" aspectratio="f"/>
              </v:line>
            </w:pict>
          </mc:Fallback>
        </mc:AlternateContent>
      </w:r>
      <w:r>
        <w:rPr>
          <w:rFonts w:hint="eastAsia" w:ascii="方正小标宋_GBK" w:hAnsi="方正小标宋_GBK" w:eastAsia="方正小标宋_GBK" w:cs="方正小标宋_GBK"/>
          <w:spacing w:val="159"/>
          <w:sz w:val="44"/>
          <w:szCs w:val="44"/>
        </w:rPr>
        <w:t>区财政</w:t>
      </w:r>
      <w:r>
        <w:rPr>
          <w:rFonts w:hint="eastAsia" w:ascii="方正小标宋_GBK" w:hAnsi="方正小标宋_GBK" w:eastAsia="方正小标宋_GBK" w:cs="方正小标宋_GBK"/>
          <w:sz w:val="44"/>
          <w:szCs w:val="44"/>
        </w:rPr>
        <w:t>局</w:t>
      </w:r>
    </w:p>
    <w:p>
      <w:pPr>
        <w:snapToGrid w:val="0"/>
        <w:spacing w:line="640" w:lineRule="exact"/>
        <w:jc w:val="center"/>
        <w:rPr>
          <w:rFonts w:ascii="方正小标宋_GBK" w:hAnsi="方正小标宋_GBK" w:eastAsia="方正小标宋_GBK" w:cs="方正小标宋_GBK"/>
          <w:sz w:val="44"/>
          <w:szCs w:val="44"/>
        </w:rPr>
      </w:pPr>
      <w:r>
        <w:rPr>
          <w:rFonts w:hint="eastAsia" w:eastAsia="方正小标宋_GBK"/>
          <w:sz w:val="44"/>
          <w:szCs w:val="44"/>
        </w:rPr>
        <w:t>关于</w:t>
      </w:r>
      <w:r>
        <w:rPr>
          <w:rFonts w:hint="eastAsia" w:ascii="方正小标宋_GBK" w:hAnsi="方正小标宋_GBK" w:eastAsia="方正小标宋_GBK" w:cs="方正小标宋_GBK"/>
          <w:sz w:val="44"/>
          <w:szCs w:val="44"/>
        </w:rPr>
        <w:t>印发《重庆市荣昌区支持制造业高质量</w:t>
      </w:r>
    </w:p>
    <w:p>
      <w:pPr>
        <w:snapToGrid w:val="0"/>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发展二十一条政策》的通知</w:t>
      </w:r>
    </w:p>
    <w:p>
      <w:pPr>
        <w:spacing w:line="640" w:lineRule="exact"/>
        <w:jc w:val="left"/>
        <w:rPr>
          <w:rFonts w:ascii="方正仿宋_GBK" w:hAnsi="方正仿宋_GBK" w:cs="方正仿宋_GBK"/>
          <w:szCs w:val="32"/>
        </w:rPr>
      </w:pPr>
    </w:p>
    <w:p>
      <w:pPr>
        <w:spacing w:line="560" w:lineRule="exact"/>
        <w:rPr>
          <w:szCs w:val="32"/>
        </w:rPr>
      </w:pPr>
      <w:r>
        <w:rPr>
          <w:szCs w:val="32"/>
        </w:rPr>
        <w:t>各镇人民政府，各街道办事处，区政府各部门，有关单位：</w:t>
      </w:r>
    </w:p>
    <w:p>
      <w:pPr>
        <w:autoSpaceDE w:val="0"/>
        <w:spacing w:line="560" w:lineRule="exact"/>
        <w:ind w:firstLine="632" w:firstLineChars="200"/>
        <w:rPr>
          <w:kern w:val="0"/>
          <w:szCs w:val="32"/>
          <w:lang w:bidi="ar"/>
        </w:rPr>
      </w:pPr>
      <w:r>
        <w:rPr>
          <w:szCs w:val="32"/>
        </w:rPr>
        <w:t>《重庆市荣昌区支持制造业高质量发展二十一条政策》已经区政府</w:t>
      </w:r>
      <w:r>
        <w:rPr>
          <w:rFonts w:ascii="Times New Roman" w:hAnsi="Times New Roman" w:cs="Times New Roman"/>
        </w:rPr>
        <w:t>第125次常务会议、区委第2次常委会审议通过，现印发给你们，请认真组织实施。</w:t>
      </w:r>
    </w:p>
    <w:p>
      <w:pPr>
        <w:pStyle w:val="4"/>
        <w:spacing w:line="560" w:lineRule="exact"/>
        <w:rPr>
          <w:rFonts w:ascii="Times New Roman" w:hAnsi="Times New Roman"/>
          <w:lang w:bidi="ar"/>
        </w:rPr>
      </w:pPr>
    </w:p>
    <w:p>
      <w:pPr>
        <w:wordWrap w:val="0"/>
        <w:spacing w:line="560" w:lineRule="exact"/>
        <w:jc w:val="right"/>
        <w:rPr>
          <w:rFonts w:ascii="Times New Roman" w:hAnsi="Times New Roman" w:cs="Times New Roman"/>
          <w:szCs w:val="32"/>
        </w:rPr>
      </w:pPr>
      <w:r>
        <w:rPr>
          <w:szCs w:val="32"/>
        </w:rPr>
        <w:t>重庆市荣昌区经济和信息化委员会  重庆</w:t>
      </w:r>
      <w:r>
        <w:rPr>
          <w:rFonts w:ascii="Times New Roman" w:hAnsi="Times New Roman" w:cs="Times New Roman"/>
          <w:szCs w:val="32"/>
        </w:rPr>
        <w:t xml:space="preserve">市荣昌区财政局   </w:t>
      </w:r>
    </w:p>
    <w:p>
      <w:pPr>
        <w:wordWrap w:val="0"/>
        <w:spacing w:line="560" w:lineRule="exact"/>
        <w:jc w:val="right"/>
        <w:rPr>
          <w:rFonts w:ascii="Times New Roman" w:hAnsi="Times New Roman" w:cs="Times New Roman"/>
          <w:szCs w:val="32"/>
        </w:rPr>
      </w:pPr>
      <w:r>
        <w:rPr>
          <w:rFonts w:ascii="Times New Roman" w:hAnsi="Times New Roman" w:cs="Times New Roman"/>
          <w:szCs w:val="32"/>
        </w:rPr>
        <w:t xml:space="preserve">2022年1月7日    </w:t>
      </w:r>
    </w:p>
    <w:p>
      <w:pPr>
        <w:spacing w:line="560" w:lineRule="exact"/>
        <w:jc w:val="left"/>
        <w:sectPr>
          <w:footerReference r:id="rId3" w:type="default"/>
          <w:footerReference r:id="rId4" w:type="even"/>
          <w:pgSz w:w="11906" w:h="16838"/>
          <w:pgMar w:top="2098" w:right="1474" w:bottom="1984" w:left="1474" w:header="851" w:footer="1474" w:gutter="0"/>
          <w:cols w:space="720" w:num="1"/>
          <w:docGrid w:type="linesAndChars" w:linePitch="579" w:charSpace="-849"/>
        </w:sectPr>
      </w:pPr>
    </w:p>
    <w:p>
      <w:pPr>
        <w:autoSpaceDE w:val="0"/>
        <w:spacing w:line="640" w:lineRule="exact"/>
        <w:jc w:val="center"/>
        <w:rPr>
          <w:rFonts w:ascii="方正小标宋_GBK" w:hAnsi="方正小标宋_GBK" w:eastAsia="方正小标宋_GBK" w:cs="方正小标宋_GBK"/>
          <w:kern w:val="0"/>
          <w:sz w:val="44"/>
          <w:szCs w:val="44"/>
          <w:lang w:bidi="ar"/>
        </w:rPr>
      </w:pPr>
      <w:r>
        <w:rPr>
          <w:rFonts w:hint="eastAsia" w:ascii="方正小标宋_GBK" w:hAnsi="方正小标宋_GBK" w:eastAsia="方正小标宋_GBK" w:cs="方正小标宋_GBK"/>
          <w:kern w:val="0"/>
          <w:sz w:val="44"/>
          <w:szCs w:val="44"/>
          <w:lang w:bidi="ar"/>
        </w:rPr>
        <w:t>重庆市荣昌区支持制造业高质量发展</w:t>
      </w:r>
    </w:p>
    <w:p>
      <w:pPr>
        <w:autoSpaceDE w:val="0"/>
        <w:spacing w:line="640" w:lineRule="exact"/>
        <w:jc w:val="center"/>
        <w:rPr>
          <w:rFonts w:eastAsia="方正小标宋_GBK"/>
          <w:sz w:val="44"/>
          <w:szCs w:val="44"/>
        </w:rPr>
      </w:pPr>
      <w:r>
        <w:rPr>
          <w:rFonts w:hint="eastAsia" w:ascii="方正小标宋_GBK" w:hAnsi="方正小标宋_GBK" w:eastAsia="方正小标宋_GBK" w:cs="方正小标宋_GBK"/>
          <w:kern w:val="0"/>
          <w:sz w:val="44"/>
          <w:szCs w:val="44"/>
          <w:lang w:bidi="ar"/>
        </w:rPr>
        <w:t>二十一条政策</w:t>
      </w:r>
    </w:p>
    <w:p>
      <w:pPr>
        <w:autoSpaceDE w:val="0"/>
        <w:spacing w:line="640" w:lineRule="exact"/>
        <w:ind w:firstLine="632" w:firstLineChars="200"/>
        <w:rPr>
          <w:szCs w:val="32"/>
        </w:rPr>
      </w:pPr>
    </w:p>
    <w:p>
      <w:pPr>
        <w:autoSpaceDE w:val="0"/>
        <w:spacing w:line="560" w:lineRule="exact"/>
        <w:ind w:firstLine="632" w:firstLineChars="200"/>
        <w:rPr>
          <w:szCs w:val="32"/>
        </w:rPr>
      </w:pPr>
      <w:r>
        <w:rPr>
          <w:rFonts w:hint="eastAsia" w:ascii="方正仿宋_GBK" w:hAnsi="方正仿宋_GBK" w:cs="方正仿宋_GBK"/>
          <w:szCs w:val="32"/>
          <w:lang w:bidi="ar"/>
        </w:rPr>
        <w:t>为持续优化我区制造业发展环境，推动制造业高端化、数字化、绿色化转型，加快建设高质量的成渝地区重要先进制造业基地，结合实际，特制定本政策。</w:t>
      </w:r>
    </w:p>
    <w:p>
      <w:pPr>
        <w:autoSpaceDE w:val="0"/>
        <w:spacing w:line="560" w:lineRule="exact"/>
        <w:ind w:firstLine="632" w:firstLineChars="200"/>
        <w:rPr>
          <w:rFonts w:eastAsia="方正黑体_GBK"/>
          <w:kern w:val="0"/>
          <w:szCs w:val="32"/>
          <w:shd w:val="clear" w:color="auto" w:fill="FFFFFF"/>
        </w:rPr>
      </w:pPr>
      <w:r>
        <w:rPr>
          <w:rFonts w:hint="eastAsia" w:ascii="方正黑体_GBK" w:hAnsi="方正黑体_GBK" w:eastAsia="方正黑体_GBK" w:cs="方正黑体_GBK"/>
          <w:kern w:val="0"/>
          <w:szCs w:val="32"/>
          <w:shd w:val="clear" w:color="auto" w:fill="FFFFFF"/>
          <w:lang w:bidi="ar"/>
        </w:rPr>
        <w:t>一、支持范围及条件</w:t>
      </w:r>
    </w:p>
    <w:p>
      <w:pPr>
        <w:autoSpaceDE w:val="0"/>
        <w:spacing w:line="560" w:lineRule="exact"/>
        <w:ind w:firstLine="632" w:firstLineChars="200"/>
        <w:rPr>
          <w:szCs w:val="32"/>
        </w:rPr>
      </w:pPr>
      <w:r>
        <w:rPr>
          <w:rFonts w:hint="eastAsia" w:ascii="方正仿宋_GBK" w:hAnsi="方正仿宋_GBK" w:cs="方正仿宋_GBK"/>
          <w:szCs w:val="32"/>
          <w:lang w:bidi="ar"/>
        </w:rPr>
        <w:t>支持范围：重点支持企业技术创新、培育优质市场主体、提升智能制造能力、提升绿色发展水平、补齐产业发展短板等项目。</w:t>
      </w:r>
    </w:p>
    <w:p>
      <w:pPr>
        <w:autoSpaceDE w:val="0"/>
        <w:spacing w:line="560" w:lineRule="exact"/>
        <w:ind w:firstLine="632" w:firstLineChars="200"/>
        <w:rPr>
          <w:szCs w:val="32"/>
        </w:rPr>
      </w:pPr>
      <w:r>
        <w:rPr>
          <w:rFonts w:hint="eastAsia" w:ascii="方正仿宋_GBK" w:hAnsi="方正仿宋_GBK" w:cs="方正仿宋_GBK"/>
          <w:szCs w:val="32"/>
          <w:lang w:bidi="ar"/>
        </w:rPr>
        <w:t>主体条件：在荣昌区内正常生产经营，财务制度健全，依法依规纳税，申报时未列入信用中国（重庆）失信</w:t>
      </w:r>
      <w:r>
        <w:rPr>
          <w:rFonts w:hint="eastAsia"/>
          <w:szCs w:val="32"/>
          <w:lang w:bidi="ar"/>
        </w:rPr>
        <w:t>“</w:t>
      </w:r>
      <w:r>
        <w:rPr>
          <w:rFonts w:hint="eastAsia" w:ascii="方正仿宋_GBK" w:hAnsi="方正仿宋_GBK" w:cs="方正仿宋_GBK"/>
          <w:szCs w:val="32"/>
          <w:lang w:bidi="ar"/>
        </w:rPr>
        <w:t>黑名单</w:t>
      </w:r>
      <w:r>
        <w:rPr>
          <w:rFonts w:hint="eastAsia"/>
          <w:szCs w:val="32"/>
          <w:lang w:bidi="ar"/>
        </w:rPr>
        <w:t>”、行贿人“黑名单”</w:t>
      </w:r>
      <w:r>
        <w:rPr>
          <w:rFonts w:hint="eastAsia" w:ascii="方正仿宋_GBK" w:hAnsi="方正仿宋_GBK" w:cs="方正仿宋_GBK"/>
          <w:szCs w:val="32"/>
          <w:lang w:bidi="ar"/>
        </w:rPr>
        <w:t>的工业企业及符合条件的个人。</w:t>
      </w:r>
    </w:p>
    <w:p>
      <w:pPr>
        <w:pStyle w:val="9"/>
        <w:autoSpaceDE w:val="0"/>
        <w:spacing w:before="0" w:beforeAutospacing="0" w:after="0" w:afterAutospacing="0" w:line="560" w:lineRule="exact"/>
        <w:ind w:firstLine="632" w:firstLineChars="200"/>
        <w:rPr>
          <w:rFonts w:ascii="Times New Roman" w:hAnsi="Times New Roman" w:eastAsia="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bidi="ar"/>
        </w:rPr>
        <w:t>二、支持政策</w:t>
      </w:r>
    </w:p>
    <w:p>
      <w:pPr>
        <w:pStyle w:val="9"/>
        <w:autoSpaceDE w:val="0"/>
        <w:spacing w:before="0" w:beforeAutospacing="0" w:after="0" w:afterAutospacing="0" w:line="560" w:lineRule="exact"/>
        <w:ind w:firstLine="632"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（一）鼓励企业技术创新。</w:t>
      </w:r>
    </w:p>
    <w:p>
      <w:pPr>
        <w:pStyle w:val="9"/>
        <w:autoSpaceDE w:val="0"/>
        <w:spacing w:before="0" w:beforeAutospacing="0" w:after="0" w:afterAutospacing="0" w:line="560" w:lineRule="exact"/>
        <w:ind w:firstLine="632" w:firstLineChars="200"/>
        <w:rPr>
          <w:rFonts w:ascii="Times New Roman" w:hAnsi="Times New Roman"/>
          <w:kern w:val="2"/>
          <w:sz w:val="32"/>
          <w:szCs w:val="32"/>
        </w:rPr>
      </w:pPr>
      <w:r>
        <w:rPr>
          <w:rFonts w:ascii="Times New Roman" w:hAnsi="Times New Roman"/>
          <w:sz w:val="32"/>
          <w:szCs w:val="32"/>
          <w:lang w:bidi="ar"/>
        </w:rPr>
        <w:t>1</w:t>
      </w:r>
      <w:r>
        <w:rPr>
          <w:rFonts w:hint="eastAsia" w:ascii="方正仿宋_GBK"/>
          <w:szCs w:val="32"/>
          <w:shd w:val="clear" w:color="auto" w:fill="FFFFFF"/>
          <w:lang w:bidi="ar"/>
        </w:rPr>
        <w:t>．</w:t>
      </w:r>
      <w:r>
        <w:rPr>
          <w:rFonts w:hint="eastAsia" w:ascii="方正仿宋_GBK" w:hAnsi="方正仿宋_GBK" w:cs="方正仿宋_GBK"/>
          <w:sz w:val="32"/>
          <w:szCs w:val="32"/>
          <w:lang w:bidi="ar"/>
        </w:rPr>
        <w:t>支持组建高水平研发平台。支持国内外知名高校、科研机构、科学家、科研团队在荣设立基于市场化运营的高水平研发平台，对新认定的市级及以上高水平研发平台（产业研究院、技术创新中心、新型研发机构</w:t>
      </w:r>
      <w:r>
        <w:rPr>
          <w:rFonts w:ascii="Times New Roman" w:hAnsi="Times New Roman"/>
          <w:sz w:val="32"/>
          <w:szCs w:val="32"/>
          <w:lang w:bidi="ar"/>
        </w:rPr>
        <w:t>、</w:t>
      </w:r>
      <w:r>
        <w:rPr>
          <w:rFonts w:ascii="Times New Roman" w:hAnsi="Times New Roman"/>
          <w:kern w:val="2"/>
          <w:sz w:val="32"/>
          <w:szCs w:val="32"/>
        </w:rPr>
        <w:t>独立法人新型企业研发机构等），自获得认定当年起连续3年给予最高100万/年研发补助。对获得国家级和市级制造业创新中心认定的牵头单位，自获得认定当年起，区级连续3年按照不超过其获得上级补助额度的50%给予配套。</w:t>
      </w:r>
    </w:p>
    <w:p>
      <w:pPr>
        <w:pStyle w:val="9"/>
        <w:autoSpaceDE w:val="0"/>
        <w:spacing w:before="0" w:beforeAutospacing="0" w:after="0" w:afterAutospacing="0" w:line="560" w:lineRule="exact"/>
        <w:ind w:firstLine="632" w:firstLineChars="200"/>
        <w:rPr>
          <w:rFonts w:ascii="Times New Roman" w:hAnsi="Times New Roman"/>
          <w:sz w:val="32"/>
          <w:szCs w:val="32"/>
        </w:rPr>
      </w:pPr>
      <w:r>
        <w:rPr>
          <w:rFonts w:ascii="Times New Roman" w:hAnsi="Times New Roman"/>
          <w:sz w:val="32"/>
          <w:szCs w:val="32"/>
          <w:lang w:bidi="ar"/>
        </w:rPr>
        <w:t>2</w:t>
      </w:r>
      <w:r>
        <w:rPr>
          <w:rFonts w:hint="eastAsia" w:ascii="方正仿宋_GBK"/>
          <w:szCs w:val="32"/>
          <w:shd w:val="clear" w:color="auto" w:fill="FFFFFF"/>
          <w:lang w:bidi="ar"/>
        </w:rPr>
        <w:t>．</w:t>
      </w:r>
      <w:r>
        <w:rPr>
          <w:rFonts w:hint="eastAsia" w:ascii="方正仿宋_GBK" w:hAnsi="方正仿宋_GBK" w:cs="方正仿宋_GBK"/>
          <w:sz w:val="32"/>
          <w:szCs w:val="32"/>
          <w:lang w:bidi="ar"/>
        </w:rPr>
        <w:t>支持企业设立研发机构。首次认定为国家、市级、区级企业技术中心、中小企业技术研发中心、工业和信息化重点实验室、技术创新示范企业、工业设计中心的，分别给予最高</w:t>
      </w:r>
      <w:r>
        <w:rPr>
          <w:rFonts w:ascii="Times New Roman" w:hAnsi="Times New Roman"/>
          <w:sz w:val="32"/>
          <w:szCs w:val="32"/>
          <w:lang w:bidi="ar"/>
        </w:rPr>
        <w:t>100</w:t>
      </w:r>
      <w:r>
        <w:rPr>
          <w:rFonts w:hint="eastAsia" w:ascii="方正仿宋_GBK" w:hAnsi="方正仿宋_GBK" w:cs="方正仿宋_GBK"/>
          <w:sz w:val="32"/>
          <w:szCs w:val="32"/>
          <w:lang w:bidi="ar"/>
        </w:rPr>
        <w:t>万元、</w:t>
      </w:r>
      <w:r>
        <w:rPr>
          <w:rFonts w:ascii="Times New Roman" w:hAnsi="Times New Roman"/>
          <w:sz w:val="32"/>
          <w:szCs w:val="32"/>
          <w:lang w:bidi="ar"/>
        </w:rPr>
        <w:t>20</w:t>
      </w:r>
      <w:r>
        <w:rPr>
          <w:rFonts w:hint="eastAsia" w:ascii="方正仿宋_GBK" w:hAnsi="方正仿宋_GBK" w:cs="方正仿宋_GBK"/>
          <w:sz w:val="32"/>
          <w:szCs w:val="32"/>
          <w:lang w:bidi="ar"/>
        </w:rPr>
        <w:t>万元、</w:t>
      </w:r>
      <w:r>
        <w:rPr>
          <w:rFonts w:ascii="Times New Roman" w:hAnsi="Times New Roman"/>
          <w:sz w:val="32"/>
          <w:szCs w:val="32"/>
          <w:lang w:bidi="ar"/>
        </w:rPr>
        <w:t>5</w:t>
      </w:r>
      <w:r>
        <w:rPr>
          <w:rFonts w:hint="eastAsia" w:ascii="方正仿宋_GBK" w:hAnsi="方正仿宋_GBK" w:cs="方正仿宋_GBK"/>
          <w:sz w:val="32"/>
          <w:szCs w:val="32"/>
          <w:lang w:bidi="ar"/>
        </w:rPr>
        <w:t>万元一次性奖励。首次认定为国家、重庆市新型企业研发机构的，给予最高</w:t>
      </w:r>
      <w:r>
        <w:rPr>
          <w:rFonts w:ascii="Times New Roman" w:hAnsi="Times New Roman"/>
          <w:sz w:val="32"/>
          <w:szCs w:val="32"/>
          <w:lang w:bidi="ar"/>
        </w:rPr>
        <w:t>50</w:t>
      </w:r>
      <w:r>
        <w:rPr>
          <w:rFonts w:hint="eastAsia" w:ascii="方正仿宋_GBK" w:hAnsi="方正仿宋_GBK" w:cs="方正仿宋_GBK"/>
          <w:sz w:val="32"/>
          <w:szCs w:val="32"/>
          <w:lang w:bidi="ar"/>
        </w:rPr>
        <w:t>万元一次性奖励。同类别不同层级平台同年认定的，按最高层级奖励。</w:t>
      </w:r>
    </w:p>
    <w:p>
      <w:pPr>
        <w:pStyle w:val="9"/>
        <w:autoSpaceDE w:val="0"/>
        <w:spacing w:before="0" w:beforeAutospacing="0" w:after="0" w:afterAutospacing="0" w:line="560" w:lineRule="exact"/>
        <w:ind w:firstLine="632" w:firstLineChars="200"/>
        <w:rPr>
          <w:rFonts w:ascii="Times New Roman" w:hAnsi="Times New Roman"/>
          <w:sz w:val="32"/>
          <w:szCs w:val="32"/>
        </w:rPr>
      </w:pPr>
      <w:r>
        <w:rPr>
          <w:rFonts w:ascii="Times New Roman" w:hAnsi="Times New Roman"/>
          <w:sz w:val="32"/>
          <w:szCs w:val="32"/>
          <w:lang w:bidi="ar"/>
        </w:rPr>
        <w:t>3</w:t>
      </w:r>
      <w:r>
        <w:rPr>
          <w:rFonts w:hint="eastAsia" w:ascii="方正仿宋_GBK"/>
          <w:szCs w:val="32"/>
          <w:shd w:val="clear" w:color="auto" w:fill="FFFFFF"/>
          <w:lang w:bidi="ar"/>
        </w:rPr>
        <w:t>．</w:t>
      </w:r>
      <w:r>
        <w:rPr>
          <w:rFonts w:hint="eastAsia" w:ascii="方正仿宋_GBK" w:hAnsi="方正仿宋_GBK" w:cs="方正仿宋_GBK"/>
          <w:sz w:val="32"/>
          <w:szCs w:val="32"/>
          <w:lang w:bidi="ar"/>
        </w:rPr>
        <w:t>支持企业加大研发投入。对建立研发准备金制度，申报研发费用达到</w:t>
      </w:r>
      <w:r>
        <w:rPr>
          <w:rFonts w:ascii="Times New Roman" w:hAnsi="Times New Roman"/>
          <w:sz w:val="32"/>
          <w:szCs w:val="32"/>
          <w:lang w:bidi="ar"/>
        </w:rPr>
        <w:t>1000</w:t>
      </w:r>
      <w:r>
        <w:rPr>
          <w:rFonts w:hint="eastAsia" w:ascii="方正仿宋_GBK" w:hAnsi="方正仿宋_GBK" w:cs="方正仿宋_GBK"/>
          <w:sz w:val="32"/>
          <w:szCs w:val="32"/>
          <w:lang w:bidi="ar"/>
        </w:rPr>
        <w:t>万元及以上且获得市级研发投入补助的企业，按照不超过其获得市级补助额度的</w:t>
      </w:r>
      <w:r>
        <w:rPr>
          <w:rFonts w:ascii="Times New Roman" w:hAnsi="Times New Roman"/>
          <w:sz w:val="32"/>
          <w:szCs w:val="32"/>
          <w:lang w:bidi="ar"/>
        </w:rPr>
        <w:t>100%</w:t>
      </w:r>
      <w:r>
        <w:rPr>
          <w:rFonts w:hint="eastAsia" w:ascii="方正仿宋_GBK" w:hAnsi="方正仿宋_GBK" w:cs="方正仿宋_GBK"/>
          <w:sz w:val="32"/>
          <w:szCs w:val="32"/>
          <w:lang w:bidi="ar"/>
        </w:rPr>
        <w:t>给予区级配套；申报研发费用</w:t>
      </w:r>
      <w:r>
        <w:rPr>
          <w:rFonts w:ascii="Times New Roman" w:hAnsi="Times New Roman"/>
          <w:sz w:val="32"/>
          <w:szCs w:val="32"/>
          <w:lang w:bidi="ar"/>
        </w:rPr>
        <w:t>1000</w:t>
      </w:r>
      <w:r>
        <w:rPr>
          <w:rFonts w:hint="eastAsia" w:ascii="方正仿宋_GBK" w:hAnsi="方正仿宋_GBK" w:cs="方正仿宋_GBK"/>
          <w:sz w:val="32"/>
          <w:szCs w:val="32"/>
          <w:lang w:bidi="ar"/>
        </w:rPr>
        <w:t>万元以下的企业，区级按研发费用存量不高于</w:t>
      </w:r>
      <w:r>
        <w:rPr>
          <w:rFonts w:ascii="Times New Roman" w:hAnsi="Times New Roman"/>
          <w:sz w:val="32"/>
          <w:szCs w:val="32"/>
          <w:lang w:bidi="ar"/>
        </w:rPr>
        <w:t>3%</w:t>
      </w:r>
      <w:r>
        <w:rPr>
          <w:rFonts w:hint="eastAsia" w:ascii="方正仿宋_GBK" w:hAnsi="方正仿宋_GBK" w:cs="方正仿宋_GBK"/>
          <w:sz w:val="32"/>
          <w:szCs w:val="32"/>
          <w:lang w:bidi="ar"/>
        </w:rPr>
        <w:t>、增量不高于</w:t>
      </w:r>
      <w:r>
        <w:rPr>
          <w:rFonts w:ascii="Times New Roman" w:hAnsi="Times New Roman"/>
          <w:sz w:val="32"/>
          <w:szCs w:val="32"/>
          <w:lang w:bidi="ar"/>
        </w:rPr>
        <w:t>10%</w:t>
      </w:r>
      <w:r>
        <w:rPr>
          <w:rFonts w:hint="eastAsia" w:ascii="方正仿宋_GBK" w:hAnsi="方正仿宋_GBK" w:cs="方正仿宋_GBK"/>
          <w:sz w:val="32"/>
          <w:szCs w:val="32"/>
          <w:lang w:bidi="ar"/>
        </w:rPr>
        <w:t>的比例给予补助。</w:t>
      </w:r>
    </w:p>
    <w:p>
      <w:pPr>
        <w:pStyle w:val="9"/>
        <w:autoSpaceDE w:val="0"/>
        <w:spacing w:before="0" w:beforeAutospacing="0" w:after="0" w:afterAutospacing="0" w:line="560" w:lineRule="exact"/>
        <w:ind w:firstLine="632" w:firstLineChars="200"/>
        <w:rPr>
          <w:rFonts w:ascii="Times New Roman" w:hAnsi="Times New Roman"/>
          <w:sz w:val="32"/>
          <w:szCs w:val="32"/>
        </w:rPr>
      </w:pPr>
      <w:r>
        <w:rPr>
          <w:rFonts w:ascii="Times New Roman" w:hAnsi="Times New Roman"/>
          <w:sz w:val="32"/>
          <w:szCs w:val="32"/>
          <w:lang w:bidi="ar"/>
        </w:rPr>
        <w:t>4</w:t>
      </w:r>
      <w:r>
        <w:rPr>
          <w:rFonts w:hint="eastAsia" w:ascii="方正仿宋_GBK"/>
          <w:szCs w:val="32"/>
          <w:shd w:val="clear" w:color="auto" w:fill="FFFFFF"/>
          <w:lang w:bidi="ar"/>
        </w:rPr>
        <w:t>．</w:t>
      </w:r>
      <w:r>
        <w:rPr>
          <w:rFonts w:hint="eastAsia" w:ascii="方正仿宋_GBK" w:hAnsi="方正仿宋_GBK" w:cs="方正仿宋_GBK"/>
          <w:sz w:val="32"/>
          <w:szCs w:val="32"/>
          <w:lang w:bidi="ar"/>
        </w:rPr>
        <w:t>支持新产品推广应用。支持企业采购符合最新《重庆市首台（套）重大技术装备推广应用目录》的首台（套）重大技术装备，按不超过实际支付额的</w:t>
      </w:r>
      <w:r>
        <w:rPr>
          <w:rFonts w:ascii="Times New Roman" w:hAnsi="Times New Roman"/>
          <w:sz w:val="32"/>
          <w:szCs w:val="32"/>
          <w:lang w:bidi="ar"/>
        </w:rPr>
        <w:t>20%</w:t>
      </w:r>
      <w:r>
        <w:rPr>
          <w:rFonts w:hint="eastAsia" w:ascii="方正仿宋_GBK" w:hAnsi="方正仿宋_GBK" w:cs="方正仿宋_GBK"/>
          <w:sz w:val="32"/>
          <w:szCs w:val="32"/>
          <w:lang w:bidi="ar"/>
        </w:rPr>
        <w:t>给予采购企业补助，最高不超过</w:t>
      </w:r>
      <w:r>
        <w:rPr>
          <w:rFonts w:ascii="Times New Roman" w:hAnsi="Times New Roman"/>
          <w:sz w:val="32"/>
          <w:szCs w:val="32"/>
          <w:lang w:bidi="ar"/>
        </w:rPr>
        <w:t>100</w:t>
      </w:r>
      <w:r>
        <w:rPr>
          <w:rFonts w:hint="eastAsia" w:ascii="方正仿宋_GBK" w:hAnsi="方正仿宋_GBK" w:cs="方正仿宋_GBK"/>
          <w:sz w:val="32"/>
          <w:szCs w:val="32"/>
          <w:lang w:bidi="ar"/>
        </w:rPr>
        <w:t>万元。对已列入重庆市技术创新指导性项目推荐目录或创新产品目录的新产品，单款产品年销售收入达到</w:t>
      </w:r>
      <w:r>
        <w:rPr>
          <w:rFonts w:ascii="Times New Roman" w:hAnsi="Times New Roman"/>
          <w:sz w:val="32"/>
          <w:szCs w:val="32"/>
          <w:lang w:bidi="ar"/>
        </w:rPr>
        <w:t>500</w:t>
      </w:r>
      <w:r>
        <w:rPr>
          <w:rFonts w:hint="eastAsia" w:ascii="方正仿宋_GBK" w:hAnsi="方正仿宋_GBK" w:cs="方正仿宋_GBK"/>
          <w:sz w:val="32"/>
          <w:szCs w:val="32"/>
          <w:lang w:bidi="ar"/>
        </w:rPr>
        <w:t>万元（不含税）及以上的企业，参照《重庆市重大新产品研发成本补助政策》补助标准，给予企业连续</w:t>
      </w:r>
      <w:r>
        <w:rPr>
          <w:rFonts w:ascii="Times New Roman" w:hAnsi="Times New Roman"/>
          <w:sz w:val="32"/>
          <w:szCs w:val="32"/>
          <w:lang w:bidi="ar"/>
        </w:rPr>
        <w:t>3</w:t>
      </w:r>
      <w:r>
        <w:rPr>
          <w:rFonts w:hint="eastAsia" w:ascii="方正仿宋_GBK" w:hAnsi="方正仿宋_GBK" w:cs="方正仿宋_GBK"/>
          <w:sz w:val="32"/>
          <w:szCs w:val="32"/>
          <w:lang w:bidi="ar"/>
        </w:rPr>
        <w:t>年的奖励，单户企业当年最高不超过</w:t>
      </w:r>
      <w:r>
        <w:rPr>
          <w:rFonts w:ascii="Times New Roman" w:hAnsi="Times New Roman"/>
          <w:sz w:val="32"/>
          <w:szCs w:val="32"/>
          <w:lang w:bidi="ar"/>
        </w:rPr>
        <w:t>50</w:t>
      </w:r>
      <w:r>
        <w:rPr>
          <w:rFonts w:hint="eastAsia" w:ascii="方正仿宋_GBK" w:hAnsi="方正仿宋_GBK" w:cs="方正仿宋_GBK"/>
          <w:sz w:val="32"/>
          <w:szCs w:val="32"/>
          <w:lang w:bidi="ar"/>
        </w:rPr>
        <w:t>万元。</w:t>
      </w:r>
    </w:p>
    <w:p>
      <w:pPr>
        <w:pStyle w:val="9"/>
        <w:autoSpaceDE w:val="0"/>
        <w:spacing w:before="0" w:beforeAutospacing="0" w:after="0" w:afterAutospacing="0" w:line="560" w:lineRule="exact"/>
        <w:ind w:firstLine="632"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（二）培育优质市场主体。</w:t>
      </w:r>
    </w:p>
    <w:p>
      <w:pPr>
        <w:autoSpaceDE w:val="0"/>
        <w:spacing w:line="560" w:lineRule="exact"/>
        <w:ind w:firstLine="632" w:firstLineChars="200"/>
        <w:rPr>
          <w:rFonts w:ascii="Times New Roman" w:hAnsi="Times New Roman" w:cs="Times New Roman"/>
          <w:szCs w:val="32"/>
        </w:rPr>
      </w:pPr>
      <w:r>
        <w:rPr>
          <w:szCs w:val="32"/>
          <w:lang w:bidi="ar"/>
        </w:rPr>
        <w:t>5</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支持企业微升小、小升规</w:t>
      </w:r>
      <w:r>
        <w:rPr>
          <w:rFonts w:ascii="Times New Roman" w:hAnsi="Times New Roman" w:cs="Times New Roman"/>
          <w:szCs w:val="32"/>
          <w:lang w:bidi="ar"/>
        </w:rPr>
        <w:t>。对成立2年以上（如2022年申报该项政策的企业，则应在2020年1月1日前成立）的制造业企业，当年从微型企业成长为小型企业的，每户给予最高5万</w:t>
      </w:r>
      <w:r>
        <w:rPr>
          <w:rFonts w:hint="eastAsia" w:ascii="方正仿宋_GBK" w:hAnsi="方正仿宋_GBK" w:cs="方正仿宋_GBK"/>
          <w:szCs w:val="32"/>
          <w:lang w:bidi="ar"/>
        </w:rPr>
        <w:t>元的一次性奖励。对当年新入统</w:t>
      </w:r>
      <w:r>
        <w:rPr>
          <w:rFonts w:ascii="Times New Roman" w:hAnsi="Times New Roman" w:cs="Times New Roman"/>
          <w:szCs w:val="32"/>
          <w:lang w:bidi="ar"/>
        </w:rPr>
        <w:t>规模以上工业企业（含新建企业入规和规下升规上工业企业），首次纳入统计联网直报，每户给予最高10万元的一次性奖励。</w:t>
      </w:r>
    </w:p>
    <w:p>
      <w:pPr>
        <w:autoSpaceDE w:val="0"/>
        <w:spacing w:line="560" w:lineRule="exact"/>
        <w:ind w:firstLine="632" w:firstLineChars="200"/>
        <w:rPr>
          <w:rFonts w:ascii="Times New Roman" w:hAnsi="Times New Roman" w:cs="Times New Roman"/>
          <w:szCs w:val="32"/>
        </w:rPr>
      </w:pPr>
      <w:r>
        <w:rPr>
          <w:szCs w:val="32"/>
          <w:lang w:bidi="ar"/>
        </w:rPr>
        <w:t>6</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支持企业专精特新发展。首次获得产业链领航企业、制造业单项冠军（含单项冠</w:t>
      </w:r>
      <w:r>
        <w:rPr>
          <w:rFonts w:ascii="Times New Roman" w:hAnsi="Times New Roman" w:cs="Times New Roman"/>
          <w:szCs w:val="32"/>
          <w:lang w:bidi="ar"/>
        </w:rPr>
        <w:t>军示范企业和单项冠军产品）、国家级专精特新“小巨人”企业的，分别给予最高300万、200万、100万元一次性奖励；首次获得重庆市“隐形冠军”企业、“小巨人”企业、“专精特新”企业的，分别给予最高50万元、30万元、20万元的一次性奖励。</w:t>
      </w:r>
    </w:p>
    <w:p>
      <w:pPr>
        <w:autoSpaceDE w:val="0"/>
        <w:spacing w:line="560" w:lineRule="exact"/>
        <w:ind w:firstLine="632" w:firstLineChars="200"/>
        <w:rPr>
          <w:rFonts w:ascii="Times New Roman" w:hAnsi="Times New Roman" w:cs="Times New Roman"/>
          <w:szCs w:val="32"/>
        </w:rPr>
      </w:pPr>
      <w:r>
        <w:rPr>
          <w:szCs w:val="32"/>
          <w:lang w:bidi="ar"/>
        </w:rPr>
        <w:t>7</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支持品牌宣传推广。对获得市级以上著名商标、名牌产品的企业，在市级以</w:t>
      </w:r>
      <w:r>
        <w:rPr>
          <w:rFonts w:ascii="Times New Roman" w:hAnsi="Times New Roman" w:cs="Times New Roman"/>
          <w:szCs w:val="32"/>
          <w:lang w:bidi="ar"/>
        </w:rPr>
        <w:t>上电视媒体、报纸、户外广告宣传，按照不超过广告费投入的10%给予一次性补助，当年单户企业最高不超过20万元。对经区工业主管部门确认同意，工业企业或区级以上工艺美术（大）师参加国内外重要展会，按照不超过展位费的50%给予补助，当年单户企业最高不超过10万元、个人最高不超过5万元。</w:t>
      </w:r>
    </w:p>
    <w:p>
      <w:pPr>
        <w:autoSpaceDE w:val="0"/>
        <w:spacing w:line="560" w:lineRule="exact"/>
        <w:ind w:firstLine="632" w:firstLineChars="200"/>
        <w:rPr>
          <w:rFonts w:ascii="Times New Roman" w:hAnsi="Times New Roman" w:cs="Times New Roman"/>
          <w:szCs w:val="32"/>
        </w:rPr>
      </w:pPr>
      <w:r>
        <w:rPr>
          <w:szCs w:val="32"/>
          <w:lang w:bidi="ar"/>
        </w:rPr>
        <w:t>8</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支持企业融通发展。制造业龙头企业（包括产业链领航企业、制造业单项冠军、领军企业、</w:t>
      </w:r>
      <w:r>
        <w:rPr>
          <w:rFonts w:hint="eastAsia"/>
          <w:szCs w:val="32"/>
          <w:lang w:bidi="ar"/>
        </w:rPr>
        <w:t>“</w:t>
      </w:r>
      <w:r>
        <w:rPr>
          <w:rFonts w:hint="eastAsia" w:ascii="方正仿宋_GBK" w:hAnsi="方正仿宋_GBK" w:cs="方正仿宋_GBK"/>
          <w:szCs w:val="32"/>
          <w:lang w:bidi="ar"/>
        </w:rPr>
        <w:t>链主</w:t>
      </w:r>
      <w:r>
        <w:rPr>
          <w:rFonts w:hint="eastAsia"/>
          <w:szCs w:val="32"/>
          <w:lang w:bidi="ar"/>
        </w:rPr>
        <w:t>”</w:t>
      </w:r>
      <w:r>
        <w:rPr>
          <w:rFonts w:hint="eastAsia" w:ascii="方正仿宋_GBK" w:hAnsi="方正仿宋_GBK" w:cs="方正仿宋_GBK"/>
          <w:szCs w:val="32"/>
          <w:lang w:bidi="ar"/>
        </w:rPr>
        <w:t>企业，以及市级以上</w:t>
      </w:r>
      <w:r>
        <w:rPr>
          <w:rFonts w:hint="eastAsia"/>
          <w:szCs w:val="32"/>
          <w:lang w:bidi="ar"/>
        </w:rPr>
        <w:t>“</w:t>
      </w:r>
      <w:r>
        <w:rPr>
          <w:rFonts w:hint="eastAsia" w:ascii="方正仿宋_GBK" w:hAnsi="方正仿宋_GBK" w:cs="方正仿宋_GBK"/>
          <w:szCs w:val="32"/>
          <w:lang w:bidi="ar"/>
        </w:rPr>
        <w:t>隐形冠军</w:t>
      </w:r>
      <w:r>
        <w:rPr>
          <w:rFonts w:hint="eastAsia"/>
          <w:szCs w:val="32"/>
          <w:lang w:bidi="ar"/>
        </w:rPr>
        <w:t>”</w:t>
      </w:r>
      <w:r>
        <w:rPr>
          <w:rFonts w:hint="eastAsia" w:ascii="方正仿宋_GBK" w:hAnsi="方正仿宋_GBK" w:cs="方正仿宋_GBK"/>
          <w:szCs w:val="32"/>
          <w:lang w:bidi="ar"/>
        </w:rPr>
        <w:t>企业、</w:t>
      </w:r>
      <w:r>
        <w:rPr>
          <w:rFonts w:hint="eastAsia"/>
          <w:szCs w:val="32"/>
          <w:lang w:bidi="ar"/>
        </w:rPr>
        <w:t>“</w:t>
      </w:r>
      <w:r>
        <w:rPr>
          <w:rFonts w:hint="eastAsia" w:ascii="方正仿宋_GBK" w:hAnsi="方正仿宋_GBK" w:cs="方正仿宋_GBK"/>
          <w:szCs w:val="32"/>
          <w:lang w:bidi="ar"/>
        </w:rPr>
        <w:t>小巨人</w:t>
      </w:r>
      <w:r>
        <w:rPr>
          <w:rFonts w:hint="eastAsia"/>
          <w:szCs w:val="32"/>
          <w:lang w:bidi="ar"/>
        </w:rPr>
        <w:t>”</w:t>
      </w:r>
      <w:r>
        <w:rPr>
          <w:rFonts w:hint="eastAsia" w:ascii="方正仿宋_GBK" w:hAnsi="方正仿宋_GBK" w:cs="方正仿宋_GBK"/>
          <w:szCs w:val="32"/>
          <w:lang w:bidi="ar"/>
        </w:rPr>
        <w:t>企业、</w:t>
      </w:r>
      <w:r>
        <w:rPr>
          <w:rFonts w:hint="eastAsia"/>
          <w:szCs w:val="32"/>
          <w:lang w:bidi="ar"/>
        </w:rPr>
        <w:t>“</w:t>
      </w:r>
      <w:r>
        <w:rPr>
          <w:rFonts w:hint="eastAsia" w:ascii="方正仿宋_GBK" w:hAnsi="方正仿宋_GBK" w:cs="方正仿宋_GBK"/>
          <w:szCs w:val="32"/>
          <w:lang w:bidi="ar"/>
        </w:rPr>
        <w:t>专精特新</w:t>
      </w:r>
      <w:r>
        <w:rPr>
          <w:rFonts w:hint="eastAsia"/>
          <w:szCs w:val="32"/>
          <w:lang w:bidi="ar"/>
        </w:rPr>
        <w:t>”</w:t>
      </w:r>
      <w:r>
        <w:rPr>
          <w:rFonts w:hint="eastAsia" w:ascii="方正仿宋_GBK" w:hAnsi="方正仿宋_GBK" w:cs="方正仿宋_GBK"/>
          <w:szCs w:val="32"/>
          <w:lang w:bidi="ar"/>
        </w:rPr>
        <w:t>企业，或年度采购本地中小微企业配套产品采购结</w:t>
      </w:r>
      <w:r>
        <w:rPr>
          <w:rFonts w:ascii="Times New Roman" w:hAnsi="Times New Roman" w:cs="Times New Roman"/>
          <w:szCs w:val="32"/>
          <w:lang w:bidi="ar"/>
        </w:rPr>
        <w:t>算额累计在500万元以上的）通过专业分工、服务外包、订单生产、共享平台等形式，带动区内中小微企业进入产业链或配套体系的，按照不超过其采购本地</w:t>
      </w:r>
      <w:r>
        <w:rPr>
          <w:rFonts w:hint="eastAsia" w:ascii="方正仿宋_GBK" w:hAnsi="方正仿宋_GBK" w:cs="方正仿宋_GBK"/>
          <w:szCs w:val="32"/>
          <w:lang w:bidi="ar"/>
        </w:rPr>
        <w:t>中小微企业</w:t>
      </w:r>
      <w:r>
        <w:rPr>
          <w:rFonts w:ascii="Times New Roman" w:hAnsi="Times New Roman" w:cs="Times New Roman"/>
          <w:szCs w:val="32"/>
          <w:lang w:bidi="ar"/>
        </w:rPr>
        <w:t>配套产品新增采购结算额的0.5%给予补助，单户最高50万元。</w:t>
      </w:r>
    </w:p>
    <w:p>
      <w:pPr>
        <w:pStyle w:val="9"/>
        <w:autoSpaceDE w:val="0"/>
        <w:spacing w:before="0" w:beforeAutospacing="0" w:after="0" w:afterAutospacing="0" w:line="560" w:lineRule="exact"/>
        <w:ind w:firstLine="632"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（三）提升智能制造能力。</w:t>
      </w:r>
    </w:p>
    <w:p>
      <w:pPr>
        <w:autoSpaceDE w:val="0"/>
        <w:spacing w:line="560" w:lineRule="exact"/>
        <w:ind w:firstLine="632" w:firstLineChars="200"/>
        <w:rPr>
          <w:rFonts w:ascii="Times New Roman" w:hAnsi="Times New Roman" w:cs="Times New Roman"/>
          <w:szCs w:val="32"/>
        </w:rPr>
      </w:pPr>
      <w:r>
        <w:rPr>
          <w:szCs w:val="32"/>
          <w:lang w:bidi="ar"/>
        </w:rPr>
        <w:t>9</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支持企业数字</w:t>
      </w:r>
      <w:r>
        <w:rPr>
          <w:rFonts w:ascii="Times New Roman" w:hAnsi="Times New Roman" w:cs="Times New Roman"/>
          <w:szCs w:val="32"/>
          <w:lang w:bidi="ar"/>
        </w:rPr>
        <w:t>化装备普及。支持企业加快装备、生产线、车间和工厂向自动化数字化迈进。近两年，企业的设备和软件投资不低于100万元（含融资租赁项目），按设备投资（包括软件、硬件、网络、系统集成等采购费用）的10%给予补助，单个项目最高不超过50万元。</w:t>
      </w:r>
    </w:p>
    <w:p>
      <w:pPr>
        <w:autoSpaceDE w:val="0"/>
        <w:spacing w:line="560" w:lineRule="exact"/>
        <w:ind w:firstLine="632" w:firstLineChars="200"/>
        <w:rPr>
          <w:rFonts w:ascii="Times New Roman" w:hAnsi="Times New Roman" w:cs="Times New Roman"/>
          <w:szCs w:val="32"/>
        </w:rPr>
      </w:pPr>
      <w:r>
        <w:rPr>
          <w:szCs w:val="32"/>
          <w:lang w:bidi="ar"/>
        </w:rPr>
        <w:t>10</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支持企业</w:t>
      </w:r>
      <w:r>
        <w:rPr>
          <w:rFonts w:hint="eastAsia"/>
          <w:szCs w:val="32"/>
          <w:lang w:bidi="ar"/>
        </w:rPr>
        <w:t>“</w:t>
      </w:r>
      <w:r>
        <w:rPr>
          <w:rFonts w:hint="eastAsia" w:ascii="方正仿宋_GBK" w:hAnsi="方正仿宋_GBK" w:cs="方正仿宋_GBK"/>
          <w:szCs w:val="32"/>
          <w:lang w:bidi="ar"/>
        </w:rPr>
        <w:t>上云上平</w:t>
      </w:r>
      <w:r>
        <w:rPr>
          <w:rFonts w:ascii="Times New Roman" w:hAnsi="Times New Roman" w:cs="Times New Roman"/>
          <w:szCs w:val="32"/>
          <w:lang w:bidi="ar"/>
        </w:rPr>
        <w:t>台”。对企业运用私有云、混合云等自建平台上云，将信息管理系统部署在云端，连接用户、企业、设备（产品），按照不超过当年投入的10%给予补助，单户企业当年最高20万元。对使用第三方平台提供的云基础设施、软件、应用、服务等上云，按照不超过当年投入的10%给予企业补助，单户企业当年最高10万元。对通过互联网开设旗舰店且年销售额达到500万元以上的规上企业，给予不超过5万元一次性补助，多平台开设旗舰店的只补助一次。</w:t>
      </w:r>
    </w:p>
    <w:p>
      <w:pPr>
        <w:autoSpaceDE w:val="0"/>
        <w:spacing w:line="560" w:lineRule="exact"/>
        <w:ind w:firstLine="632" w:firstLineChars="200"/>
        <w:rPr>
          <w:rFonts w:ascii="Times New Roman" w:hAnsi="Times New Roman" w:cs="Times New Roman"/>
          <w:szCs w:val="32"/>
        </w:rPr>
      </w:pPr>
      <w:r>
        <w:rPr>
          <w:szCs w:val="32"/>
          <w:lang w:bidi="ar"/>
        </w:rPr>
        <w:t>11</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支持智能工</w:t>
      </w:r>
      <w:r>
        <w:rPr>
          <w:rFonts w:ascii="Times New Roman" w:hAnsi="Times New Roman" w:cs="Times New Roman"/>
          <w:szCs w:val="32"/>
          <w:lang w:bidi="ar"/>
        </w:rPr>
        <w:t>厂和数字化车间建设。对认定为市级数字化车间的企业给予不超过20万元一次性奖励，对认定为市级智能工厂的企业给予不超过50万元一次性奖励。</w:t>
      </w:r>
    </w:p>
    <w:p>
      <w:pPr>
        <w:autoSpaceDE w:val="0"/>
        <w:spacing w:line="560" w:lineRule="exact"/>
        <w:ind w:firstLine="632" w:firstLineChars="200"/>
        <w:rPr>
          <w:szCs w:val="32"/>
        </w:rPr>
      </w:pPr>
      <w:r>
        <w:rPr>
          <w:szCs w:val="32"/>
          <w:lang w:bidi="ar"/>
        </w:rPr>
        <w:t>12</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支持工业互联网建设。对入选市级智能化（试点）示范的项目，给予创新示范智能</w:t>
      </w:r>
      <w:r>
        <w:rPr>
          <w:rFonts w:ascii="Times New Roman" w:hAnsi="Times New Roman" w:cs="Times New Roman"/>
          <w:szCs w:val="32"/>
          <w:lang w:bidi="ar"/>
        </w:rPr>
        <w:t>工厂最高100万元的一次性奖励，网络化改造集成创新应用、工业互联网新模式应用、服务型制造、工业信息安全集成创新应用、5G和物联网集成创新应用、“5G+工业互联网”创新应用场景建设等其他项目给予最高50万元的一次性奖励。支持建设工业互联网标识解析体系、工业互联网平台，国家级、市级项目奖励金额最高分别为100万元、50万元一次性奖励。对首次通过国家两化融合管理体系标准评定（以国家评定机构认定证书为准）的企业，给予最高20万元一次性奖励。</w:t>
      </w:r>
    </w:p>
    <w:p>
      <w:pPr>
        <w:pStyle w:val="9"/>
        <w:autoSpaceDE w:val="0"/>
        <w:spacing w:before="0" w:beforeAutospacing="0" w:after="0" w:afterAutospacing="0" w:line="560" w:lineRule="exact"/>
        <w:ind w:firstLine="632"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（四）提升绿色发展水平。</w:t>
      </w:r>
    </w:p>
    <w:p>
      <w:pPr>
        <w:pStyle w:val="9"/>
        <w:autoSpaceDE w:val="0"/>
        <w:spacing w:before="0" w:beforeAutospacing="0" w:after="0" w:afterAutospacing="0" w:line="560" w:lineRule="exact"/>
        <w:ind w:firstLine="632" w:firstLineChars="200"/>
        <w:rPr>
          <w:rFonts w:ascii="Times New Roman" w:hAnsi="Times New Roman"/>
          <w:sz w:val="32"/>
          <w:szCs w:val="32"/>
        </w:rPr>
      </w:pPr>
      <w:r>
        <w:rPr>
          <w:rFonts w:ascii="Times New Roman" w:hAnsi="Times New Roman"/>
          <w:sz w:val="32"/>
          <w:szCs w:val="32"/>
          <w:lang w:bidi="ar"/>
        </w:rPr>
        <w:t>13</w:t>
      </w:r>
      <w:r>
        <w:rPr>
          <w:rFonts w:hint="eastAsia" w:ascii="方正仿宋_GBK"/>
          <w:szCs w:val="32"/>
          <w:shd w:val="clear" w:color="auto" w:fill="FFFFFF"/>
          <w:lang w:bidi="ar"/>
        </w:rPr>
        <w:t>．</w:t>
      </w:r>
      <w:r>
        <w:rPr>
          <w:rFonts w:hint="eastAsia" w:ascii="方正仿宋_GBK" w:hAnsi="方正仿宋_GBK" w:cs="方正仿宋_GBK"/>
          <w:sz w:val="32"/>
          <w:szCs w:val="32"/>
          <w:lang w:bidi="ar"/>
        </w:rPr>
        <w:t>构建绿色发展示范体系。对纳入国家、市绿色制造系统集成项目、清洁生产技术改造示范项</w:t>
      </w:r>
      <w:r>
        <w:rPr>
          <w:rFonts w:ascii="Times New Roman" w:hAnsi="Times New Roman"/>
          <w:sz w:val="32"/>
          <w:szCs w:val="32"/>
          <w:lang w:bidi="ar"/>
        </w:rPr>
        <w:t>目的，分别给予最高30万元、10万元的一次性奖励。经认定的国家级绿色产品、绿色工厂、绿色园区、绿色供应链分别给予最高10万元、20万元、30万元、30万元的一次性奖励，市级绿色工厂、绿色园区分别给予最高10万元、20万元的一次性奖励，能效领跑者、水效领跑者、节水型企业按照国家级、市级、区级分别给予最高20万元、10万元、5万元的一次性奖励。</w:t>
      </w:r>
    </w:p>
    <w:p>
      <w:pPr>
        <w:pStyle w:val="9"/>
        <w:autoSpaceDE w:val="0"/>
        <w:spacing w:before="0" w:beforeAutospacing="0" w:after="0" w:afterAutospacing="0" w:line="560" w:lineRule="exact"/>
        <w:ind w:firstLine="632" w:firstLineChars="200"/>
        <w:rPr>
          <w:rFonts w:ascii="Times New Roman" w:hAnsi="Times New Roman"/>
          <w:sz w:val="32"/>
          <w:szCs w:val="32"/>
        </w:rPr>
      </w:pPr>
      <w:r>
        <w:rPr>
          <w:rFonts w:ascii="Times New Roman" w:hAnsi="Times New Roman"/>
          <w:sz w:val="32"/>
          <w:szCs w:val="32"/>
          <w:lang w:bidi="ar"/>
        </w:rPr>
        <w:t>14</w:t>
      </w:r>
      <w:r>
        <w:rPr>
          <w:rFonts w:hint="eastAsia" w:ascii="方正仿宋_GBK"/>
          <w:szCs w:val="32"/>
          <w:shd w:val="clear" w:color="auto" w:fill="FFFFFF"/>
          <w:lang w:bidi="ar"/>
        </w:rPr>
        <w:t>．</w:t>
      </w:r>
      <w:r>
        <w:rPr>
          <w:rFonts w:hint="eastAsia" w:ascii="方正仿宋_GBK" w:hAnsi="方正仿宋_GBK" w:cs="方正仿宋_GBK"/>
          <w:sz w:val="32"/>
          <w:szCs w:val="32"/>
          <w:lang w:bidi="ar"/>
        </w:rPr>
        <w:t>支持企业绿色改造。工业企业参照《重庆市重点节能技术和设备推广目录》《重庆市工业节水技术推广目录》《重庆市清洁生产技术推广目录》《绿色</w:t>
      </w:r>
      <w:r>
        <w:rPr>
          <w:rFonts w:ascii="Times New Roman" w:hAnsi="Times New Roman"/>
          <w:sz w:val="32"/>
          <w:szCs w:val="32"/>
          <w:lang w:bidi="ar"/>
        </w:rPr>
        <w:t>产业指导目录》等目录实施节能减排改造、节水改造、清洁化改造、工业固废综合利用技术产业化，按照设备投资额给予不超过10%补助，单户企业每年最高30万元。</w:t>
      </w:r>
    </w:p>
    <w:p>
      <w:pPr>
        <w:autoSpaceDE w:val="0"/>
        <w:spacing w:line="560" w:lineRule="exact"/>
        <w:ind w:firstLine="632" w:firstLineChars="200"/>
        <w:rPr>
          <w:rFonts w:eastAsia="方正楷体_GBK"/>
          <w:szCs w:val="32"/>
          <w:shd w:val="clear" w:color="auto" w:fill="FFFFFF"/>
        </w:rPr>
      </w:pPr>
      <w:r>
        <w:rPr>
          <w:rFonts w:hint="eastAsia" w:ascii="方正楷体_GBK" w:hAnsi="方正楷体_GBK" w:eastAsia="方正楷体_GBK" w:cs="方正楷体_GBK"/>
          <w:szCs w:val="32"/>
          <w:shd w:val="clear" w:color="auto" w:fill="FFFFFF"/>
          <w:lang w:bidi="ar"/>
        </w:rPr>
        <w:t>（五）补齐产业发展短板。</w:t>
      </w:r>
    </w:p>
    <w:p>
      <w:pPr>
        <w:autoSpaceDE w:val="0"/>
        <w:spacing w:line="560" w:lineRule="exact"/>
        <w:ind w:firstLine="632" w:firstLineChars="200"/>
        <w:rPr>
          <w:szCs w:val="32"/>
        </w:rPr>
      </w:pPr>
      <w:r>
        <w:rPr>
          <w:kern w:val="0"/>
          <w:szCs w:val="32"/>
          <w:lang w:bidi="ar"/>
        </w:rPr>
        <w:t>15</w:t>
      </w:r>
      <w:r>
        <w:rPr>
          <w:rFonts w:hint="eastAsia" w:ascii="方正仿宋_GBK"/>
          <w:kern w:val="0"/>
          <w:szCs w:val="32"/>
          <w:shd w:val="clear" w:color="auto" w:fill="FFFFFF"/>
          <w:lang w:bidi="ar"/>
        </w:rPr>
        <w:t>．</w:t>
      </w:r>
      <w:r>
        <w:rPr>
          <w:rFonts w:hint="eastAsia" w:ascii="方正仿宋_GBK" w:hAnsi="方正仿宋_GBK" w:cs="方正仿宋_GBK"/>
          <w:kern w:val="0"/>
          <w:szCs w:val="32"/>
          <w:lang w:bidi="ar"/>
        </w:rPr>
        <w:t>******</w:t>
      </w:r>
      <w:r>
        <w:rPr>
          <w:rFonts w:hint="eastAsia" w:ascii="方正仿宋_GBK" w:hAnsi="方正仿宋_GBK" w:cs="方正仿宋_GBK"/>
          <w:szCs w:val="32"/>
          <w:lang w:bidi="ar"/>
        </w:rPr>
        <w:t>。</w:t>
      </w:r>
    </w:p>
    <w:p>
      <w:pPr>
        <w:autoSpaceDE w:val="0"/>
        <w:spacing w:line="560" w:lineRule="exact"/>
        <w:ind w:firstLine="632" w:firstLineChars="200"/>
        <w:rPr>
          <w:rFonts w:ascii="Times New Roman" w:hAnsi="Times New Roman" w:cs="Times New Roman"/>
          <w:kern w:val="0"/>
          <w:szCs w:val="32"/>
        </w:rPr>
      </w:pPr>
      <w:r>
        <w:rPr>
          <w:kern w:val="0"/>
          <w:szCs w:val="32"/>
          <w:lang w:bidi="ar"/>
        </w:rPr>
        <w:t>16</w:t>
      </w:r>
      <w:r>
        <w:rPr>
          <w:rFonts w:hint="eastAsia" w:ascii="方正仿宋_GBK"/>
          <w:kern w:val="0"/>
          <w:szCs w:val="32"/>
          <w:shd w:val="clear" w:color="auto" w:fill="FFFFFF"/>
          <w:lang w:bidi="ar"/>
        </w:rPr>
        <w:t>．</w:t>
      </w:r>
      <w:r>
        <w:rPr>
          <w:rFonts w:hint="eastAsia" w:ascii="方正仿宋_GBK" w:hAnsi="方正仿宋_GBK" w:cs="方正仿宋_GBK"/>
          <w:kern w:val="0"/>
          <w:szCs w:val="32"/>
          <w:lang w:bidi="ar"/>
        </w:rPr>
        <w:t>支持传统产业实施精品制造。鼓励规模以上轻工、纺织服装、食品工业企业增品种、提品质。对已列入重庆市技术创新指导性项目推荐</w:t>
      </w:r>
      <w:r>
        <w:rPr>
          <w:rFonts w:ascii="Times New Roman" w:hAnsi="Times New Roman" w:cs="Times New Roman"/>
          <w:kern w:val="0"/>
          <w:szCs w:val="32"/>
          <w:lang w:bidi="ar"/>
        </w:rPr>
        <w:t>目录的新产品，产品首次上市当年销售收入超过500万元的，给予不超过10万元奖励，对超过500万元的部分，按不超过5%的比例给予奖励，当年单户企业最高50万元。对已进入世界500强企业、中国500强企业采购供应体系，且年度订单交货金额超过500万元的，给予不超过5万元奖励，对超过500万元的部分，按不超过0.5%的比例给予奖励，当年单户企业最高50万元。</w:t>
      </w:r>
    </w:p>
    <w:p>
      <w:pPr>
        <w:pStyle w:val="9"/>
        <w:autoSpaceDE w:val="0"/>
        <w:spacing w:before="0" w:beforeAutospacing="0" w:after="0" w:afterAutospacing="0" w:line="560" w:lineRule="exact"/>
        <w:ind w:firstLine="632" w:firstLineChars="200"/>
        <w:rPr>
          <w:rFonts w:ascii="Times New Roman" w:hAnsi="Times New Roman"/>
          <w:kern w:val="2"/>
          <w:sz w:val="32"/>
          <w:szCs w:val="32"/>
        </w:rPr>
      </w:pPr>
      <w:r>
        <w:rPr>
          <w:rFonts w:ascii="Times New Roman" w:hAnsi="Times New Roman"/>
          <w:kern w:val="2"/>
          <w:sz w:val="32"/>
          <w:szCs w:val="32"/>
          <w:lang w:bidi="ar"/>
        </w:rPr>
        <w:t>17</w:t>
      </w:r>
      <w:r>
        <w:rPr>
          <w:rFonts w:hint="eastAsia" w:ascii="方正仿宋_GBK"/>
          <w:szCs w:val="32"/>
          <w:shd w:val="clear" w:color="auto" w:fill="FFFFFF"/>
          <w:lang w:bidi="ar"/>
        </w:rPr>
        <w:t>．</w:t>
      </w:r>
      <w:r>
        <w:rPr>
          <w:rFonts w:hint="eastAsia" w:ascii="方正仿宋_GBK" w:hAnsi="方正仿宋_GBK" w:cs="方正仿宋_GBK"/>
          <w:kern w:val="2"/>
          <w:sz w:val="32"/>
          <w:szCs w:val="32"/>
          <w:lang w:bidi="ar"/>
        </w:rPr>
        <w:t>支持生产性服务业发展。对经区工业主管部门确认同意，参加工业设计大赛获得国际和</w:t>
      </w:r>
      <w:r>
        <w:rPr>
          <w:rFonts w:ascii="Times New Roman" w:hAnsi="Times New Roman"/>
          <w:kern w:val="2"/>
          <w:sz w:val="32"/>
          <w:szCs w:val="32"/>
          <w:lang w:bidi="ar"/>
        </w:rPr>
        <w:t>全国知名设计大奖的企业或个人，获得一等奖（金奖）分别给予不超过50万/个、30万/个的奖励，二等奖（银奖）的分别给予不超过30万/个、20万/个奖励，三等奖（铜奖）的分别给予不超过20万/个、10万/个奖励。</w:t>
      </w:r>
    </w:p>
    <w:p>
      <w:pPr>
        <w:autoSpaceDE w:val="0"/>
        <w:spacing w:line="560" w:lineRule="exact"/>
        <w:ind w:firstLine="632" w:firstLineChars="200"/>
        <w:rPr>
          <w:rFonts w:ascii="Times New Roman" w:hAnsi="Times New Roman" w:cs="Times New Roman"/>
          <w:szCs w:val="32"/>
        </w:rPr>
      </w:pPr>
      <w:r>
        <w:rPr>
          <w:kern w:val="0"/>
          <w:szCs w:val="32"/>
          <w:lang w:bidi="ar"/>
        </w:rPr>
        <w:t>18</w:t>
      </w:r>
      <w:r>
        <w:rPr>
          <w:rFonts w:hint="eastAsia" w:ascii="方正仿宋_GBK"/>
          <w:kern w:val="0"/>
          <w:szCs w:val="32"/>
          <w:shd w:val="clear" w:color="auto" w:fill="FFFFFF"/>
          <w:lang w:bidi="ar"/>
        </w:rPr>
        <w:t>．</w:t>
      </w:r>
      <w:r>
        <w:rPr>
          <w:rFonts w:hint="eastAsia" w:ascii="方正仿宋_GBK" w:hAnsi="方正仿宋_GBK" w:cs="方正仿宋_GBK"/>
          <w:kern w:val="0"/>
          <w:szCs w:val="32"/>
          <w:lang w:bidi="ar"/>
        </w:rPr>
        <w:t>支持企业降低用能成本。鼓励企业提升能源利用效率，</w:t>
      </w:r>
      <w:r>
        <w:rPr>
          <w:rFonts w:hint="eastAsia" w:ascii="方正仿宋_GBK" w:hAnsi="方正仿宋_GBK" w:cs="方正仿宋_GBK"/>
          <w:szCs w:val="32"/>
          <w:lang w:bidi="ar"/>
        </w:rPr>
        <w:t>经市级及以上认定的双百企业、制造业单项冠军、隐形冠军、能效</w:t>
      </w:r>
      <w:r>
        <w:rPr>
          <w:rFonts w:hint="eastAsia"/>
          <w:szCs w:val="32"/>
          <w:lang w:bidi="ar"/>
        </w:rPr>
        <w:t>“</w:t>
      </w:r>
      <w:r>
        <w:rPr>
          <w:rFonts w:hint="eastAsia" w:ascii="方正仿宋_GBK" w:hAnsi="方正仿宋_GBK" w:cs="方正仿宋_GBK"/>
          <w:szCs w:val="32"/>
          <w:lang w:bidi="ar"/>
        </w:rPr>
        <w:t>领跑者</w:t>
      </w:r>
      <w:r>
        <w:rPr>
          <w:rFonts w:hint="eastAsia"/>
          <w:szCs w:val="32"/>
          <w:lang w:bidi="ar"/>
        </w:rPr>
        <w:t>”</w:t>
      </w:r>
      <w:r>
        <w:rPr>
          <w:rFonts w:hint="eastAsia" w:ascii="方正仿宋_GBK" w:hAnsi="方正仿宋_GBK" w:cs="方正仿宋_GBK"/>
          <w:szCs w:val="32"/>
          <w:lang w:bidi="ar"/>
        </w:rPr>
        <w:t>、绿色工厂等</w:t>
      </w:r>
      <w:r>
        <w:rPr>
          <w:rFonts w:ascii="Times New Roman" w:hAnsi="Times New Roman" w:cs="Times New Roman"/>
          <w:szCs w:val="32"/>
          <w:lang w:bidi="ar"/>
        </w:rPr>
        <w:t>制造业企业（当年已获得市级电力补助的企业除外），单位地区生产总值能源消耗降低率达到区级目标值及以上的，对其综合到户电价超过0.6元/千瓦时的部分给予补助，补助标准不超过0.1元/千万瓦时，单户企业最高不超过15万元。</w:t>
      </w:r>
    </w:p>
    <w:p>
      <w:pPr>
        <w:autoSpaceDE w:val="0"/>
        <w:spacing w:line="560" w:lineRule="exact"/>
        <w:ind w:firstLine="632" w:firstLineChars="200"/>
        <w:rPr>
          <w:rFonts w:ascii="Times New Roman" w:hAnsi="Times New Roman" w:cs="Times New Roman"/>
          <w:szCs w:val="32"/>
        </w:rPr>
      </w:pPr>
      <w:r>
        <w:rPr>
          <w:kern w:val="0"/>
          <w:szCs w:val="32"/>
          <w:lang w:bidi="ar"/>
        </w:rPr>
        <w:t>19</w:t>
      </w:r>
      <w:r>
        <w:rPr>
          <w:rFonts w:hint="eastAsia" w:ascii="方正仿宋_GBK"/>
          <w:kern w:val="0"/>
          <w:szCs w:val="32"/>
          <w:shd w:val="clear" w:color="auto" w:fill="FFFFFF"/>
          <w:lang w:bidi="ar"/>
        </w:rPr>
        <w:t>．</w:t>
      </w:r>
      <w:r>
        <w:rPr>
          <w:rFonts w:hint="eastAsia" w:ascii="方正仿宋_GBK" w:hAnsi="方正仿宋_GBK" w:cs="方正仿宋_GBK"/>
          <w:kern w:val="0"/>
          <w:szCs w:val="32"/>
          <w:lang w:bidi="ar"/>
        </w:rPr>
        <w:t>支持人才培养。鼓励规上企业高级管理人员（副总及以上，下同）参</w:t>
      </w:r>
      <w:r>
        <w:rPr>
          <w:rFonts w:ascii="Times New Roman" w:hAnsi="Times New Roman" w:cs="Times New Roman"/>
          <w:kern w:val="0"/>
          <w:szCs w:val="32"/>
          <w:lang w:bidi="ar"/>
        </w:rPr>
        <w:t>加国内外知名大学培训，按照不超过学习培训费的50%给予补助，当年单户最高10万元。当年对荣昌区的地方经济贡献达300万元以上且比上年增长10%以上的工业企业，其高级管理人员对荣昌区的地方经济贡献，按不超过100%比例奖励给个人。鼓励区级以上工艺美术（大）师参加高层次的专业学习培训，按照不超过培训费的50%给予补助，当年区级、市级以上工艺美术师分别每人最高不超过2万元、5万元。鼓励企业与院校通过共建实训基地、二级学院，新开设特色专业等方式开展合作，对项目建设地在荣昌区内的，按照不超过项目投资（包括设备购置、人员培训、基地建设）的20%给予补助，单个项目最高50万元；对企业通过校企合作订单式培养新增就业人员，签订正式劳动合同并连续工作6个月以上（以缴纳社保为依据）的，按照不超过500元/人给予企业一次性补助。</w:t>
      </w:r>
    </w:p>
    <w:p>
      <w:pPr>
        <w:autoSpaceDE w:val="0"/>
        <w:spacing w:line="560" w:lineRule="exact"/>
        <w:ind w:firstLine="632" w:firstLineChars="200"/>
        <w:rPr>
          <w:rFonts w:ascii="Times New Roman" w:hAnsi="Times New Roman" w:cs="Times New Roman"/>
          <w:szCs w:val="32"/>
        </w:rPr>
      </w:pPr>
      <w:r>
        <w:rPr>
          <w:kern w:val="0"/>
          <w:szCs w:val="32"/>
          <w:lang w:bidi="ar"/>
        </w:rPr>
        <w:t>20</w:t>
      </w:r>
      <w:r>
        <w:rPr>
          <w:rFonts w:hint="eastAsia" w:ascii="方正仿宋_GBK"/>
          <w:kern w:val="0"/>
          <w:szCs w:val="32"/>
          <w:shd w:val="clear" w:color="auto" w:fill="FFFFFF"/>
          <w:lang w:bidi="ar"/>
        </w:rPr>
        <w:t>．</w:t>
      </w:r>
      <w:r>
        <w:rPr>
          <w:rFonts w:hint="eastAsia" w:ascii="方正仿宋_GBK" w:hAnsi="方正仿宋_GBK" w:cs="方正仿宋_GBK"/>
          <w:kern w:val="0"/>
          <w:szCs w:val="32"/>
          <w:lang w:bidi="ar"/>
        </w:rPr>
        <w:t>支持公共服务平台建设。对首次评定为国家级、市级中小企业公共服务示范平台的，</w:t>
      </w:r>
      <w:r>
        <w:rPr>
          <w:rFonts w:ascii="Times New Roman" w:hAnsi="Times New Roman" w:cs="Times New Roman"/>
          <w:kern w:val="0"/>
          <w:szCs w:val="32"/>
          <w:lang w:bidi="ar"/>
        </w:rPr>
        <w:t>分别给予公共服务平台不超过30万元、10万元一次性奖励。鼓励区级以上公共服务平台为区内工业企业提供信息、技术、创业、融资等优质服务，按当年服务支出费用给予不超过10%补助，单户当年</w:t>
      </w:r>
      <w:r>
        <w:rPr>
          <w:rFonts w:ascii="Times New Roman" w:hAnsi="Times New Roman" w:cs="Times New Roman"/>
          <w:szCs w:val="32"/>
          <w:lang w:bidi="ar"/>
        </w:rPr>
        <w:t>最高50万元。</w:t>
      </w:r>
    </w:p>
    <w:p>
      <w:pPr>
        <w:autoSpaceDE w:val="0"/>
        <w:spacing w:line="560" w:lineRule="exact"/>
        <w:ind w:firstLine="632" w:firstLineChars="200"/>
        <w:rPr>
          <w:rFonts w:eastAsia="方正黑体_GBK"/>
          <w:szCs w:val="32"/>
        </w:rPr>
      </w:pPr>
      <w:r>
        <w:rPr>
          <w:kern w:val="0"/>
          <w:szCs w:val="32"/>
          <w:lang w:bidi="ar"/>
        </w:rPr>
        <w:t>21</w:t>
      </w:r>
      <w:r>
        <w:rPr>
          <w:rFonts w:hint="eastAsia" w:ascii="方正仿宋_GBK"/>
          <w:kern w:val="0"/>
          <w:szCs w:val="32"/>
          <w:shd w:val="clear" w:color="auto" w:fill="FFFFFF"/>
          <w:lang w:bidi="ar"/>
        </w:rPr>
        <w:t>．</w:t>
      </w:r>
      <w:r>
        <w:rPr>
          <w:rFonts w:hint="eastAsia" w:ascii="方正仿宋_GBK" w:hAnsi="方正仿宋_GBK" w:cs="方正仿宋_GBK"/>
          <w:kern w:val="0"/>
          <w:szCs w:val="32"/>
          <w:lang w:bidi="ar"/>
        </w:rPr>
        <w:t>兑现重点政策。</w:t>
      </w:r>
      <w:r>
        <w:rPr>
          <w:rFonts w:hint="eastAsia" w:ascii="方正仿宋_GBK" w:hAnsi="方正仿宋_GBK" w:cs="方正仿宋_GBK"/>
          <w:szCs w:val="32"/>
          <w:lang w:bidi="ar"/>
        </w:rPr>
        <w:t>支持工业和信息化领域的重点专项及区委、区政府交办的其他事项。</w:t>
      </w:r>
    </w:p>
    <w:p>
      <w:pPr>
        <w:autoSpaceDE w:val="0"/>
        <w:spacing w:line="560" w:lineRule="exact"/>
        <w:ind w:firstLine="632" w:firstLineChars="200"/>
        <w:rPr>
          <w:rFonts w:eastAsia="方正黑体_GBK"/>
          <w:szCs w:val="32"/>
        </w:rPr>
      </w:pPr>
      <w:r>
        <w:rPr>
          <w:rFonts w:hint="eastAsia" w:ascii="方正黑体_GBK" w:hAnsi="方正黑体_GBK" w:eastAsia="方正黑体_GBK" w:cs="方正黑体_GBK"/>
          <w:szCs w:val="32"/>
          <w:lang w:bidi="ar"/>
        </w:rPr>
        <w:t>三、申报资料及程序</w:t>
      </w:r>
    </w:p>
    <w:p>
      <w:pPr>
        <w:autoSpaceDE w:val="0"/>
        <w:spacing w:line="560" w:lineRule="exact"/>
        <w:ind w:firstLine="632" w:firstLineChars="200"/>
        <w:rPr>
          <w:rFonts w:eastAsia="方正楷体_GBK"/>
          <w:kern w:val="0"/>
          <w:szCs w:val="32"/>
          <w:shd w:val="clear" w:color="auto" w:fill="FFFFFF"/>
        </w:rPr>
      </w:pPr>
      <w:r>
        <w:rPr>
          <w:rFonts w:hint="eastAsia" w:ascii="方正楷体_GBK" w:hAnsi="方正楷体_GBK" w:eastAsia="方正楷体_GBK" w:cs="方正楷体_GBK"/>
          <w:kern w:val="0"/>
          <w:szCs w:val="32"/>
          <w:shd w:val="clear" w:color="auto" w:fill="FFFFFF"/>
          <w:lang w:bidi="ar"/>
        </w:rPr>
        <w:t>（一）申报资料。</w:t>
      </w:r>
    </w:p>
    <w:p>
      <w:pPr>
        <w:autoSpaceDE w:val="0"/>
        <w:spacing w:line="560" w:lineRule="exact"/>
        <w:ind w:firstLine="632" w:firstLineChars="200"/>
        <w:rPr>
          <w:szCs w:val="32"/>
        </w:rPr>
      </w:pPr>
      <w:r>
        <w:rPr>
          <w:szCs w:val="32"/>
          <w:lang w:bidi="ar"/>
        </w:rPr>
        <w:t>1</w:t>
      </w:r>
      <w:r>
        <w:rPr>
          <w:rFonts w:hint="eastAsia" w:ascii="方正仿宋_GBK"/>
          <w:kern w:val="0"/>
          <w:szCs w:val="32"/>
          <w:shd w:val="clear" w:color="auto" w:fill="FFFFFF"/>
          <w:lang w:bidi="ar"/>
        </w:rPr>
        <w:t>．</w:t>
      </w:r>
      <w:r>
        <w:rPr>
          <w:rFonts w:hint="eastAsia" w:ascii="方正仿宋_GBK" w:hAnsi="方正仿宋_GBK" w:cs="方正仿宋_GBK"/>
          <w:szCs w:val="32"/>
          <w:lang w:bidi="ar"/>
        </w:rPr>
        <w:t>专项资金申报表（见附件）。</w:t>
      </w:r>
    </w:p>
    <w:p>
      <w:pPr>
        <w:autoSpaceDE w:val="0"/>
        <w:spacing w:line="560" w:lineRule="exact"/>
        <w:ind w:firstLine="632" w:firstLineChars="200"/>
        <w:rPr>
          <w:szCs w:val="32"/>
        </w:rPr>
      </w:pPr>
      <w:r>
        <w:rPr>
          <w:szCs w:val="32"/>
          <w:lang w:bidi="ar"/>
        </w:rPr>
        <w:t>2</w:t>
      </w:r>
      <w:r>
        <w:rPr>
          <w:rFonts w:hint="eastAsia" w:ascii="方正仿宋_GBK"/>
          <w:kern w:val="0"/>
          <w:szCs w:val="32"/>
          <w:shd w:val="clear" w:color="auto" w:fill="FFFFFF"/>
          <w:lang w:bidi="ar"/>
        </w:rPr>
        <w:t>．</w:t>
      </w:r>
      <w:r>
        <w:rPr>
          <w:rFonts w:hint="eastAsia" w:ascii="方正仿宋_GBK" w:hAnsi="方正仿宋_GBK" w:cs="方正仿宋_GBK"/>
          <w:szCs w:val="32"/>
          <w:lang w:bidi="ar"/>
        </w:rPr>
        <w:t>企业营业执照副本、银行开户许可证、法人代表身份证的复印件和上年度文书式完税证明。</w:t>
      </w:r>
    </w:p>
    <w:p>
      <w:pPr>
        <w:autoSpaceDE w:val="0"/>
        <w:spacing w:line="560" w:lineRule="exact"/>
        <w:ind w:firstLine="632" w:firstLineChars="200"/>
        <w:rPr>
          <w:szCs w:val="32"/>
        </w:rPr>
      </w:pPr>
      <w:r>
        <w:rPr>
          <w:szCs w:val="32"/>
          <w:lang w:bidi="ar"/>
        </w:rPr>
        <w:t>3</w:t>
      </w:r>
      <w:r>
        <w:rPr>
          <w:rFonts w:hint="eastAsia" w:ascii="方正仿宋_GBK"/>
          <w:kern w:val="0"/>
          <w:szCs w:val="32"/>
          <w:shd w:val="clear" w:color="auto" w:fill="FFFFFF"/>
          <w:lang w:bidi="ar"/>
        </w:rPr>
        <w:t>．</w:t>
      </w:r>
      <w:r>
        <w:rPr>
          <w:rFonts w:hint="eastAsia" w:ascii="方正仿宋_GBK" w:hAnsi="方正仿宋_GBK" w:cs="方正仿宋_GBK"/>
          <w:szCs w:val="32"/>
          <w:lang w:bidi="ar"/>
        </w:rPr>
        <w:t>企业基本情况（包括企业成立时间、所在地、生产规模，当年及上年生产经营情况、销售市场情况等）。</w:t>
      </w:r>
    </w:p>
    <w:p>
      <w:pPr>
        <w:autoSpaceDE w:val="0"/>
        <w:spacing w:line="560" w:lineRule="exact"/>
        <w:ind w:firstLine="632" w:firstLineChars="200"/>
        <w:rPr>
          <w:szCs w:val="32"/>
        </w:rPr>
      </w:pPr>
      <w:r>
        <w:rPr>
          <w:szCs w:val="32"/>
          <w:lang w:bidi="ar"/>
        </w:rPr>
        <w:t>4</w:t>
      </w:r>
      <w:r>
        <w:rPr>
          <w:rFonts w:hint="eastAsia" w:ascii="方正仿宋_GBK"/>
          <w:kern w:val="0"/>
          <w:szCs w:val="32"/>
          <w:shd w:val="clear" w:color="auto" w:fill="FFFFFF"/>
          <w:lang w:bidi="ar"/>
        </w:rPr>
        <w:t>．</w:t>
      </w:r>
      <w:r>
        <w:rPr>
          <w:rFonts w:hint="eastAsia" w:ascii="方正仿宋_GBK" w:hAnsi="方正仿宋_GBK" w:cs="方正仿宋_GBK"/>
          <w:szCs w:val="32"/>
          <w:lang w:bidi="ar"/>
        </w:rPr>
        <w:t>企业提供申报项目对应的申报资料：对获得相关认定奖励补助类项目，企业须提供相应认定文件复印件；对支出类项目须提供项目对应的合同、发票、会计凭证及相应付款凭证。</w:t>
      </w:r>
    </w:p>
    <w:p>
      <w:pPr>
        <w:autoSpaceDE w:val="0"/>
        <w:spacing w:line="560" w:lineRule="exact"/>
        <w:ind w:firstLine="632" w:firstLineChars="200"/>
        <w:rPr>
          <w:szCs w:val="32"/>
        </w:rPr>
      </w:pPr>
      <w:r>
        <w:rPr>
          <w:szCs w:val="32"/>
          <w:lang w:bidi="ar"/>
        </w:rPr>
        <w:t>5</w:t>
      </w:r>
      <w:r>
        <w:rPr>
          <w:rFonts w:hint="eastAsia" w:ascii="方正仿宋_GBK"/>
          <w:kern w:val="0"/>
          <w:szCs w:val="32"/>
          <w:shd w:val="clear" w:color="auto" w:fill="FFFFFF"/>
          <w:lang w:bidi="ar"/>
        </w:rPr>
        <w:t>．</w:t>
      </w:r>
      <w:r>
        <w:rPr>
          <w:rFonts w:hint="eastAsia" w:ascii="方正仿宋_GBK" w:hAnsi="方正仿宋_GBK" w:cs="方正仿宋_GBK"/>
          <w:szCs w:val="32"/>
          <w:lang w:bidi="ar"/>
        </w:rPr>
        <w:t>申报项目未享受财政资金补助及资料的真实性承诺书。</w:t>
      </w:r>
    </w:p>
    <w:p>
      <w:pPr>
        <w:autoSpaceDE w:val="0"/>
        <w:spacing w:line="560" w:lineRule="exact"/>
        <w:ind w:firstLine="632" w:firstLineChars="200"/>
        <w:rPr>
          <w:szCs w:val="32"/>
        </w:rPr>
      </w:pPr>
      <w:r>
        <w:rPr>
          <w:szCs w:val="32"/>
          <w:lang w:bidi="ar"/>
        </w:rPr>
        <w:t>6</w:t>
      </w:r>
      <w:r>
        <w:rPr>
          <w:rFonts w:hint="eastAsia" w:ascii="方正仿宋_GBK"/>
          <w:kern w:val="0"/>
          <w:szCs w:val="32"/>
          <w:shd w:val="clear" w:color="auto" w:fill="FFFFFF"/>
          <w:lang w:bidi="ar"/>
        </w:rPr>
        <w:t>．</w:t>
      </w:r>
      <w:r>
        <w:rPr>
          <w:rFonts w:hint="eastAsia" w:ascii="方正仿宋_GBK" w:hAnsi="方正仿宋_GBK" w:cs="方正仿宋_GBK"/>
          <w:szCs w:val="32"/>
          <w:lang w:bidi="ar"/>
        </w:rPr>
        <w:t>企业认为有必要提供的其他证明材料。</w:t>
      </w:r>
    </w:p>
    <w:p>
      <w:pPr>
        <w:autoSpaceDE w:val="0"/>
        <w:spacing w:line="560" w:lineRule="exact"/>
        <w:ind w:firstLine="632" w:firstLineChars="200"/>
        <w:rPr>
          <w:rFonts w:eastAsia="方正楷体_GBK"/>
          <w:kern w:val="0"/>
          <w:szCs w:val="32"/>
          <w:shd w:val="clear" w:color="auto" w:fill="FFFFFF"/>
        </w:rPr>
      </w:pPr>
      <w:r>
        <w:rPr>
          <w:rFonts w:hint="eastAsia" w:ascii="方正楷体_GBK" w:hAnsi="方正楷体_GBK" w:eastAsia="方正楷体_GBK" w:cs="方正楷体_GBK"/>
          <w:kern w:val="0"/>
          <w:szCs w:val="32"/>
          <w:shd w:val="clear" w:color="auto" w:fill="FFFFFF"/>
          <w:lang w:bidi="ar"/>
        </w:rPr>
        <w:t>（二）申报程序。</w:t>
      </w:r>
    </w:p>
    <w:p>
      <w:pPr>
        <w:autoSpaceDE w:val="0"/>
        <w:spacing w:line="560" w:lineRule="exact"/>
        <w:ind w:firstLine="632" w:firstLineChars="200"/>
        <w:rPr>
          <w:szCs w:val="32"/>
        </w:rPr>
      </w:pPr>
      <w:r>
        <w:rPr>
          <w:rFonts w:hint="eastAsia" w:ascii="方正仿宋_GBK" w:hAnsi="方正仿宋_GBK" w:cs="方正仿宋_GBK"/>
          <w:szCs w:val="32"/>
          <w:lang w:bidi="ar"/>
        </w:rPr>
        <w:t>在次年</w:t>
      </w:r>
      <w:r>
        <w:rPr>
          <w:szCs w:val="32"/>
          <w:lang w:bidi="ar"/>
        </w:rPr>
        <w:t>3</w:t>
      </w:r>
      <w:r>
        <w:rPr>
          <w:rFonts w:hint="eastAsia" w:ascii="方正仿宋_GBK" w:hAnsi="方正仿宋_GBK" w:cs="方正仿宋_GBK"/>
          <w:szCs w:val="32"/>
          <w:lang w:bidi="ar"/>
        </w:rPr>
        <w:t>月底前，企业按照上述要求按顺序提供资料加盖单位鲜章一份，扫描后将纸质件和扫描件一并报区经济信息委，区经济信息委按照相关要求对项目进行核查，根据资金预算情况，对通过审查的项目由区经济信息委商区财政局提出资金安排方案报区政府审批。</w:t>
      </w:r>
    </w:p>
    <w:p>
      <w:pPr>
        <w:autoSpaceDE w:val="0"/>
        <w:spacing w:line="560" w:lineRule="exact"/>
        <w:ind w:firstLine="632" w:firstLineChars="200"/>
        <w:rPr>
          <w:rFonts w:eastAsia="方正黑体_GBK"/>
          <w:szCs w:val="32"/>
        </w:rPr>
      </w:pPr>
      <w:r>
        <w:rPr>
          <w:rFonts w:hint="eastAsia" w:ascii="方正黑体_GBK" w:hAnsi="方正黑体_GBK" w:eastAsia="方正黑体_GBK" w:cs="方正黑体_GBK"/>
          <w:szCs w:val="32"/>
          <w:lang w:bidi="ar"/>
        </w:rPr>
        <w:t>四、其他</w:t>
      </w:r>
    </w:p>
    <w:p>
      <w:pPr>
        <w:autoSpaceDE w:val="0"/>
        <w:spacing w:line="560" w:lineRule="exact"/>
        <w:ind w:firstLine="632" w:firstLineChars="200"/>
        <w:rPr>
          <w:szCs w:val="32"/>
        </w:rPr>
      </w:pPr>
      <w:r>
        <w:rPr>
          <w:kern w:val="0"/>
          <w:szCs w:val="32"/>
          <w:shd w:val="clear" w:color="auto" w:fill="FFFFFF"/>
          <w:lang w:bidi="ar"/>
        </w:rPr>
        <w:t>1</w:t>
      </w:r>
      <w:r>
        <w:rPr>
          <w:rFonts w:hint="eastAsia" w:ascii="方正仿宋_GBK"/>
          <w:kern w:val="0"/>
          <w:szCs w:val="32"/>
          <w:shd w:val="clear" w:color="auto" w:fill="FFFFFF"/>
          <w:lang w:bidi="ar"/>
        </w:rPr>
        <w:t>．</w:t>
      </w:r>
      <w:r>
        <w:rPr>
          <w:rFonts w:hint="eastAsia" w:ascii="方正仿宋_GBK" w:hAnsi="方正仿宋_GBK" w:cs="方正仿宋_GBK"/>
          <w:kern w:val="0"/>
          <w:szCs w:val="32"/>
          <w:shd w:val="clear" w:color="auto" w:fill="FFFFFF"/>
          <w:lang w:bidi="ar"/>
        </w:rPr>
        <w:t>单户企业或个人当年申报上述政策不得超过</w:t>
      </w:r>
      <w:r>
        <w:rPr>
          <w:rFonts w:hint="eastAsia" w:ascii="方正仿宋_GBK" w:hAnsi="方正仿宋_GBK" w:cs="方正仿宋_GBK"/>
          <w:szCs w:val="32"/>
          <w:lang w:bidi="ar"/>
        </w:rPr>
        <w:t>三条。企业当年获得的补助资金总额原则上不超过该企业对荣昌区的地方经济贡献。</w:t>
      </w:r>
    </w:p>
    <w:p>
      <w:pPr>
        <w:autoSpaceDE w:val="0"/>
        <w:spacing w:line="560" w:lineRule="exact"/>
        <w:ind w:firstLine="632" w:firstLineChars="200"/>
        <w:rPr>
          <w:szCs w:val="32"/>
        </w:rPr>
      </w:pPr>
      <w:r>
        <w:rPr>
          <w:szCs w:val="32"/>
          <w:lang w:bidi="ar"/>
        </w:rPr>
        <w:t>2</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本政策与区级其他优惠政策内容重复或类同的，按照就高不重复原则执行。政策按年度兑现，具体补助比例和补助金额根据年度资金预算控制指标和申报项目等因素确定。</w:t>
      </w:r>
    </w:p>
    <w:p>
      <w:pPr>
        <w:autoSpaceDE w:val="0"/>
        <w:spacing w:line="560" w:lineRule="exact"/>
        <w:ind w:firstLine="632" w:firstLineChars="200"/>
        <w:rPr>
          <w:szCs w:val="32"/>
        </w:rPr>
      </w:pPr>
      <w:r>
        <w:rPr>
          <w:szCs w:val="32"/>
          <w:lang w:bidi="ar"/>
        </w:rPr>
        <w:t>3</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本政策所规定的奖励补助</w:t>
      </w:r>
      <w:r>
        <w:rPr>
          <w:rFonts w:ascii="Times New Roman" w:hAnsi="Times New Roman" w:cs="Times New Roman"/>
          <w:szCs w:val="32"/>
          <w:lang w:bidi="ar"/>
        </w:rPr>
        <w:t>资金从2021年1月1日起起算。</w:t>
      </w:r>
    </w:p>
    <w:p>
      <w:pPr>
        <w:autoSpaceDE w:val="0"/>
        <w:spacing w:line="560" w:lineRule="exact"/>
        <w:ind w:firstLine="632" w:firstLineChars="200"/>
        <w:rPr>
          <w:rFonts w:ascii="Times New Roman" w:hAnsi="Times New Roman" w:cs="Times New Roman"/>
          <w:szCs w:val="32"/>
        </w:rPr>
      </w:pPr>
      <w:r>
        <w:rPr>
          <w:szCs w:val="32"/>
          <w:lang w:bidi="ar"/>
        </w:rPr>
        <w:t>4</w:t>
      </w:r>
      <w:r>
        <w:rPr>
          <w:rFonts w:hint="eastAsia" w:ascii="方正仿宋_GBK"/>
          <w:kern w:val="0"/>
          <w:szCs w:val="32"/>
          <w:shd w:val="clear" w:color="auto" w:fill="FFFFFF"/>
          <w:lang w:bidi="ar"/>
        </w:rPr>
        <w:t>．</w:t>
      </w:r>
      <w:r>
        <w:rPr>
          <w:rFonts w:hint="eastAsia" w:ascii="方正仿宋_GBK" w:hAnsi="方正仿宋_GBK" w:cs="方正仿宋_GBK"/>
          <w:szCs w:val="32"/>
          <w:lang w:bidi="ar"/>
        </w:rPr>
        <w:t>本文件自公布之日起施行，</w:t>
      </w:r>
      <w:r>
        <w:rPr>
          <w:rFonts w:ascii="Times New Roman" w:hAnsi="Times New Roman" w:cs="Times New Roman"/>
          <w:szCs w:val="32"/>
          <w:lang w:bidi="ar"/>
        </w:rPr>
        <w:t>有效期至2025年12月31日止，由区经济信息委负责解释。原《重庆市荣昌区支持工业企业高质量发展十七条政策》（荣经信发〔2019〕120号）同时废止。</w:t>
      </w:r>
    </w:p>
    <w:p>
      <w:pPr>
        <w:autoSpaceDE w:val="0"/>
        <w:spacing w:line="560" w:lineRule="exact"/>
        <w:ind w:firstLine="632" w:firstLineChars="200"/>
        <w:rPr>
          <w:rFonts w:ascii="Times New Roman" w:hAnsi="Times New Roman" w:cs="Times New Roman"/>
          <w:szCs w:val="32"/>
        </w:rPr>
      </w:pPr>
    </w:p>
    <w:p>
      <w:pPr>
        <w:autoSpaceDE w:val="0"/>
        <w:spacing w:line="560" w:lineRule="exact"/>
        <w:ind w:firstLine="632" w:firstLineChars="200"/>
        <w:rPr>
          <w:rFonts w:eastAsia="方正仿宋简体"/>
          <w:szCs w:val="32"/>
        </w:rPr>
      </w:pPr>
      <w:r>
        <w:rPr>
          <w:rFonts w:hint="eastAsia" w:ascii="方正仿宋_GBK" w:hAnsi="方正仿宋_GBK" w:cs="方正仿宋_GBK"/>
          <w:szCs w:val="32"/>
          <w:lang w:bidi="ar"/>
        </w:rPr>
        <w:t>附件：荣昌区工业企业支持政策申报表</w:t>
      </w:r>
    </w:p>
    <w:p>
      <w:pPr>
        <w:spacing w:line="560" w:lineRule="exact"/>
        <w:jc w:val="left"/>
        <w:sectPr>
          <w:pgSz w:w="11906" w:h="16838"/>
          <w:pgMar w:top="2098" w:right="1474" w:bottom="1985" w:left="1588" w:header="851" w:footer="1474" w:gutter="0"/>
          <w:cols w:space="720" w:num="1"/>
          <w:docGrid w:type="linesAndChars" w:linePitch="579" w:charSpace="-849"/>
        </w:sectPr>
      </w:pPr>
    </w:p>
    <w:p>
      <w:pPr>
        <w:autoSpaceDE w:val="0"/>
        <w:spacing w:line="560" w:lineRule="exact"/>
        <w:jc w:val="left"/>
        <w:rPr>
          <w:rFonts w:eastAsia="方正黑体_GBK"/>
          <w:szCs w:val="32"/>
        </w:rPr>
      </w:pPr>
      <w:r>
        <w:rPr>
          <w:rFonts w:hint="eastAsia" w:ascii="方正黑体_GBK" w:hAnsi="方正黑体_GBK" w:eastAsia="方正黑体_GBK" w:cs="方正黑体_GBK"/>
          <w:szCs w:val="32"/>
          <w:lang w:bidi="ar"/>
        </w:rPr>
        <w:t>附件4之附件</w:t>
      </w:r>
    </w:p>
    <w:p>
      <w:pPr>
        <w:widowControl/>
        <w:autoSpaceDE w:val="0"/>
        <w:snapToGrid w:val="0"/>
        <w:spacing w:line="720" w:lineRule="exact"/>
        <w:jc w:val="center"/>
        <w:rPr>
          <w:rFonts w:eastAsia="方正小标宋_GBK"/>
          <w:sz w:val="44"/>
          <w:szCs w:val="44"/>
        </w:rPr>
      </w:pPr>
      <w:r>
        <w:rPr>
          <w:rFonts w:hint="eastAsia" w:ascii="方正小标宋_GBK" w:hAnsi="方正小标宋_GBK" w:eastAsia="方正小标宋_GBK" w:cs="方正小标宋_GBK"/>
          <w:sz w:val="44"/>
          <w:szCs w:val="44"/>
          <w:lang w:bidi="ar"/>
        </w:rPr>
        <w:t>荣昌区工业企业支持政策申报表</w:t>
      </w:r>
    </w:p>
    <w:p>
      <w:pPr>
        <w:autoSpaceDE w:val="0"/>
        <w:jc w:val="center"/>
        <w:rPr>
          <w:sz w:val="28"/>
          <w:szCs w:val="28"/>
        </w:rPr>
      </w:pPr>
      <w:r>
        <w:rPr>
          <w:rFonts w:hint="eastAsia" w:ascii="方正仿宋_GBK" w:hAnsi="方正仿宋_GBK" w:cs="方正仿宋_GBK"/>
          <w:sz w:val="28"/>
          <w:szCs w:val="28"/>
          <w:lang w:bidi="ar"/>
        </w:rPr>
        <w:t xml:space="preserve">   年</w:t>
      </w:r>
      <w:r>
        <w:rPr>
          <w:sz w:val="28"/>
          <w:szCs w:val="28"/>
          <w:lang w:bidi="ar"/>
        </w:rPr>
        <w:t xml:space="preserve">     </w:t>
      </w:r>
      <w:r>
        <w:rPr>
          <w:rFonts w:hint="eastAsia" w:ascii="方正仿宋_GBK" w:hAnsi="方正仿宋_GBK" w:cs="方正仿宋_GBK"/>
          <w:sz w:val="28"/>
          <w:szCs w:val="28"/>
          <w:lang w:bidi="ar"/>
        </w:rPr>
        <w:t>月</w:t>
      </w:r>
      <w:r>
        <w:rPr>
          <w:sz w:val="28"/>
          <w:szCs w:val="28"/>
          <w:lang w:bidi="ar"/>
        </w:rPr>
        <w:t xml:space="preserve">     </w:t>
      </w:r>
      <w:r>
        <w:rPr>
          <w:rFonts w:hint="eastAsia" w:ascii="方正仿宋_GBK" w:hAnsi="方正仿宋_GBK" w:cs="方正仿宋_GBK"/>
          <w:sz w:val="28"/>
          <w:szCs w:val="28"/>
          <w:lang w:bidi="ar"/>
        </w:rPr>
        <w:t>日</w:t>
      </w:r>
      <w:r>
        <w:rPr>
          <w:sz w:val="28"/>
          <w:szCs w:val="28"/>
          <w:lang w:bidi="ar"/>
        </w:rPr>
        <w:t xml:space="preserve">                     </w:t>
      </w:r>
      <w:r>
        <w:rPr>
          <w:rFonts w:hint="eastAsia" w:ascii="方正仿宋_GBK" w:hAnsi="方正仿宋_GBK" w:cs="方正仿宋_GBK"/>
          <w:sz w:val="28"/>
          <w:szCs w:val="28"/>
          <w:lang w:bidi="ar"/>
        </w:rPr>
        <w:t>单位：万元</w:t>
      </w:r>
    </w:p>
    <w:tbl>
      <w:tblPr>
        <w:tblStyle w:val="12"/>
        <w:tblW w:w="8720" w:type="dxa"/>
        <w:jc w:val="center"/>
        <w:tblInd w:w="0" w:type="dxa"/>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
      <w:tblGrid>
        <w:gridCol w:w="1119"/>
        <w:gridCol w:w="185"/>
        <w:gridCol w:w="709"/>
        <w:gridCol w:w="226"/>
        <w:gridCol w:w="1120"/>
        <w:gridCol w:w="1064"/>
        <w:gridCol w:w="56"/>
        <w:gridCol w:w="1078"/>
        <w:gridCol w:w="42"/>
        <w:gridCol w:w="1120"/>
        <w:gridCol w:w="1120"/>
        <w:gridCol w:w="881"/>
      </w:tblGrid>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27" w:hRule="atLeast"/>
          <w:jc w:val="center"/>
        </w:trPr>
        <w:tc>
          <w:tcPr>
            <w:tcW w:w="2013" w:type="dxa"/>
            <w:gridSpan w:val="3"/>
            <w:tcBorders>
              <w:top w:val="single" w:color="auto"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单位名称（盖章）</w:t>
            </w:r>
          </w:p>
        </w:tc>
        <w:tc>
          <w:tcPr>
            <w:tcW w:w="6707" w:type="dxa"/>
            <w:gridSpan w:val="9"/>
            <w:tcBorders>
              <w:top w:val="single" w:color="auto" w:sz="4" w:space="0"/>
              <w:left w:val="nil"/>
              <w:bottom w:val="single" w:color="999999" w:sz="4" w:space="0"/>
              <w:right w:val="single" w:color="auto" w:sz="4" w:space="0"/>
            </w:tcBorders>
            <w:vAlign w:val="center"/>
          </w:tcPr>
          <w:p>
            <w:pPr>
              <w:widowControl/>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02" w:hRule="atLeast"/>
          <w:jc w:val="center"/>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法定代表人</w:t>
            </w:r>
          </w:p>
        </w:tc>
        <w:tc>
          <w:tcPr>
            <w:tcW w:w="3119" w:type="dxa"/>
            <w:gridSpan w:val="4"/>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34"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联系电话</w:t>
            </w:r>
          </w:p>
        </w:tc>
        <w:tc>
          <w:tcPr>
            <w:tcW w:w="3163" w:type="dxa"/>
            <w:gridSpan w:val="4"/>
            <w:tcBorders>
              <w:top w:val="single" w:color="999999" w:sz="4" w:space="0"/>
              <w:left w:val="nil"/>
              <w:bottom w:val="single" w:color="999999" w:sz="4" w:space="0"/>
              <w:right w:val="single" w:color="auto" w:sz="4" w:space="0"/>
            </w:tcBorders>
            <w:vAlign w:val="center"/>
          </w:tcPr>
          <w:p>
            <w:pPr>
              <w:widowControl/>
              <w:snapToGrid w:val="0"/>
              <w:ind w:right="-237" w:rightChars="-7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17" w:hRule="atLeast"/>
          <w:jc w:val="center"/>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联 系 人</w:t>
            </w:r>
          </w:p>
        </w:tc>
        <w:tc>
          <w:tcPr>
            <w:tcW w:w="3119" w:type="dxa"/>
            <w:gridSpan w:val="4"/>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34"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联系电话</w:t>
            </w:r>
          </w:p>
        </w:tc>
        <w:tc>
          <w:tcPr>
            <w:tcW w:w="3163" w:type="dxa"/>
            <w:gridSpan w:val="4"/>
            <w:tcBorders>
              <w:top w:val="single" w:color="999999" w:sz="4" w:space="0"/>
              <w:left w:val="nil"/>
              <w:bottom w:val="single" w:color="999999" w:sz="4" w:space="0"/>
              <w:right w:val="single" w:color="auto" w:sz="4" w:space="0"/>
            </w:tcBorders>
            <w:vAlign w:val="center"/>
          </w:tcPr>
          <w:p>
            <w:pPr>
              <w:widowControl/>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12" w:hRule="atLeast"/>
          <w:jc w:val="center"/>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开户银行</w:t>
            </w:r>
          </w:p>
        </w:tc>
        <w:tc>
          <w:tcPr>
            <w:tcW w:w="3119" w:type="dxa"/>
            <w:gridSpan w:val="4"/>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34"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银行帐号</w:t>
            </w:r>
          </w:p>
        </w:tc>
        <w:tc>
          <w:tcPr>
            <w:tcW w:w="3163" w:type="dxa"/>
            <w:gridSpan w:val="4"/>
            <w:tcBorders>
              <w:top w:val="single" w:color="999999" w:sz="4" w:space="0"/>
              <w:left w:val="nil"/>
              <w:bottom w:val="single" w:color="999999" w:sz="4" w:space="0"/>
              <w:right w:val="single" w:color="auto" w:sz="4" w:space="0"/>
            </w:tcBorders>
            <w:vAlign w:val="center"/>
          </w:tcPr>
          <w:p>
            <w:pPr>
              <w:widowControl/>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512" w:hRule="atLeast"/>
          <w:jc w:val="center"/>
        </w:trPr>
        <w:tc>
          <w:tcPr>
            <w:tcW w:w="2239" w:type="dxa"/>
            <w:gridSpan w:val="4"/>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营业收入</w:t>
            </w:r>
          </w:p>
        </w:tc>
        <w:tc>
          <w:tcPr>
            <w:tcW w:w="224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入库税金</w:t>
            </w:r>
          </w:p>
        </w:tc>
        <w:tc>
          <w:tcPr>
            <w:tcW w:w="224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从业人员</w:t>
            </w:r>
          </w:p>
        </w:tc>
        <w:tc>
          <w:tcPr>
            <w:tcW w:w="2001" w:type="dxa"/>
            <w:gridSpan w:val="2"/>
            <w:tcBorders>
              <w:top w:val="single" w:color="999999" w:sz="4" w:space="0"/>
              <w:left w:val="nil"/>
              <w:bottom w:val="single" w:color="999999" w:sz="4" w:space="0"/>
              <w:right w:val="single" w:color="auto" w:sz="4" w:space="0"/>
            </w:tcBorders>
            <w:vAlign w:val="center"/>
          </w:tcPr>
          <w:p>
            <w:pPr>
              <w:widowControl/>
              <w:snapToGrid w:val="0"/>
              <w:jc w:val="center"/>
              <w:rPr>
                <w:rFonts w:eastAsia="方正黑体_GBK"/>
                <w:sz w:val="24"/>
                <w:szCs w:val="24"/>
              </w:rPr>
            </w:pPr>
            <w:r>
              <w:rPr>
                <w:rFonts w:eastAsia="方正黑体_GBK"/>
                <w:sz w:val="24"/>
                <w:szCs w:val="24"/>
                <w:lang w:bidi="ar"/>
              </w:rPr>
              <w:t>资产总额</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542" w:hRule="atLeast"/>
          <w:jc w:val="center"/>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当年累计</w:t>
            </w:r>
          </w:p>
        </w:tc>
        <w:tc>
          <w:tcPr>
            <w:tcW w:w="112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当年累计</w:t>
            </w: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w:t>
            </w: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w:t>
            </w:r>
          </w:p>
        </w:tc>
        <w:tc>
          <w:tcPr>
            <w:tcW w:w="881" w:type="dxa"/>
            <w:tcBorders>
              <w:top w:val="single" w:color="999999" w:sz="4" w:space="0"/>
              <w:left w:val="nil"/>
              <w:bottom w:val="single" w:color="999999" w:sz="4" w:space="0"/>
              <w:right w:val="single" w:color="auto"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722" w:hRule="atLeast"/>
          <w:jc w:val="center"/>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p>
        </w:tc>
        <w:tc>
          <w:tcPr>
            <w:tcW w:w="112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881" w:type="dxa"/>
            <w:tcBorders>
              <w:top w:val="single" w:color="999999" w:sz="4" w:space="0"/>
              <w:left w:val="nil"/>
              <w:bottom w:val="single" w:color="999999" w:sz="4" w:space="0"/>
              <w:right w:val="single" w:color="auto" w:sz="4" w:space="0"/>
            </w:tcBorders>
            <w:vAlign w:val="center"/>
          </w:tcPr>
          <w:p>
            <w:pPr>
              <w:widowControl/>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750" w:hRule="atLeast"/>
          <w:jc w:val="center"/>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申请资金</w:t>
            </w:r>
            <w:r>
              <w:rPr>
                <w:rFonts w:eastAsia="方正黑体_GBK"/>
                <w:sz w:val="24"/>
                <w:szCs w:val="24"/>
                <w:lang w:bidi="ar"/>
              </w:rPr>
              <w:br w:type="textWrapping"/>
            </w:r>
            <w:r>
              <w:rPr>
                <w:rFonts w:eastAsia="方正黑体_GBK"/>
                <w:sz w:val="24"/>
                <w:szCs w:val="24"/>
                <w:lang w:bidi="ar"/>
              </w:rPr>
              <w:t>项目类别</w:t>
            </w:r>
          </w:p>
        </w:tc>
        <w:tc>
          <w:tcPr>
            <w:tcW w:w="3360" w:type="dxa"/>
            <w:gridSpan w:val="6"/>
            <w:tcBorders>
              <w:top w:val="single" w:color="999999" w:sz="4" w:space="0"/>
              <w:left w:val="nil"/>
              <w:bottom w:val="single" w:color="999999" w:sz="4" w:space="0"/>
              <w:right w:val="single" w:color="999999" w:sz="4" w:space="0"/>
            </w:tcBorders>
            <w:vAlign w:val="center"/>
          </w:tcPr>
          <w:p>
            <w:pPr>
              <w:widowControl/>
              <w:snapToGrid w:val="0"/>
              <w:jc w:val="center"/>
              <w:rPr>
                <w:rFonts w:ascii="方正仿宋_GBK"/>
                <w:sz w:val="24"/>
                <w:szCs w:val="24"/>
              </w:rPr>
            </w:pPr>
            <w:r>
              <w:rPr>
                <w:rFonts w:hint="eastAsia" w:ascii="方正仿宋_GBK"/>
                <w:sz w:val="24"/>
                <w:szCs w:val="24"/>
                <w:lang w:bidi="ar"/>
              </w:rPr>
              <w:t>例：支持企业加大研发投入</w:t>
            </w: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申请补</w:t>
            </w:r>
          </w:p>
          <w:p>
            <w:pPr>
              <w:widowControl/>
              <w:snapToGrid w:val="0"/>
              <w:jc w:val="center"/>
              <w:rPr>
                <w:rFonts w:eastAsia="方正黑体_GBK"/>
                <w:sz w:val="24"/>
                <w:szCs w:val="24"/>
              </w:rPr>
            </w:pPr>
            <w:r>
              <w:rPr>
                <w:rFonts w:eastAsia="方正黑体_GBK"/>
                <w:sz w:val="24"/>
                <w:szCs w:val="24"/>
                <w:lang w:bidi="ar"/>
              </w:rPr>
              <w:t>助金额</w:t>
            </w:r>
          </w:p>
        </w:tc>
        <w:tc>
          <w:tcPr>
            <w:tcW w:w="3121" w:type="dxa"/>
            <w:gridSpan w:val="3"/>
            <w:tcBorders>
              <w:top w:val="single" w:color="999999" w:sz="4" w:space="0"/>
              <w:left w:val="nil"/>
              <w:bottom w:val="single" w:color="999999" w:sz="4" w:space="0"/>
              <w:right w:val="single" w:color="auto" w:sz="4" w:space="0"/>
            </w:tcBorders>
            <w:vAlign w:val="center"/>
          </w:tcPr>
          <w:p>
            <w:pPr>
              <w:widowControl/>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2015" w:hRule="atLeast"/>
          <w:jc w:val="center"/>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项目主要</w:t>
            </w:r>
            <w:r>
              <w:rPr>
                <w:rFonts w:eastAsia="方正黑体_GBK"/>
                <w:sz w:val="24"/>
                <w:szCs w:val="24"/>
                <w:lang w:bidi="ar"/>
              </w:rPr>
              <w:br w:type="textWrapping"/>
            </w:r>
            <w:r>
              <w:rPr>
                <w:rFonts w:eastAsia="方正黑体_GBK"/>
                <w:sz w:val="24"/>
                <w:szCs w:val="24"/>
                <w:lang w:bidi="ar"/>
              </w:rPr>
              <w:t>内容</w:t>
            </w:r>
          </w:p>
        </w:tc>
        <w:tc>
          <w:tcPr>
            <w:tcW w:w="7601" w:type="dxa"/>
            <w:gridSpan w:val="11"/>
            <w:tcBorders>
              <w:top w:val="single" w:color="999999" w:sz="4" w:space="0"/>
              <w:left w:val="nil"/>
              <w:bottom w:val="single" w:color="999999" w:sz="4" w:space="0"/>
              <w:right w:val="single" w:color="auto" w:sz="4" w:space="0"/>
            </w:tcBorders>
            <w:vAlign w:val="center"/>
          </w:tcPr>
          <w:p>
            <w:pPr>
              <w:widowControl/>
              <w:snapToGrid w:val="0"/>
              <w:jc w:val="center"/>
              <w:rPr>
                <w:rFonts w:ascii="方正仿宋_GBK"/>
                <w:sz w:val="24"/>
                <w:szCs w:val="24"/>
              </w:rPr>
            </w:pPr>
            <w:r>
              <w:rPr>
                <w:rFonts w:hint="eastAsia" w:ascii="方正仿宋_GBK"/>
                <w:sz w:val="24"/>
                <w:szCs w:val="24"/>
                <w:lang w:bidi="ar"/>
              </w:rPr>
              <w:t>（根据申请资金项目类别简述企业该项目的情况）</w:t>
            </w:r>
          </w:p>
          <w:p>
            <w:pPr>
              <w:widowControl/>
              <w:snapToGrid w:val="0"/>
              <w:jc w:val="center"/>
              <w:rPr>
                <w:rFonts w:ascii="方正仿宋_GBK"/>
                <w:sz w:val="24"/>
                <w:szCs w:val="24"/>
              </w:rPr>
            </w:pPr>
          </w:p>
          <w:p>
            <w:pPr>
              <w:widowControl/>
              <w:snapToGrid w:val="0"/>
              <w:jc w:val="center"/>
              <w:rPr>
                <w:rFonts w:ascii="方正仿宋_GBK"/>
                <w:sz w:val="24"/>
                <w:szCs w:val="24"/>
              </w:rPr>
            </w:pPr>
          </w:p>
          <w:p>
            <w:pPr>
              <w:widowControl/>
              <w:snapToGrid w:val="0"/>
              <w:jc w:val="center"/>
              <w:rPr>
                <w:rFonts w:ascii="方正仿宋_GBK"/>
                <w:sz w:val="24"/>
                <w:szCs w:val="24"/>
              </w:rPr>
            </w:pPr>
          </w:p>
          <w:p>
            <w:pPr>
              <w:pStyle w:val="9"/>
              <w:spacing w:after="120" w:afterAutospacing="0"/>
              <w:jc w:val="both"/>
              <w:rPr>
                <w:rFonts w:ascii="Times New Roman" w:hAnsi="Times New Roman" w:eastAsia="仿宋_GB2312"/>
                <w:kern w:val="2"/>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2109" w:hRule="atLeast"/>
          <w:jc w:val="center"/>
        </w:trPr>
        <w:tc>
          <w:tcPr>
            <w:tcW w:w="1119" w:type="dxa"/>
            <w:tcBorders>
              <w:top w:val="single" w:color="999999" w:sz="4" w:space="0"/>
              <w:left w:val="single" w:color="auto" w:sz="4" w:space="0"/>
              <w:bottom w:val="single" w:color="auto"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主管部门</w:t>
            </w:r>
            <w:r>
              <w:rPr>
                <w:rFonts w:eastAsia="方正黑体_GBK"/>
                <w:sz w:val="24"/>
                <w:szCs w:val="24"/>
                <w:lang w:bidi="ar"/>
              </w:rPr>
              <w:br w:type="textWrapping"/>
            </w:r>
            <w:r>
              <w:rPr>
                <w:rFonts w:eastAsia="方正黑体_GBK"/>
                <w:sz w:val="24"/>
                <w:szCs w:val="24"/>
                <w:lang w:bidi="ar"/>
              </w:rPr>
              <w:t>审查意见</w:t>
            </w:r>
          </w:p>
        </w:tc>
        <w:tc>
          <w:tcPr>
            <w:tcW w:w="7601" w:type="dxa"/>
            <w:gridSpan w:val="11"/>
            <w:tcBorders>
              <w:top w:val="single" w:color="999999" w:sz="4" w:space="0"/>
              <w:left w:val="nil"/>
              <w:bottom w:val="single" w:color="auto" w:sz="4" w:space="0"/>
              <w:right w:val="single" w:color="auto" w:sz="4" w:space="0"/>
            </w:tcBorders>
            <w:vAlign w:val="bottom"/>
          </w:tcPr>
          <w:p>
            <w:pPr>
              <w:widowControl/>
              <w:snapToGrid w:val="0"/>
              <w:jc w:val="center"/>
              <w:rPr>
                <w:sz w:val="24"/>
                <w:szCs w:val="24"/>
              </w:rPr>
            </w:pPr>
          </w:p>
          <w:p>
            <w:pPr>
              <w:widowControl/>
              <w:snapToGrid w:val="0"/>
              <w:jc w:val="center"/>
              <w:rPr>
                <w:sz w:val="24"/>
                <w:szCs w:val="24"/>
              </w:rPr>
            </w:pPr>
          </w:p>
          <w:p>
            <w:pPr>
              <w:widowControl/>
              <w:snapToGrid w:val="0"/>
              <w:jc w:val="center"/>
              <w:rPr>
                <w:sz w:val="24"/>
                <w:szCs w:val="24"/>
              </w:rPr>
            </w:pPr>
          </w:p>
          <w:p>
            <w:pPr>
              <w:widowControl/>
              <w:snapToGrid w:val="0"/>
              <w:jc w:val="center"/>
              <w:rPr>
                <w:sz w:val="24"/>
                <w:szCs w:val="24"/>
              </w:rPr>
            </w:pPr>
          </w:p>
          <w:p>
            <w:pPr>
              <w:widowControl/>
              <w:snapToGrid w:val="0"/>
              <w:jc w:val="center"/>
              <w:rPr>
                <w:sz w:val="24"/>
                <w:szCs w:val="24"/>
              </w:rPr>
            </w:pPr>
            <w:r>
              <w:rPr>
                <w:sz w:val="24"/>
                <w:szCs w:val="24"/>
                <w:lang w:bidi="ar"/>
              </w:rPr>
              <w:t>（盖章）</w:t>
            </w:r>
          </w:p>
          <w:p>
            <w:pPr>
              <w:snapToGrid w:val="0"/>
              <w:jc w:val="center"/>
              <w:rPr>
                <w:sz w:val="24"/>
                <w:szCs w:val="24"/>
              </w:rPr>
            </w:pPr>
            <w:r>
              <w:rPr>
                <w:sz w:val="24"/>
                <w:szCs w:val="24"/>
                <w:lang w:bidi="ar"/>
              </w:rPr>
              <w:t>年  月  日</w:t>
            </w:r>
          </w:p>
        </w:tc>
      </w:tr>
    </w:tbl>
    <w:p>
      <w:pPr>
        <w:spacing w:line="400" w:lineRule="exact"/>
        <w:rPr>
          <w:rFonts w:ascii="方正楷体_GBK" w:hAnsi="方正仿宋_GBK" w:eastAsia="方正楷体_GBK" w:cs="方正仿宋_GBK"/>
          <w:sz w:val="28"/>
          <w:szCs w:val="28"/>
          <w:lang w:bidi="ar"/>
        </w:rPr>
      </w:pPr>
      <w:r>
        <w:rPr>
          <w:rFonts w:hint="eastAsia" w:ascii="方正楷体_GBK" w:hAnsi="方正仿宋_GBK" w:eastAsia="方正楷体_GBK" w:cs="方正仿宋_GBK"/>
          <w:sz w:val="28"/>
          <w:szCs w:val="28"/>
          <w:lang w:bidi="ar"/>
        </w:rPr>
        <w:t>注：当年是指填报该表的上一年（例：</w:t>
      </w:r>
      <w:r>
        <w:rPr>
          <w:rFonts w:hint="eastAsia" w:ascii="方正楷体_GBK" w:eastAsia="方正楷体_GBK"/>
          <w:sz w:val="28"/>
          <w:szCs w:val="28"/>
          <w:lang w:bidi="ar"/>
        </w:rPr>
        <w:t>202</w:t>
      </w:r>
      <w:r>
        <w:rPr>
          <w:rFonts w:hint="eastAsia" w:ascii="方正楷体_GBK" w:eastAsia="方正楷体_GBK"/>
          <w:sz w:val="28"/>
          <w:szCs w:val="28"/>
          <w:lang w:val="en-US" w:eastAsia="zh-CN" w:bidi="ar"/>
        </w:rPr>
        <w:t>4</w:t>
      </w:r>
      <w:r>
        <w:rPr>
          <w:rFonts w:hint="eastAsia" w:ascii="方正楷体_GBK" w:hAnsi="方正仿宋_GBK" w:eastAsia="方正楷体_GBK" w:cs="方正仿宋_GBK"/>
          <w:sz w:val="28"/>
          <w:szCs w:val="28"/>
          <w:lang w:bidi="ar"/>
        </w:rPr>
        <w:t>年</w:t>
      </w:r>
      <w:r>
        <w:rPr>
          <w:rFonts w:hint="eastAsia" w:ascii="方正楷体_GBK" w:eastAsia="方正楷体_GBK"/>
          <w:sz w:val="28"/>
          <w:szCs w:val="28"/>
          <w:lang w:val="en-US" w:eastAsia="zh-CN" w:bidi="ar"/>
        </w:rPr>
        <w:t>5</w:t>
      </w:r>
      <w:r>
        <w:rPr>
          <w:rFonts w:hint="eastAsia" w:ascii="方正楷体_GBK" w:hAnsi="方正仿宋_GBK" w:eastAsia="方正楷体_GBK" w:cs="方正仿宋_GBK"/>
          <w:sz w:val="28"/>
          <w:szCs w:val="28"/>
          <w:lang w:bidi="ar"/>
        </w:rPr>
        <w:t>月申报，则该表的当年指</w:t>
      </w:r>
      <w:r>
        <w:rPr>
          <w:rFonts w:hint="eastAsia" w:ascii="方正楷体_GBK" w:eastAsia="方正楷体_GBK"/>
          <w:sz w:val="28"/>
          <w:szCs w:val="28"/>
          <w:lang w:bidi="ar"/>
        </w:rPr>
        <w:t>202</w:t>
      </w:r>
      <w:r>
        <w:rPr>
          <w:rFonts w:hint="eastAsia" w:ascii="方正楷体_GBK" w:eastAsia="方正楷体_GBK"/>
          <w:sz w:val="28"/>
          <w:szCs w:val="28"/>
          <w:lang w:val="en-US" w:eastAsia="zh-CN" w:bidi="ar"/>
        </w:rPr>
        <w:t>3</w:t>
      </w:r>
      <w:r>
        <w:rPr>
          <w:rFonts w:hint="eastAsia" w:ascii="方正楷体_GBK" w:hAnsi="方正仿宋_GBK" w:eastAsia="方正楷体_GBK" w:cs="方正仿宋_GBK"/>
          <w:sz w:val="28"/>
          <w:szCs w:val="28"/>
          <w:lang w:bidi="ar"/>
        </w:rPr>
        <w:t>年）</w:t>
      </w:r>
    </w:p>
    <w:p/>
    <w:p>
      <w:pPr>
        <w:pStyle w:val="9"/>
        <w:widowControl/>
        <w:spacing w:before="0" w:beforeAutospacing="0" w:after="0" w:afterAutospacing="0"/>
        <w:ind w:firstLine="632" w:firstLineChars="200"/>
        <w:jc w:val="both"/>
        <w:rPr>
          <w:rFonts w:ascii="方正仿宋_GBK" w:hAnsi="方正仿宋_GBK" w:cs="方正仿宋_GBK"/>
          <w:sz w:val="32"/>
          <w:szCs w:val="32"/>
        </w:rPr>
      </w:pPr>
    </w:p>
    <w:p>
      <w:pPr>
        <w:pStyle w:val="9"/>
        <w:widowControl/>
        <w:spacing w:before="0" w:beforeAutospacing="0" w:after="0" w:afterAutospacing="0"/>
        <w:ind w:firstLine="632" w:firstLineChars="200"/>
        <w:jc w:val="both"/>
        <w:rPr>
          <w:rFonts w:ascii="方正仿宋_GBK" w:hAnsi="方正仿宋_GBK" w:cs="方正仿宋_GBK"/>
          <w:sz w:val="32"/>
          <w:szCs w:val="32"/>
        </w:rPr>
      </w:pPr>
    </w:p>
    <w:p>
      <w:pPr>
        <w:pStyle w:val="3"/>
      </w:pPr>
    </w:p>
    <w:p/>
    <w:p>
      <w:pPr>
        <w:pStyle w:val="3"/>
      </w:pPr>
    </w:p>
    <w:p>
      <w:pPr>
        <w:spacing w:line="600" w:lineRule="exact"/>
      </w:pPr>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spacing w:line="1300" w:lineRule="exact"/>
        <w:ind w:left="0"/>
        <w:rPr>
          <w:rFonts w:hint="eastAsia"/>
        </w:rPr>
      </w:pPr>
    </w:p>
    <w:p>
      <w:pPr>
        <w:rPr>
          <w:rFonts w:hint="eastAsia"/>
        </w:rPr>
      </w:pPr>
    </w:p>
    <w:p>
      <w:pPr>
        <w:pBdr>
          <w:top w:val="single" w:color="auto" w:sz="8" w:space="1"/>
          <w:bottom w:val="single" w:color="auto" w:sz="8" w:space="1"/>
        </w:pBdr>
        <w:ind w:firstLine="276" w:firstLineChars="100"/>
      </w:pPr>
      <w:r>
        <w:rPr>
          <w:sz w:val="28"/>
          <w:szCs w:val="28"/>
        </w:rPr>
        <w:t xml:space="preserve">重庆市荣昌区经济和信息化委员会      </w:t>
      </w:r>
      <w:r>
        <w:rPr>
          <w:rFonts w:hint="eastAsia"/>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bookmarkStart w:id="0" w:name="_GoBack"/>
      <w:bookmarkEnd w:id="0"/>
      <w:r>
        <w:rPr>
          <w:rFonts w:ascii="Times New Roman" w:hAnsi="Times New Roman" w:cs="Times New Roman"/>
          <w:sz w:val="28"/>
          <w:szCs w:val="28"/>
        </w:rPr>
        <w:t xml:space="preserve">  202</w:t>
      </w:r>
      <w:r>
        <w:rPr>
          <w:rFonts w:hint="eastAsia" w:ascii="Times New Roman" w:hAnsi="Times New Roman" w:cs="Times New Roman"/>
          <w:sz w:val="28"/>
          <w:szCs w:val="28"/>
          <w:lang w:val="en-US" w:eastAsia="zh-CN"/>
        </w:rPr>
        <w:t>2</w:t>
      </w:r>
      <w:r>
        <w:rPr>
          <w:rFonts w:ascii="Times New Roman" w:hAnsi="Times New Roman" w:cs="Times New Roman"/>
          <w:sz w:val="28"/>
          <w:szCs w:val="28"/>
        </w:rPr>
        <w:t>年</w:t>
      </w:r>
      <w:r>
        <w:rPr>
          <w:rFonts w:hint="eastAsia" w:ascii="Times New Roman" w:hAnsi="Times New Roman" w:cs="Times New Roman"/>
          <w:sz w:val="28"/>
          <w:szCs w:val="28"/>
          <w:lang w:val="en-US" w:eastAsia="zh-CN"/>
        </w:rPr>
        <w:t>1</w:t>
      </w:r>
      <w:r>
        <w:rPr>
          <w:rFonts w:ascii="Times New Roman" w:hAnsi="Times New Roman" w:cs="Times New Roman"/>
          <w:sz w:val="28"/>
          <w:szCs w:val="28"/>
        </w:rPr>
        <w:t>月</w:t>
      </w:r>
      <w:r>
        <w:rPr>
          <w:rFonts w:hint="eastAsia" w:ascii="Times New Roman" w:hAnsi="Times New Roman" w:cs="Times New Roman"/>
          <w:sz w:val="28"/>
          <w:szCs w:val="28"/>
          <w:lang w:val="en-US" w:eastAsia="zh-CN"/>
        </w:rPr>
        <w:t>7</w:t>
      </w:r>
      <w:r>
        <w:rPr>
          <w:rFonts w:ascii="Times New Roman" w:hAnsi="Times New Roman" w:cs="Times New Roman"/>
          <w:sz w:val="28"/>
          <w:szCs w:val="28"/>
        </w:rPr>
        <w:t>日印</w:t>
      </w:r>
      <w:r>
        <w:rPr>
          <w:sz w:val="28"/>
          <w:szCs w:val="28"/>
        </w:rPr>
        <w:t>发</w:t>
      </w:r>
    </w:p>
    <w:sectPr>
      <w:headerReference r:id="rId5" w:type="default"/>
      <w:footerReference r:id="rId7" w:type="default"/>
      <w:headerReference r:id="rId6" w:type="even"/>
      <w:footerReference r:id="rId8" w:type="even"/>
      <w:pgSz w:w="11906" w:h="16838"/>
      <w:pgMar w:top="1985" w:right="1446" w:bottom="1644" w:left="1446" w:header="851" w:footer="1474" w:gutter="0"/>
      <w:pgNumType w:start="16"/>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1312" behindDoc="0" locked="0" layoutInCell="1" allowOverlap="1">
              <wp:simplePos x="0" y="0"/>
              <wp:positionH relativeFrom="margin">
                <wp:posOffset>4812665</wp:posOffset>
              </wp:positionH>
              <wp:positionV relativeFrom="paragraph">
                <wp:posOffset>0</wp:posOffset>
              </wp:positionV>
              <wp:extent cx="622935" cy="2311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935" cy="231140"/>
                      </a:xfrm>
                      <a:prstGeom prst="rect">
                        <a:avLst/>
                      </a:prstGeom>
                      <a:noFill/>
                      <a:ln w="9525">
                        <a:noFill/>
                      </a:ln>
                    </wps:spPr>
                    <wps:txbx>
                      <w:txbxContent>
                        <w:p>
                          <w:pPr>
                            <w:pStyle w:val="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hint="eastAsia" w:ascii="宋体" w:hAnsi="宋体" w:eastAsia="宋体"/>
                              <w:sz w:val="28"/>
                              <w:szCs w:val="28"/>
                            </w:rPr>
                            <w:t xml:space="preserve"> —  </w:t>
                          </w:r>
                        </w:p>
                      </w:txbxContent>
                    </wps:txbx>
                    <wps:bodyPr wrap="none" lIns="0" tIns="0" rIns="0" bIns="0">
                      <a:spAutoFit/>
                    </wps:bodyPr>
                  </wps:wsp>
                </a:graphicData>
              </a:graphic>
            </wp:anchor>
          </w:drawing>
        </mc:Choice>
        <mc:Fallback>
          <w:pict>
            <v:shape id="_x0000_s1026" o:spid="_x0000_s1026" o:spt="202" type="#_x0000_t202" style="position:absolute;left:0pt;margin-left:378.95pt;margin-top:0pt;height:18.2pt;width:49.05pt;mso-position-horizontal-relative:margin;mso-wrap-style:none;z-index:251661312;mso-width-relative:page;mso-height-relative:page;" filled="f" stroked="f" coordsize="21600,21600" o:gfxdata="UEsDBAoAAAAAAIdO4kAAAAAAAAAAAAAAAAAEAAAAZHJzL1BLAwQUAAAACACHTuJANEbQndMAAAAH&#10;AQAADwAAAGRycy9kb3ducmV2LnhtbE2PwU7DMAyG70i8Q2QkbiwdsK6UpjtM4sKNgZC4ZY3XVCRO&#10;lWRd+/aYE9xs/b8+f252s3diwpiGQArWqwIEUhfMQL2Cj/eXuwpEypqMdoFQwYIJdu31VaNrEy70&#10;htMh94IhlGqtwOY81lKmzqLXaRVGJM5OIXqdeY29NFFfGO6dvC+KUno9EF+wesS9xe77cPYKtvNn&#10;wDHhHr9OUxftsFTudVHq9mZdPIPIOOe/Mvzqszq07HQMZzJJOGZstk9cVcAfcVxtSh6OCh7KR5Bt&#10;I//7tz9QSwMEFAAAAAgAh07iQJV2hpi1AQAARgMAAA4AAABkcnMvZTJvRG9jLnhtbK1SS27bMBDd&#10;F+gdCO5j2UodNILpoEGQIEDRBkh7AJoiLQIkhyAZS75Ae4Ouuuk+5/I5MqRlJ0h2QTfUaD5v3puZ&#10;xcVgDdnIEDU4RmeTKSXSCWi1WzP688f1yWdKYuKu5QacZHQrI71Yfvyw6H0ja+jAtDIQBHGx6T2j&#10;XUq+qaooOml5nICXDoMKguUJf8O6agPvEd2aqp5Oz6oeQusDCBkjeq/2Qbos+EpJkb4rFWUihlHk&#10;lsobyrvKb7Vc8GYduO+0GGnwd7CwXDtseoS64omTh6DfQFktAkRQaSLAVqCUFrJoQDWz6Ss19x33&#10;smjB4UR/HFP8f7Di2+YuEN0yOqfEcYsr2v35vfv7uPv3i8zzeHofG8y695iXhksYcM0Hf0RnVj2o&#10;YPMX9RCM46C3x+HKIRGBzrO6Pj/FJgJD9els9qkMv3ou9iGmGwmWZIPRgLsrI+WbrzEhEUw9pORe&#10;Dq61MWV/xpGe0fN5PS8FxwhWGIeFWcKearbSsBpGXStotyirx/0z6vBAKTG3DsebT+VghIOxGo3c&#10;PfovDwkZFGIZdQ81NsNlFb7jYeVrePlfsp7P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EbQ&#10;ndMAAAAHAQAADwAAAAAAAAABACAAAAAiAAAAZHJzL2Rvd25yZXYueG1sUEsBAhQAFAAAAAgAh07i&#10;QJV2hpi1AQAARgMAAA4AAAAAAAAAAQAgAAAAIgEAAGRycy9lMm9Eb2MueG1sUEsFBgAAAAAGAAYA&#10;WQEAAEkFAAAAAA==&#10;">
              <v:fill on="f" focussize="0,0"/>
              <v:stroke on="f"/>
              <v:imagedata o:title=""/>
              <o:lock v:ext="edit" aspectratio="f"/>
              <v:textbox inset="0mm,0mm,0mm,0mm" style="mso-fit-shape-to-text:t;">
                <w:txbxContent>
                  <w:p>
                    <w:pPr>
                      <w:pStyle w:val="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hint="eastAsia" w:ascii="宋体" w:hAnsi="宋体" w:eastAsia="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posOffset>-26035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ind w:right="360" w:firstLine="360"/>
                            <w:jc w:val="right"/>
                          </w:pPr>
                          <w:r>
                            <w:rPr>
                              <w:rStyle w:val="11"/>
                              <w:rFonts w:hint="eastAsia" w:ascii="宋体" w:hAnsi="宋体" w:eastAsia="宋体"/>
                              <w:color w:val="000000"/>
                              <w:sz w:val="28"/>
                            </w:rPr>
                            <w:t>—</w:t>
                          </w:r>
                          <w:r>
                            <w:rPr>
                              <w:rFonts w:ascii="宋体" w:hAnsi="宋体" w:eastAsia="宋体"/>
                              <w:color w:val="000000"/>
                              <w:kern w:val="0"/>
                              <w:sz w:val="28"/>
                            </w:rPr>
                            <w:t xml:space="preserve"> </w:t>
                          </w:r>
                          <w:r>
                            <w:rPr>
                              <w:rFonts w:ascii="宋体" w:hAnsi="宋体" w:eastAsia="宋体"/>
                              <w:color w:val="000000"/>
                              <w:kern w:val="0"/>
                              <w:sz w:val="28"/>
                            </w:rPr>
                            <w:fldChar w:fldCharType="begin"/>
                          </w:r>
                          <w:r>
                            <w:rPr>
                              <w:rFonts w:ascii="宋体" w:hAnsi="宋体" w:eastAsia="宋体"/>
                              <w:color w:val="000000"/>
                              <w:kern w:val="0"/>
                              <w:sz w:val="28"/>
                            </w:rPr>
                            <w:instrText xml:space="preserve"> PAGE </w:instrText>
                          </w:r>
                          <w:r>
                            <w:rPr>
                              <w:rFonts w:ascii="宋体" w:hAnsi="宋体" w:eastAsia="宋体"/>
                              <w:color w:val="000000"/>
                              <w:kern w:val="0"/>
                              <w:sz w:val="28"/>
                            </w:rPr>
                            <w:fldChar w:fldCharType="separate"/>
                          </w:r>
                          <w:r>
                            <w:rPr>
                              <w:rFonts w:ascii="宋体" w:hAnsi="宋体" w:eastAsia="宋体"/>
                              <w:color w:val="000000"/>
                              <w:kern w:val="0"/>
                              <w:sz w:val="28"/>
                            </w:rPr>
                            <w:t>16</w:t>
                          </w:r>
                          <w:r>
                            <w:rPr>
                              <w:rFonts w:ascii="宋体" w:hAnsi="宋体" w:eastAsia="宋体"/>
                              <w:color w:val="000000"/>
                              <w:kern w:val="0"/>
                              <w:sz w:val="28"/>
                            </w:rPr>
                            <w:fldChar w:fldCharType="end"/>
                          </w:r>
                          <w:r>
                            <w:rPr>
                              <w:rFonts w:ascii="宋体" w:hAnsi="宋体" w:eastAsia="宋体"/>
                              <w:color w:val="000000"/>
                              <w:kern w:val="0"/>
                              <w:sz w:val="28"/>
                            </w:rPr>
                            <w:t xml:space="preserve"> </w:t>
                          </w:r>
                          <w:r>
                            <w:rPr>
                              <w:rFonts w:hint="eastAsia" w:ascii="宋体" w:hAnsi="宋体" w:eastAsia="宋体"/>
                              <w:color w:val="000000"/>
                              <w:kern w:val="0"/>
                              <w:sz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left:-2.05pt;margin-top:0pt;height:144pt;width:144pt;mso-position-horizontal-relative:margin;mso-wrap-style:none;z-index:251662336;mso-width-relative:page;mso-height-relative:page;" filled="f" stroked="f" coordsize="21600,21600" o:gfxdata="UEsDBAoAAAAAAIdO4kAAAAAAAAAAAAAAAAAEAAAAZHJzL1BLAwQUAAAACACHTuJAnUG/ztMAAAAH&#10;AQAADwAAAGRycy9kb3ducmV2LnhtbE2PwU7DMBBE70j8g7VI3Fo7BUEIcXqoxIUbBVXi5sbbOMJe&#10;R7GbJn/P9gS3Wc1o5m29nYMXE46pj6ShWCsQSG20PXUavj7fViWIlA1Z4yOhhgUTbJvbm9pUNl7o&#10;A6d97gSXUKqMBpfzUEmZWofBpHUckNg7xTGYzOfYSTuaC5cHLzdKPclgeuIFZwbcOWx/9ueg4Xk+&#10;RBwS7vD7NLWj65fSvy9a398V6hVExjn/heGKz+jQMNMxnskm4TWsHgtOauCH2N2UDy8gjldRKpBN&#10;Lf/zN79QSwMEFAAAAAgAh07iQO8DFgewAQAASAMAAA4AAABkcnMvZTJvRG9jLnhtbK1TS27bMBDd&#10;B+gdCO5rKQZiOILpoEWQokCQBkh6AJoiLQL8gcNY8gWSG3TVTfc9l8/RIS05RbsLsqFmOMM3896M&#10;VleDNWQnI2jvGD2f1ZRIJ3yr3ZbR7483H5eUQOKu5cY7yeheAr1afzhb9aGRc99508pIEMRB0wdG&#10;u5RCU1UgOmk5zHyQDoPKR8sTunFbtZH3iG5NNa/rRdX72IbohQTA2+tjkK4LvlJSpG9KgUzEMIq9&#10;pXLGcm7yWa1XvNlGHjotxjb4G7qwXDsseoK65omTp6j/g7JaRA9epZnwtvJKaSELB2RzXv/D5qHj&#10;QRYuKA6Ek0zwfrDibncfiW4ZXVDiuMURHX68HH7+Pvx6JossTx+gwayHgHlp+OwHHPN0D3iZWQ8q&#10;2vxFPgTjKPT+JK4cEhH50XK+XNYYEhibHMSvXp+HCOmL9JZkg9GI0yui8t0tpGPqlJKrOX+jjSkT&#10;NI70jF5ezC/Kg1MEwY3DGpnEsdlspWEzjMw2vt0jsR43gFGHK0qJ+epQ4LwskxEnYzMauTqET08J&#10;OyiNZdQj1FgMx1WojauV9+Fvv2S9/gD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1Bv87TAAAA&#10;BwEAAA8AAAAAAAAAAQAgAAAAIgAAAGRycy9kb3ducmV2LnhtbFBLAQIUABQAAAAIAIdO4kDvAxYH&#10;sAEAAEgDAAAOAAAAAAAAAAEAIAAAACIBAABkcnMvZTJvRG9jLnhtbFBLBQYAAAAABgAGAFkBAABE&#10;BQAAAAA=&#10;">
              <v:fill on="f" focussize="0,0"/>
              <v:stroke on="f"/>
              <v:imagedata o:title=""/>
              <o:lock v:ext="edit" aspectratio="f"/>
              <v:textbox inset="0mm,0mm,0mm,0mm" style="mso-fit-shape-to-text:t;">
                <w:txbxContent>
                  <w:p>
                    <w:pPr>
                      <w:pStyle w:val="7"/>
                      <w:ind w:right="360" w:firstLine="360"/>
                      <w:jc w:val="right"/>
                    </w:pPr>
                    <w:r>
                      <w:rPr>
                        <w:rStyle w:val="11"/>
                        <w:rFonts w:hint="eastAsia" w:ascii="宋体" w:hAnsi="宋体" w:eastAsia="宋体"/>
                        <w:color w:val="000000"/>
                        <w:sz w:val="28"/>
                      </w:rPr>
                      <w:t>—</w:t>
                    </w:r>
                    <w:r>
                      <w:rPr>
                        <w:rFonts w:ascii="宋体" w:hAnsi="宋体" w:eastAsia="宋体"/>
                        <w:color w:val="000000"/>
                        <w:kern w:val="0"/>
                        <w:sz w:val="28"/>
                      </w:rPr>
                      <w:t xml:space="preserve"> </w:t>
                    </w:r>
                    <w:r>
                      <w:rPr>
                        <w:rFonts w:ascii="宋体" w:hAnsi="宋体" w:eastAsia="宋体"/>
                        <w:color w:val="000000"/>
                        <w:kern w:val="0"/>
                        <w:sz w:val="28"/>
                      </w:rPr>
                      <w:fldChar w:fldCharType="begin"/>
                    </w:r>
                    <w:r>
                      <w:rPr>
                        <w:rFonts w:ascii="宋体" w:hAnsi="宋体" w:eastAsia="宋体"/>
                        <w:color w:val="000000"/>
                        <w:kern w:val="0"/>
                        <w:sz w:val="28"/>
                      </w:rPr>
                      <w:instrText xml:space="preserve"> PAGE </w:instrText>
                    </w:r>
                    <w:r>
                      <w:rPr>
                        <w:rFonts w:ascii="宋体" w:hAnsi="宋体" w:eastAsia="宋体"/>
                        <w:color w:val="000000"/>
                        <w:kern w:val="0"/>
                        <w:sz w:val="28"/>
                      </w:rPr>
                      <w:fldChar w:fldCharType="separate"/>
                    </w:r>
                    <w:r>
                      <w:rPr>
                        <w:rFonts w:ascii="宋体" w:hAnsi="宋体" w:eastAsia="宋体"/>
                        <w:color w:val="000000"/>
                        <w:kern w:val="0"/>
                        <w:sz w:val="28"/>
                      </w:rPr>
                      <w:t>16</w:t>
                    </w:r>
                    <w:r>
                      <w:rPr>
                        <w:rFonts w:ascii="宋体" w:hAnsi="宋体" w:eastAsia="宋体"/>
                        <w:color w:val="000000"/>
                        <w:kern w:val="0"/>
                        <w:sz w:val="28"/>
                      </w:rPr>
                      <w:fldChar w:fldCharType="end"/>
                    </w:r>
                    <w:r>
                      <w:rPr>
                        <w:rFonts w:ascii="宋体" w:hAnsi="宋体" w:eastAsia="宋体"/>
                        <w:color w:val="000000"/>
                        <w:kern w:val="0"/>
                        <w:sz w:val="28"/>
                      </w:rPr>
                      <w:t xml:space="preserve"> </w:t>
                    </w:r>
                    <w:r>
                      <w:rPr>
                        <w:rFonts w:hint="eastAsia" w:ascii="宋体" w:hAnsi="宋体" w:eastAsia="宋体"/>
                        <w:color w:val="000000"/>
                        <w:kern w:val="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rFonts w:ascii="宋体" w:hAnsi="宋体" w:eastAsia="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72185" cy="5759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575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eastAsiaTheme="minorEastAsia" w:cstheme="minorEastAsia"/>
                              <w:sz w:val="15"/>
                              <w:szCs w:val="15"/>
                            </w:rPr>
                          </w:pPr>
                        </w:p>
                        <w:p>
                          <w:pPr>
                            <w:snapToGrid w:val="0"/>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5.35pt;width:76.55pt;mso-position-horizontal:outside;mso-position-horizontal-relative:margin;z-index:251658240;mso-width-relative:page;mso-height-relative:page;" filled="f" stroked="f" coordsize="21600,21600" o:gfxdata="UEsDBAoAAAAAAIdO4kAAAAAAAAAAAAAAAAAEAAAAZHJzL1BLAwQUAAAACACHTuJAjWSC8tMAAAAE&#10;AQAADwAAAGRycy9kb3ducmV2LnhtbE2PO0/EMBCEeyT+g7VIdJwdEK8Q5woeHXBwgASdEy9JhL2O&#10;7E3u+Pf4aKBZaTSjmW+r5dY7MWNMQyANxUKBQGqDHajT8Ppyd3QBIrEha1wg1PCNCZb1/l5lShs2&#10;9IzzmjuRSyiVRkPPPJZSprZHb9IijEjZ+wzRG84ydtJGs8nl3sljpc6kNwPlhd6MeN1j+7WevAb3&#10;nuJ9o/hjvuke+Gklp7fb4lHrw4NCXYFg3PJfGHb4GR3qzNSEiWwSTkN+hH/vzjs9KUA0Gi7VOci6&#10;kv/h6x9QSwMEFAAAAAgAh07iQLBrJz4WAgAABwQAAA4AAABkcnMvZTJvRG9jLnhtbK1TzY7TMBC+&#10;I/EOlu80baH7UzVdlV0VIVXsSgVxdh27sWR7jO02KQ8Ab7AnLtx5rj4HY6fpIuCEuEwmM+MZf998&#10;nt20RpO98EGBLeloMKREWA6VstuSfni/fHFFSYjMVkyDFSU9iEBv5s+fzRo3FWOoQVfCE2xiw7Rx&#10;Ja1jdNOiCLwWhoUBOGExKcEbFvHXb4vKswa7G12Mh8OLogFfOQ9chIDRuy5J57m/lILHeymDiESX&#10;FO8Ws/XZbpIt5jM23XrmasVP12D/cAvDlMWh51Z3LDKy8+qPVkZxDwFkHHAwBUipuMgYEM1o+Bua&#10;dc2cyFiQnODONIX/15a/2z94oqqSjimxzOCKjo9fj99+HL9/IeNET+PCFKvWDuti+xpaXHMfDxhM&#10;qFvpTfoiHoJ5JPpwJle0kXAMXl+OR1cTSjimJpeT61eT1KV4Oux8iG8EGJKcknrcXaaU7VchdqV9&#10;SZplYam0zvvTljQlvXg5GeYD5ww21xZnJAjdVZMX2017wrWB6oCwPHS6CI4vFQ5fsRAfmEchIBIU&#10;d7xHIzXgEDh5lNTgP/8tnupxP5ilpEFhlTR82jEvKNFvLW4uqbB3fO9sesfuzC2gVkf4bBzPLh7w&#10;Ufeu9GA+ouYXaQqmmOU4q6Sxd29jJ298M1wsFrkIteZYXNm146l1R99iF0GqzGyipePixBaqLe/m&#10;9DKSnH/9z1VP73f+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1kgvLTAAAABAEAAA8AAAAAAAAA&#10;AQAgAAAAIgAAAGRycy9kb3ducmV2LnhtbFBLAQIUABQAAAAIAIdO4kCwayc+FgIAAAcEAAAOAAAA&#10;AAAAAAEAIAAAACIBAABkcnMvZTJvRG9jLnhtbFBLBQYAAAAABgAGAFkBAACqBQAAAAA=&#10;">
              <v:fill on="f" focussize="0,0"/>
              <v:stroke on="f" weight="0.5pt"/>
              <v:imagedata o:title=""/>
              <o:lock v:ext="edit" aspectratio="f"/>
              <v:textbox inset="0mm,0mm,0mm,0mm">
                <w:txbxContent>
                  <w:p>
                    <w:pPr>
                      <w:snapToGrid w:val="0"/>
                      <w:rPr>
                        <w:rFonts w:asciiTheme="minorEastAsia" w:hAnsiTheme="minorEastAsia" w:eastAsiaTheme="minorEastAsia" w:cstheme="minorEastAsia"/>
                        <w:sz w:val="15"/>
                        <w:szCs w:val="15"/>
                      </w:rPr>
                    </w:pPr>
                  </w:p>
                  <w:p>
                    <w:pPr>
                      <w:snapToGrid w:val="0"/>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firstLine="280" w:firstLineChars="100"/>
      <w:rPr>
        <w:rFonts w:ascii="宋体" w:hAnsi="宋体" w:eastAsia="宋体"/>
        <w:sz w:val="28"/>
      </w:rPr>
    </w:pPr>
    <w:r>
      <w:rPr>
        <w:rStyle w:val="11"/>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4</w:t>
    </w:r>
    <w:r>
      <w:rPr>
        <w:rFonts w:ascii="宋体" w:hAnsi="宋体" w:eastAsia="宋体"/>
        <w:kern w:val="0"/>
        <w:sz w:val="28"/>
      </w:rPr>
      <w:fldChar w:fldCharType="end"/>
    </w:r>
    <w:r>
      <w:rPr>
        <w:rFonts w:ascii="宋体" w:hAnsi="宋体" w:eastAsia="宋体"/>
        <w:kern w:val="0"/>
        <w:sz w:val="28"/>
      </w:rPr>
      <w:t xml:space="preserve"> </w:t>
    </w:r>
    <w:r>
      <w:rPr>
        <w:rFonts w:hint="eastAsia" w:ascii="宋体" w:hAnsi="宋体" w:eastAsia="宋体"/>
        <w:kern w:val="0"/>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E8"/>
    <w:rsid w:val="0041472C"/>
    <w:rsid w:val="00450006"/>
    <w:rsid w:val="005F44E8"/>
    <w:rsid w:val="00FC4211"/>
    <w:rsid w:val="015B36C3"/>
    <w:rsid w:val="024C62E9"/>
    <w:rsid w:val="0410239B"/>
    <w:rsid w:val="04892A0A"/>
    <w:rsid w:val="09EA78BE"/>
    <w:rsid w:val="0BED268A"/>
    <w:rsid w:val="0FCB2B6A"/>
    <w:rsid w:val="1394472E"/>
    <w:rsid w:val="15A40C82"/>
    <w:rsid w:val="16B03737"/>
    <w:rsid w:val="17A72F28"/>
    <w:rsid w:val="18FE2321"/>
    <w:rsid w:val="1B9072B4"/>
    <w:rsid w:val="1E50733A"/>
    <w:rsid w:val="21E76227"/>
    <w:rsid w:val="22B16F96"/>
    <w:rsid w:val="2764067B"/>
    <w:rsid w:val="292601F4"/>
    <w:rsid w:val="2CE4545A"/>
    <w:rsid w:val="303B3044"/>
    <w:rsid w:val="3385799F"/>
    <w:rsid w:val="381D472F"/>
    <w:rsid w:val="39625FEB"/>
    <w:rsid w:val="3D7DF5EF"/>
    <w:rsid w:val="3E3177C0"/>
    <w:rsid w:val="40783945"/>
    <w:rsid w:val="43480B85"/>
    <w:rsid w:val="43C04F1F"/>
    <w:rsid w:val="4BF06200"/>
    <w:rsid w:val="4F945450"/>
    <w:rsid w:val="54FBD2A7"/>
    <w:rsid w:val="55DA3F8C"/>
    <w:rsid w:val="565D7CA9"/>
    <w:rsid w:val="587104A3"/>
    <w:rsid w:val="58951FC9"/>
    <w:rsid w:val="596A2E5D"/>
    <w:rsid w:val="59C41DC5"/>
    <w:rsid w:val="61395D5F"/>
    <w:rsid w:val="62D40960"/>
    <w:rsid w:val="6377303A"/>
    <w:rsid w:val="63FD3058"/>
    <w:rsid w:val="64E4055B"/>
    <w:rsid w:val="65E07B1B"/>
    <w:rsid w:val="671B0895"/>
    <w:rsid w:val="6798026F"/>
    <w:rsid w:val="6A40112B"/>
    <w:rsid w:val="6D0679E8"/>
    <w:rsid w:val="6DC77791"/>
    <w:rsid w:val="6E280846"/>
    <w:rsid w:val="6F5D5CB8"/>
    <w:rsid w:val="72B129F6"/>
    <w:rsid w:val="767E18BF"/>
    <w:rsid w:val="7BB418F1"/>
    <w:rsid w:val="7CA46B47"/>
    <w:rsid w:val="7EE8220C"/>
    <w:rsid w:val="C5FB3D29"/>
    <w:rsid w:val="E63B9F72"/>
    <w:rsid w:val="FCFC33DC"/>
    <w:rsid w:val="FDFA9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1"/>
    <w:basedOn w:val="1"/>
    <w:next w:val="1"/>
    <w:qFormat/>
    <w:uiPriority w:val="0"/>
    <w:pPr>
      <w:spacing w:before="1"/>
      <w:ind w:left="155"/>
      <w:outlineLvl w:val="0"/>
    </w:pPr>
    <w:rPr>
      <w:rFonts w:ascii="宋体" w:hAnsi="宋体"/>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widowControl w:val="0"/>
      <w:spacing w:before="100" w:beforeAutospacing="1" w:after="100" w:afterAutospacing="1"/>
      <w:ind w:left="200" w:leftChars="200"/>
      <w:jc w:val="both"/>
    </w:pPr>
    <w:rPr>
      <w:rFonts w:ascii="Times New Roman" w:hAnsi="Times New Roman" w:eastAsia="宋体" w:cs="Times New Roman"/>
      <w:kern w:val="2"/>
      <w:sz w:val="21"/>
      <w:szCs w:val="21"/>
      <w:lang w:val="en-US" w:eastAsia="zh-CN" w:bidi="ar-SA"/>
    </w:rPr>
  </w:style>
  <w:style w:type="paragraph" w:styleId="4">
    <w:name w:val="Body Text"/>
    <w:basedOn w:val="1"/>
    <w:next w:val="5"/>
    <w:qFormat/>
    <w:uiPriority w:val="0"/>
    <w:rPr>
      <w:rFonts w:ascii="Calibri" w:hAnsi="Calibri" w:eastAsia="宋体"/>
      <w:sz w:val="21"/>
      <w:szCs w:val="24"/>
    </w:rPr>
  </w:style>
  <w:style w:type="paragraph" w:styleId="5">
    <w:name w:val="index 7"/>
    <w:basedOn w:val="1"/>
    <w:next w:val="1"/>
    <w:qFormat/>
    <w:uiPriority w:val="0"/>
    <w:pPr>
      <w:spacing w:before="100" w:beforeAutospacing="1" w:after="100" w:afterAutospacing="1"/>
      <w:ind w:left="2520"/>
    </w:pPr>
    <w:rPr>
      <w:rFonts w:ascii="Calibri" w:hAnsi="Calibri" w:eastAsia="宋体" w:cs="Calibri"/>
      <w:sz w:val="21"/>
      <w:szCs w:val="21"/>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character" w:styleId="11">
    <w:name w:val="page number"/>
    <w:basedOn w:val="10"/>
    <w:qFormat/>
    <w:uiPriority w:val="0"/>
  </w:style>
  <w:style w:type="character" w:customStyle="1" w:styleId="13">
    <w:name w:val="批注框文本 Char"/>
    <w:basedOn w:val="10"/>
    <w:link w:val="6"/>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经信委</Company>
  <Pages>18</Pages>
  <Words>5862</Words>
  <Characters>6155</Characters>
  <Lines>6</Lines>
  <Paragraphs>13</Paragraphs>
  <ScaleCrop>false</ScaleCrop>
  <LinksUpToDate>false</LinksUpToDate>
  <CharactersWithSpaces>6300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cp:lastModifiedBy>
  <cp:lastPrinted>2024-06-11T08:49:00Z</cp:lastPrinted>
  <dcterms:modified xsi:type="dcterms:W3CDTF">2024-06-19T09:49:08Z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