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snapToGrid w:val="0"/>
        <w:spacing w:line="640" w:lineRule="exact"/>
        <w:jc w:val="center"/>
        <w:rPr>
          <w:rFonts w:hint="eastAsia" w:ascii="方正小标宋_GBK" w:eastAsia="方正小标宋_GBK"/>
          <w:kern w:val="0"/>
          <w:sz w:val="44"/>
          <w:szCs w:val="44"/>
          <w:lang w:eastAsia="zh-CN"/>
        </w:rPr>
      </w:pPr>
      <w:r>
        <w:rPr>
          <w:rFonts w:hint="eastAsia" w:ascii="方正小标宋_GBK" w:eastAsia="方正小标宋_GBK"/>
          <w:kern w:val="0"/>
          <w:sz w:val="44"/>
          <w:szCs w:val="44"/>
          <w:lang w:eastAsia="zh-CN"/>
        </w:rPr>
        <w:t>重庆市荣昌区国有资产监督管理委员会</w:t>
      </w:r>
    </w:p>
    <w:p>
      <w:pPr>
        <w:snapToGrid w:val="0"/>
        <w:spacing w:line="640" w:lineRule="exact"/>
        <w:jc w:val="center"/>
        <w:rPr>
          <w:rFonts w:hint="eastAsia" w:ascii="方正小标宋_GBK" w:eastAsia="方正小标宋_GBK"/>
          <w:kern w:val="0"/>
          <w:sz w:val="44"/>
          <w:szCs w:val="44"/>
        </w:rPr>
      </w:pPr>
      <w:r>
        <w:rPr>
          <w:rFonts w:hint="eastAsia" w:ascii="方正小标宋_GBK" w:eastAsia="方正小标宋_GBK"/>
          <w:kern w:val="0"/>
          <w:sz w:val="44"/>
          <w:szCs w:val="44"/>
        </w:rPr>
        <w:t>重庆市荣昌区人力资源和社会保障局</w:t>
      </w:r>
    </w:p>
    <w:p>
      <w:pPr>
        <w:snapToGrid w:val="0"/>
        <w:spacing w:line="640" w:lineRule="exact"/>
        <w:jc w:val="center"/>
        <w:rPr>
          <w:rFonts w:hint="eastAsia" w:ascii="方正小标宋_GBK" w:eastAsia="方正小标宋_GBK"/>
          <w:kern w:val="0"/>
          <w:sz w:val="44"/>
          <w:szCs w:val="44"/>
        </w:rPr>
      </w:pPr>
      <w:r>
        <w:rPr>
          <w:rFonts w:hint="eastAsia" w:ascii="方正小标宋_GBK" w:eastAsia="方正小标宋_GBK"/>
          <w:kern w:val="0"/>
          <w:sz w:val="44"/>
          <w:szCs w:val="44"/>
        </w:rPr>
        <w:t>关于印发《荣昌区区属国有企业工资</w:t>
      </w:r>
    </w:p>
    <w:p>
      <w:pPr>
        <w:snapToGrid w:val="0"/>
        <w:spacing w:line="640" w:lineRule="exact"/>
        <w:jc w:val="center"/>
        <w:rPr>
          <w:rFonts w:hint="eastAsia" w:ascii="方正小标宋_GBK" w:eastAsia="方正小标宋_GBK"/>
          <w:kern w:val="0"/>
          <w:sz w:val="44"/>
          <w:szCs w:val="44"/>
        </w:rPr>
      </w:pPr>
      <w:r>
        <w:rPr>
          <w:rFonts w:hint="eastAsia" w:ascii="方正小标宋_GBK" w:eastAsia="方正小标宋_GBK"/>
          <w:kern w:val="0"/>
          <w:sz w:val="44"/>
          <w:szCs w:val="44"/>
        </w:rPr>
        <w:t>管理实施办法（试行）》的通知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i w:val="0"/>
          <w:caps w:val="0"/>
          <w:color w:val="auto"/>
          <w:spacing w:val="0"/>
          <w:sz w:val="32"/>
          <w:szCs w:val="32"/>
          <w:shd w:val="clear" w:fill="FFFFFF"/>
          <w:lang w:eastAsia="zh-CN"/>
        </w:rPr>
        <w:t>荣国资发〔20</w:t>
      </w:r>
      <w:r>
        <w:rPr>
          <w:rFonts w:hint="eastAsia" w:ascii="方正仿宋_GBK" w:hAnsi="方正仿宋_GBK" w:eastAsia="方正仿宋_GBK" w:cs="方正仿宋_GBK"/>
          <w:i w:val="0"/>
          <w:caps w:val="0"/>
          <w:color w:val="auto"/>
          <w:spacing w:val="0"/>
          <w:sz w:val="32"/>
          <w:szCs w:val="32"/>
          <w:shd w:val="clear" w:fill="FFFFFF"/>
          <w:lang w:val="en-US" w:eastAsia="zh-CN"/>
        </w:rPr>
        <w:t>20</w:t>
      </w:r>
      <w:r>
        <w:rPr>
          <w:rFonts w:hint="eastAsia" w:ascii="方正仿宋_GBK" w:hAnsi="方正仿宋_GBK" w:eastAsia="方正仿宋_GBK" w:cs="方正仿宋_GBK"/>
          <w:i w:val="0"/>
          <w:caps w:val="0"/>
          <w:color w:val="auto"/>
          <w:spacing w:val="0"/>
          <w:sz w:val="32"/>
          <w:szCs w:val="32"/>
          <w:shd w:val="clear" w:fill="FFFFFF"/>
          <w:lang w:eastAsia="zh-CN"/>
        </w:rPr>
        <w:t>〕</w:t>
      </w:r>
      <w:r>
        <w:rPr>
          <w:rFonts w:hint="eastAsia" w:ascii="方正仿宋_GBK" w:hAnsi="方正仿宋_GBK" w:eastAsia="方正仿宋_GBK" w:cs="方正仿宋_GBK"/>
          <w:i w:val="0"/>
          <w:caps w:val="0"/>
          <w:color w:val="auto"/>
          <w:spacing w:val="0"/>
          <w:sz w:val="32"/>
          <w:szCs w:val="32"/>
          <w:shd w:val="clear" w:fill="FFFFFF"/>
          <w:lang w:val="en-US" w:eastAsia="zh-CN"/>
        </w:rPr>
        <w:t>5</w:t>
      </w:r>
      <w:r>
        <w:rPr>
          <w:rFonts w:hint="eastAsia" w:ascii="方正仿宋_GBK" w:hAnsi="方正仿宋_GBK" w:eastAsia="方正仿宋_GBK" w:cs="方正仿宋_GBK"/>
          <w:i w:val="0"/>
          <w:caps w:val="0"/>
          <w:color w:val="auto"/>
          <w:spacing w:val="0"/>
          <w:sz w:val="32"/>
          <w:szCs w:val="32"/>
          <w:shd w:val="clear" w:fill="FFFFFF"/>
          <w:lang w:eastAsia="zh-CN"/>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区属国有企业：</w:t>
      </w:r>
    </w:p>
    <w:p>
      <w:pPr>
        <w:pStyle w:val="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《荣昌区区属国有企业工资管理实施办法（试行）》已经区委、区政府研究同意，现印发给你们，请遵照执行。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（此页无正文）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重庆市荣昌区国有              </w:t>
      </w:r>
      <w:r>
        <w:rPr>
          <w:rFonts w:hint="eastAsia" w:ascii="方正仿宋_GBK" w:hAnsi="方正仿宋_GBK" w:eastAsia="方正仿宋_GBK" w:cs="方正仿宋_GBK"/>
          <w:sz w:val="32"/>
          <w:szCs w:val="32"/>
        </w:rPr>
        <w:t>重庆市荣昌区人力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资产监督管理委员会            </w:t>
      </w:r>
      <w:r>
        <w:rPr>
          <w:rFonts w:hint="eastAsia" w:ascii="方正仿宋_GBK" w:hAnsi="方正仿宋_GBK" w:eastAsia="方正仿宋_GBK" w:cs="方正仿宋_GBK"/>
          <w:sz w:val="32"/>
          <w:szCs w:val="32"/>
        </w:rPr>
        <w:t>资源和社会保障局</w:t>
      </w:r>
    </w:p>
    <w:p>
      <w:pPr>
        <w:pStyle w:val="2"/>
        <w:keepNext w:val="0"/>
        <w:keepLines w:val="0"/>
        <w:pageBreakBefore w:val="0"/>
        <w:kinsoku/>
        <w:wordWrap/>
        <w:overflowPunct/>
        <w:topLinePunct w:val="0"/>
        <w:autoSpaceDE/>
        <w:autoSpaceDN/>
        <w:bidi w:val="0"/>
        <w:adjustRightInd/>
        <w:snapToGrid/>
        <w:spacing w:line="560" w:lineRule="exact"/>
        <w:ind w:right="0" w:rightChars="0" w:firstLine="5440" w:firstLineChars="17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2020年1月10日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8"/>
          <w:szCs w:val="28"/>
          <w:lang w:eastAsia="zh-CN"/>
        </w:rPr>
      </w:pPr>
    </w:p>
    <w:p>
      <w:pPr>
        <w:pStyle w:val="2"/>
        <w:rPr>
          <w:rFonts w:hint="eastAsia" w:ascii="方正仿宋_GBK" w:hAnsi="方正仿宋_GBK" w:eastAsia="方正仿宋_GBK" w:cs="方正仿宋_GBK"/>
          <w:color w:val="000000"/>
          <w:w w:val="100"/>
          <w:sz w:val="28"/>
          <w:szCs w:val="28"/>
          <w:lang w:eastAsia="zh-CN"/>
        </w:rPr>
      </w:pPr>
    </w:p>
    <w:p>
      <w:pPr>
        <w:pStyle w:val="2"/>
        <w:rPr>
          <w:rFonts w:hint="eastAsia" w:ascii="方正仿宋_GBK" w:hAnsi="方正仿宋_GBK" w:eastAsia="方正仿宋_GBK" w:cs="方正仿宋_GBK"/>
          <w:color w:val="000000"/>
          <w:w w:val="100"/>
          <w:sz w:val="28"/>
          <w:szCs w:val="28"/>
          <w:lang w:eastAsia="zh-CN"/>
        </w:rPr>
      </w:pPr>
    </w:p>
    <w:p>
      <w:pPr>
        <w:pStyle w:val="2"/>
        <w:rPr>
          <w:rFonts w:hint="eastAsia" w:ascii="方正仿宋_GBK" w:hAnsi="方正仿宋_GBK" w:eastAsia="方正仿宋_GBK" w:cs="方正仿宋_GBK"/>
          <w:color w:val="000000"/>
          <w:w w:val="100"/>
          <w:sz w:val="28"/>
          <w:szCs w:val="28"/>
          <w:lang w:eastAsia="zh-CN"/>
        </w:rPr>
      </w:pPr>
    </w:p>
    <w:p>
      <w:pPr>
        <w:pStyle w:val="2"/>
        <w:rPr>
          <w:rFonts w:hint="eastAsia" w:ascii="方正仿宋_GBK" w:hAnsi="方正仿宋_GBK" w:eastAsia="方正仿宋_GBK" w:cs="方正仿宋_GBK"/>
          <w:color w:val="000000"/>
          <w:w w:val="100"/>
          <w:sz w:val="28"/>
          <w:szCs w:val="28"/>
          <w:lang w:eastAsia="zh-CN"/>
        </w:rPr>
      </w:pPr>
    </w:p>
    <w:p>
      <w:pPr>
        <w:pStyle w:val="2"/>
        <w:rPr>
          <w:rFonts w:hint="eastAsia" w:ascii="方正仿宋_GBK" w:hAnsi="方正仿宋_GBK" w:eastAsia="方正仿宋_GBK" w:cs="方正仿宋_GBK"/>
          <w:color w:val="000000"/>
          <w:w w:val="100"/>
          <w:sz w:val="28"/>
          <w:szCs w:val="28"/>
          <w:lang w:eastAsia="zh-CN"/>
        </w:rPr>
      </w:pPr>
    </w:p>
    <w:p>
      <w:pPr>
        <w:pStyle w:val="2"/>
        <w:rPr>
          <w:rFonts w:hint="eastAsia" w:ascii="方正仿宋_GBK" w:hAnsi="方正仿宋_GBK" w:eastAsia="方正仿宋_GBK" w:cs="方正仿宋_GBK"/>
          <w:color w:val="000000"/>
          <w:w w:val="100"/>
          <w:sz w:val="28"/>
          <w:szCs w:val="28"/>
          <w:lang w:eastAsia="zh-CN"/>
        </w:rPr>
      </w:pPr>
    </w:p>
    <w:p>
      <w:pPr>
        <w:pStyle w:val="2"/>
        <w:rPr>
          <w:rFonts w:hint="eastAsia" w:ascii="方正仿宋_GBK" w:hAnsi="方正仿宋_GBK" w:eastAsia="方正仿宋_GBK" w:cs="方正仿宋_GBK"/>
          <w:color w:val="000000"/>
          <w:w w:val="100"/>
          <w:sz w:val="28"/>
          <w:szCs w:val="28"/>
          <w:lang w:eastAsia="zh-CN"/>
        </w:rPr>
      </w:pPr>
    </w:p>
    <w:p>
      <w:pPr>
        <w:pStyle w:val="2"/>
        <w:rPr>
          <w:rFonts w:hint="eastAsia" w:ascii="方正仿宋_GBK" w:hAnsi="方正仿宋_GBK" w:eastAsia="方正仿宋_GBK" w:cs="方正仿宋_GBK"/>
          <w:color w:val="000000"/>
          <w:w w:val="100"/>
          <w:sz w:val="28"/>
          <w:szCs w:val="28"/>
          <w:lang w:eastAsia="zh-CN"/>
        </w:rPr>
      </w:pPr>
    </w:p>
    <w:p>
      <w:pPr>
        <w:pStyle w:val="2"/>
        <w:rPr>
          <w:rFonts w:hint="eastAsia" w:ascii="方正仿宋_GBK" w:hAnsi="方正仿宋_GBK" w:eastAsia="方正仿宋_GBK" w:cs="方正仿宋_GBK"/>
          <w:color w:val="000000"/>
          <w:w w:val="100"/>
          <w:sz w:val="28"/>
          <w:szCs w:val="28"/>
          <w:lang w:eastAsia="zh-CN"/>
        </w:rPr>
      </w:pPr>
    </w:p>
    <w:p>
      <w:pPr>
        <w:pStyle w:val="2"/>
        <w:rPr>
          <w:rFonts w:hint="eastAsia" w:ascii="方正仿宋_GBK" w:hAnsi="方正仿宋_GBK" w:eastAsia="方正仿宋_GBK" w:cs="方正仿宋_GBK"/>
          <w:color w:val="000000"/>
          <w:w w:val="100"/>
          <w:sz w:val="28"/>
          <w:szCs w:val="28"/>
          <w:lang w:eastAsia="zh-CN"/>
        </w:rPr>
      </w:pPr>
    </w:p>
    <w:p>
      <w:pPr>
        <w:pStyle w:val="2"/>
        <w:rPr>
          <w:rFonts w:hint="eastAsia" w:ascii="方正仿宋_GBK" w:hAnsi="方正仿宋_GBK" w:eastAsia="方正仿宋_GBK" w:cs="方正仿宋_GBK"/>
          <w:color w:val="000000"/>
          <w:w w:val="100"/>
          <w:sz w:val="28"/>
          <w:szCs w:val="28"/>
          <w:lang w:eastAsia="zh-CN"/>
        </w:rPr>
      </w:pPr>
    </w:p>
    <w:p>
      <w:pPr>
        <w:pStyle w:val="2"/>
        <w:rPr>
          <w:rFonts w:hint="eastAsia" w:ascii="方正仿宋_GBK" w:hAnsi="方正仿宋_GBK" w:eastAsia="方正仿宋_GBK" w:cs="方正仿宋_GBK"/>
          <w:color w:val="000000"/>
          <w:w w:val="100"/>
          <w:sz w:val="28"/>
          <w:szCs w:val="28"/>
          <w:lang w:eastAsia="zh-CN"/>
        </w:rPr>
      </w:pPr>
    </w:p>
    <w:p>
      <w:pPr>
        <w:pStyle w:val="5"/>
        <w:widowControl/>
        <w:spacing w:beforeAutospacing="0" w:afterAutospacing="0" w:line="594"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荣昌区区属国有企业工资管理实施办法（试行）</w:t>
      </w:r>
    </w:p>
    <w:p>
      <w:pPr>
        <w:widowControl/>
        <w:spacing w:line="594" w:lineRule="exact"/>
        <w:jc w:val="center"/>
        <w:rPr>
          <w:rFonts w:hint="eastAsia" w:ascii="方正仿宋_GBK" w:hAnsi="方正仿宋_GBK" w:eastAsia="方正仿宋_GBK" w:cs="方正仿宋_GBK"/>
          <w:color w:val="000000"/>
          <w:sz w:val="32"/>
          <w:szCs w:val="32"/>
        </w:rPr>
      </w:pPr>
    </w:p>
    <w:p>
      <w:pPr>
        <w:widowControl/>
        <w:spacing w:line="594" w:lineRule="exact"/>
        <w:jc w:val="center"/>
        <w:rPr>
          <w:rFonts w:hint="eastAsia" w:ascii="方正黑体_GBK" w:eastAsia="方正黑体_GBK"/>
          <w:color w:val="000000"/>
          <w:kern w:val="0"/>
          <w:sz w:val="32"/>
          <w:szCs w:val="32"/>
        </w:rPr>
      </w:pPr>
      <w:r>
        <w:rPr>
          <w:rFonts w:hint="eastAsia" w:ascii="方正仿宋_GBK" w:hAnsi="方正仿宋_GBK" w:eastAsia="方正仿宋_GBK" w:cs="方正仿宋_GBK"/>
          <w:color w:val="000000"/>
          <w:sz w:val="32"/>
          <w:szCs w:val="32"/>
        </w:rPr>
        <w:t> </w:t>
      </w:r>
      <w:r>
        <w:rPr>
          <w:rFonts w:hint="eastAsia" w:ascii="方正黑体_GBK" w:eastAsia="方正黑体_GBK"/>
          <w:color w:val="000000"/>
          <w:kern w:val="0"/>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黑体_GBK" w:eastAsia="方正黑体_GBK"/>
          <w:color w:val="000000"/>
          <w:sz w:val="32"/>
          <w:szCs w:val="32"/>
        </w:rPr>
        <w:t xml:space="preserve">第一条  </w:t>
      </w:r>
      <w:r>
        <w:rPr>
          <w:rFonts w:hint="eastAsia" w:ascii="方正仿宋_GBK" w:hAnsi="方正仿宋_GBK" w:eastAsia="方正仿宋_GBK" w:cs="方正仿宋_GBK"/>
          <w:color w:val="000000"/>
          <w:sz w:val="32"/>
          <w:szCs w:val="32"/>
        </w:rPr>
        <w:t>为贯彻落实《国务院关于改革国有企业工资决定机制的意见》（国发〔2018〕16号）和《重庆市人民政府关于改革国有企业工资决定机制的实施意见》（渝府发〔2018〕54号）精神，进一步深化全区国有企业工资决定机制改革，切实推动国有企业提升发展效率、活力，建立健全与劳动力市场基本适应、与国有企业经济效益和劳动生产率挂钩的工资决定机制和正常增长机制，完善国有企业工资分配监管体制，促进国有企业工资收入分配机制更加合理、更加有序，充分调动国有企业职工的积极性、主动性、创造性，提高国有企业的市场竞争力，推动国有企业做强做优做大，结合我区实际，制定本实施办法。</w:t>
      </w:r>
      <w:bookmarkStart w:id="0" w:name="_Toc9298"/>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黑体_GBK" w:eastAsia="方正黑体_GBK"/>
          <w:color w:val="000000"/>
          <w:sz w:val="32"/>
          <w:szCs w:val="32"/>
        </w:rPr>
        <w:t xml:space="preserve">第二条  </w:t>
      </w:r>
      <w:r>
        <w:rPr>
          <w:rFonts w:hint="eastAsia" w:ascii="方正仿宋_GBK" w:hAnsi="方正仿宋_GBK" w:eastAsia="方正仿宋_GBK" w:cs="方正仿宋_GBK"/>
          <w:color w:val="000000"/>
          <w:sz w:val="32"/>
          <w:szCs w:val="32"/>
        </w:rPr>
        <w:t>本办法适用于由区国资委履行出资人职责的国有独资或国有控股企业（以下简称“区属国有企业”）</w:t>
      </w:r>
      <w:r>
        <w:rPr>
          <w:rFonts w:hint="eastAsia" w:eastAsia="方正仿宋_GBK"/>
          <w:color w:val="000000"/>
          <w:sz w:val="32"/>
          <w:szCs w:val="32"/>
        </w:rPr>
        <w:t>及所属各级独资、控股子企业，以及具有实质控股权的企业。</w:t>
      </w:r>
      <w:bookmarkStart w:id="1" w:name="_Toc3171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黑体_GBK" w:eastAsia="方正黑体_GBK"/>
          <w:color w:val="000000"/>
          <w:sz w:val="32"/>
          <w:szCs w:val="32"/>
        </w:rPr>
        <w:t>第三条</w:t>
      </w:r>
      <w:r>
        <w:rPr>
          <w:rFonts w:hint="eastAsia" w:eastAsia="方正仿宋_GBK"/>
          <w:color w:val="000000"/>
          <w:sz w:val="36"/>
          <w:szCs w:val="36"/>
        </w:rPr>
        <w:t xml:space="preserve">  </w:t>
      </w:r>
      <w:r>
        <w:rPr>
          <w:rFonts w:hint="eastAsia" w:ascii="方正仿宋_GBK" w:hAnsi="方正仿宋_GBK" w:eastAsia="方正仿宋_GBK" w:cs="方正仿宋_GBK"/>
          <w:color w:val="000000"/>
          <w:sz w:val="32"/>
          <w:szCs w:val="32"/>
        </w:rPr>
        <w:t>本办法所称工资总额，是指由企业在一个会计年度内直接支付给与本企业建立劳动关系的全部职工的劳动报酬总额（国有企业负责人除外），包括工资、奖金、津贴、补贴、加班加点工资、特殊情况下支付的工资等。</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黑体_GBK" w:eastAsia="方正黑体_GBK"/>
          <w:color w:val="000000"/>
          <w:sz w:val="32"/>
          <w:szCs w:val="32"/>
        </w:rPr>
        <w:t>第四条</w:t>
      </w:r>
      <w:r>
        <w:rPr>
          <w:rFonts w:hint="eastAsia" w:eastAsia="方正仿宋_GBK"/>
          <w:color w:val="000000"/>
          <w:sz w:val="36"/>
          <w:szCs w:val="36"/>
        </w:rPr>
        <w:t xml:space="preserve">  </w:t>
      </w:r>
      <w:r>
        <w:rPr>
          <w:rFonts w:eastAsia="方正仿宋_GBK"/>
          <w:color w:val="000000"/>
          <w:sz w:val="32"/>
          <w:szCs w:val="32"/>
        </w:rPr>
        <w:t>本办法将</w:t>
      </w:r>
      <w:r>
        <w:rPr>
          <w:rFonts w:hint="eastAsia" w:eastAsia="方正仿宋_GBK"/>
          <w:color w:val="000000"/>
          <w:sz w:val="32"/>
          <w:szCs w:val="32"/>
        </w:rPr>
        <w:t>企业</w:t>
      </w:r>
      <w:r>
        <w:rPr>
          <w:rFonts w:eastAsia="方正仿宋_GBK"/>
          <w:color w:val="000000"/>
          <w:sz w:val="32"/>
          <w:szCs w:val="32"/>
        </w:rPr>
        <w:t>界定为</w:t>
      </w:r>
      <w:r>
        <w:rPr>
          <w:rFonts w:hint="eastAsia" w:ascii="方正仿宋_GBK" w:hAnsi="方正仿宋_GBK" w:eastAsia="方正仿宋_GBK" w:cs="方正仿宋_GBK"/>
          <w:color w:val="000000"/>
          <w:sz w:val="32"/>
          <w:szCs w:val="32"/>
        </w:rPr>
        <w:t>商业一类企业、商业二类企业、公益类企业和文化类企业</w:t>
      </w:r>
      <w:r>
        <w:rPr>
          <w:rFonts w:eastAsia="方正仿宋_GBK"/>
          <w:color w:val="000000"/>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方正仿宋_GBK"/>
          <w:color w:val="000000"/>
          <w:sz w:val="32"/>
          <w:szCs w:val="32"/>
        </w:rPr>
      </w:pPr>
      <w:r>
        <w:rPr>
          <w:rFonts w:hint="eastAsia" w:eastAsia="方正仿宋_GBK"/>
          <w:color w:val="000000"/>
          <w:sz w:val="32"/>
          <w:szCs w:val="32"/>
        </w:rPr>
        <w:t>（一）</w:t>
      </w:r>
      <w:r>
        <w:rPr>
          <w:rFonts w:eastAsia="方正仿宋_GBK"/>
          <w:color w:val="000000"/>
          <w:sz w:val="32"/>
          <w:szCs w:val="32"/>
        </w:rPr>
        <w:t>商业一类企业。主业处于充分竞争行业和领域，按照市场化要求实行商业化运作，充分遵循市场规律，以经济效益最大化为主要目标。</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方正仿宋_GBK"/>
          <w:color w:val="000000"/>
          <w:sz w:val="32"/>
          <w:szCs w:val="32"/>
        </w:rPr>
      </w:pPr>
      <w:r>
        <w:rPr>
          <w:rFonts w:hint="eastAsia" w:eastAsia="方正仿宋_GBK"/>
          <w:color w:val="000000"/>
          <w:sz w:val="32"/>
          <w:szCs w:val="32"/>
        </w:rPr>
        <w:t>（二）</w:t>
      </w:r>
      <w:r>
        <w:rPr>
          <w:rFonts w:eastAsia="方正仿宋_GBK"/>
          <w:color w:val="000000"/>
          <w:sz w:val="32"/>
          <w:szCs w:val="32"/>
        </w:rPr>
        <w:t>商业二类企业。主业处于重要行业和关键领域，在参与市场竞争基本属性前提下，兼顾承担政府重大专项任务或实现特定功能，以实现政府在调节经济运行、促进社会发展等方面的战略意图。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方正仿宋_GBK"/>
          <w:color w:val="000000"/>
          <w:sz w:val="32"/>
          <w:szCs w:val="32"/>
        </w:rPr>
      </w:pPr>
      <w:r>
        <w:rPr>
          <w:rFonts w:hint="eastAsia" w:eastAsia="方正仿宋_GBK"/>
          <w:color w:val="000000"/>
          <w:sz w:val="32"/>
          <w:szCs w:val="32"/>
        </w:rPr>
        <w:t>（三）</w:t>
      </w:r>
      <w:r>
        <w:rPr>
          <w:rFonts w:eastAsia="方正仿宋_GBK"/>
          <w:color w:val="000000"/>
          <w:sz w:val="32"/>
          <w:szCs w:val="32"/>
        </w:rPr>
        <w:t>公益类企业。主业处于公共服务行业和领域，以保障民生、服务社会、提供公共产品和服务为主要目标，以社会效益为导向，必要的产品或服务价格可以由政府调控。</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（四）文化类企业。主业以提供精神产品，传播思想信息，担负文化传承使命为主要目标，把社会效益放在首位、实现社会效益和经济效益相统一。</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方正仿宋_GBK"/>
          <w:color w:val="000000"/>
          <w:sz w:val="32"/>
          <w:szCs w:val="32"/>
        </w:rPr>
      </w:pPr>
      <w:r>
        <w:rPr>
          <w:rFonts w:hint="eastAsia" w:ascii="方正黑体_GBK" w:eastAsia="方正黑体_GBK"/>
          <w:color w:val="000000"/>
          <w:sz w:val="32"/>
          <w:szCs w:val="32"/>
        </w:rPr>
        <w:t>第五条</w:t>
      </w:r>
      <w:r>
        <w:rPr>
          <w:rFonts w:hint="eastAsia" w:eastAsia="方正仿宋_GBK"/>
          <w:color w:val="000000"/>
          <w:sz w:val="36"/>
          <w:szCs w:val="36"/>
        </w:rPr>
        <w:t xml:space="preserve">  </w:t>
      </w:r>
      <w:r>
        <w:rPr>
          <w:rFonts w:hint="eastAsia" w:eastAsia="方正仿宋_GBK"/>
          <w:color w:val="000000"/>
          <w:sz w:val="32"/>
          <w:szCs w:val="32"/>
        </w:rPr>
        <w:t>企业工资管理的</w:t>
      </w:r>
      <w:r>
        <w:rPr>
          <w:rFonts w:eastAsia="方正仿宋_GBK"/>
          <w:color w:val="000000"/>
          <w:sz w:val="32"/>
          <w:szCs w:val="32"/>
        </w:rPr>
        <w:t>基本原则</w:t>
      </w:r>
      <w:r>
        <w:rPr>
          <w:rFonts w:hint="eastAsia" w:eastAsia="方正仿宋_GBK"/>
          <w:color w:val="000000"/>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方正仿宋_GBK"/>
          <w:color w:val="000000"/>
          <w:sz w:val="32"/>
          <w:szCs w:val="32"/>
        </w:rPr>
      </w:pPr>
      <w:r>
        <w:rPr>
          <w:rFonts w:hint="eastAsia" w:eastAsia="方正仿宋_GBK"/>
          <w:color w:val="000000"/>
          <w:sz w:val="32"/>
          <w:szCs w:val="32"/>
        </w:rPr>
        <w:t>（一</w:t>
      </w:r>
      <w:r>
        <w:rPr>
          <w:rFonts w:eastAsia="方正仿宋_GBK"/>
          <w:color w:val="000000"/>
          <w:sz w:val="32"/>
          <w:szCs w:val="32"/>
        </w:rPr>
        <w:t>）坚持中国特色现代企业制度改革方向。坚持政企分开、政资分开、所有权和经营权相分离，发挥企业</w:t>
      </w:r>
      <w:r>
        <w:rPr>
          <w:rFonts w:hint="eastAsia" w:eastAsia="方正仿宋_GBK"/>
          <w:color w:val="000000"/>
          <w:sz w:val="32"/>
          <w:szCs w:val="32"/>
        </w:rPr>
        <w:t>党委（党组）领</w:t>
      </w:r>
      <w:r>
        <w:rPr>
          <w:rFonts w:hint="eastAsia" w:ascii="方正仿宋_GBK" w:hAnsi="方正仿宋_GBK" w:eastAsia="方正仿宋_GBK" w:cs="方正仿宋_GBK"/>
          <w:color w:val="000000"/>
          <w:sz w:val="32"/>
          <w:szCs w:val="32"/>
        </w:rPr>
        <w:t>导作用</w:t>
      </w:r>
      <w:r>
        <w:rPr>
          <w:rFonts w:eastAsia="方正仿宋_GBK"/>
          <w:color w:val="000000"/>
          <w:sz w:val="32"/>
          <w:szCs w:val="32"/>
        </w:rPr>
        <w:t>，依法落实董事会的工资分配管理权，完善既符合企业一般规律又体现企业特点的工资分配机制，促进企业持续健康发展。</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方正仿宋_GBK"/>
          <w:color w:val="000000"/>
          <w:sz w:val="32"/>
          <w:szCs w:val="32"/>
        </w:rPr>
      </w:pPr>
      <w:r>
        <w:rPr>
          <w:rFonts w:hint="eastAsia" w:eastAsia="方正仿宋_GBK"/>
          <w:color w:val="000000"/>
          <w:sz w:val="32"/>
          <w:szCs w:val="32"/>
        </w:rPr>
        <w:t>（二）</w:t>
      </w:r>
      <w:r>
        <w:rPr>
          <w:rFonts w:eastAsia="方正仿宋_GBK"/>
          <w:color w:val="000000"/>
          <w:sz w:val="32"/>
          <w:szCs w:val="32"/>
        </w:rPr>
        <w:t>坚持</w:t>
      </w:r>
      <w:r>
        <w:rPr>
          <w:rFonts w:hint="eastAsia" w:ascii="方正仿宋_GBK" w:hAnsi="方正仿宋_GBK" w:eastAsia="方正仿宋_GBK" w:cs="方正仿宋_GBK"/>
          <w:color w:val="000000"/>
          <w:sz w:val="32"/>
          <w:szCs w:val="32"/>
        </w:rPr>
        <w:t>效益导向与维护公平相统一</w:t>
      </w:r>
      <w:r>
        <w:rPr>
          <w:rFonts w:eastAsia="方正仿宋_GBK"/>
          <w:color w:val="000000"/>
          <w:sz w:val="32"/>
          <w:szCs w:val="32"/>
        </w:rPr>
        <w:t>。健全完善企业业绩考核评价体系，处理好短期效益指标与企业长远发展的关系。切实做到企业工资分配既有激励又有约束、既讲效率又讲公平。坚持按劳分配原则，健全企业职工工资与经济效益同向联动、能增能减的机制，在经济效益增长和劳动生产率提高的同时实现劳动报酬同步提高。统筹处理好不同行业、不同企业和企业内部不同职工之间的工资分配关系，调节过高收入。</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方正仿宋_GBK"/>
          <w:color w:val="000000"/>
          <w:sz w:val="32"/>
          <w:szCs w:val="32"/>
        </w:rPr>
      </w:pPr>
      <w:r>
        <w:rPr>
          <w:rFonts w:hint="eastAsia" w:eastAsia="方正仿宋_GBK"/>
          <w:color w:val="000000"/>
          <w:sz w:val="32"/>
          <w:szCs w:val="32"/>
        </w:rPr>
        <w:t>（三）</w:t>
      </w:r>
      <w:r>
        <w:rPr>
          <w:rFonts w:eastAsia="方正仿宋_GBK"/>
          <w:color w:val="000000"/>
          <w:sz w:val="32"/>
          <w:szCs w:val="32"/>
        </w:rPr>
        <w:t>坚持</w:t>
      </w:r>
      <w:r>
        <w:rPr>
          <w:rFonts w:hint="eastAsia" w:ascii="方正仿宋_GBK" w:hAnsi="方正仿宋_GBK" w:eastAsia="方正仿宋_GBK" w:cs="方正仿宋_GBK"/>
          <w:color w:val="000000"/>
          <w:sz w:val="32"/>
          <w:szCs w:val="32"/>
        </w:rPr>
        <w:t>市场决定与政府监管相结合</w:t>
      </w:r>
      <w:r>
        <w:rPr>
          <w:rFonts w:eastAsia="方正仿宋_GBK"/>
          <w:color w:val="000000"/>
          <w:sz w:val="32"/>
          <w:szCs w:val="32"/>
        </w:rPr>
        <w:t>。充分发挥市场在企业工资分配中的决定性作用，实现职工工资水平与劳动力市场价位相适应，与增强企业市场竞争力相匹配。建立健全制度科学、规则统一、程序规范、分配公正的工资分配监管机制，更好发挥政府对企业工资分配的宏观指导和调控作用，改进和加强事前引导和事后监督，规范工资分配秩序。</w:t>
      </w:r>
    </w:p>
    <w:bookmarkEnd w:id="1"/>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jc w:val="center"/>
        <w:textAlignment w:val="auto"/>
        <w:outlineLvl w:val="9"/>
        <w:rPr>
          <w:rFonts w:eastAsia="方正黑体_GBK"/>
          <w:color w:val="000000"/>
          <w:sz w:val="32"/>
          <w:szCs w:val="32"/>
        </w:rPr>
      </w:pPr>
      <w:r>
        <w:rPr>
          <w:rFonts w:hint="eastAsia" w:eastAsia="方正黑体_GBK"/>
          <w:color w:val="000000"/>
          <w:sz w:val="32"/>
          <w:szCs w:val="32"/>
        </w:rPr>
        <w:t xml:space="preserve"> </w:t>
      </w:r>
      <w:r>
        <w:rPr>
          <w:rFonts w:eastAsia="方正黑体_GBK"/>
          <w:color w:val="000000"/>
          <w:sz w:val="32"/>
          <w:szCs w:val="32"/>
        </w:rPr>
        <w:t>工资总额决定机制</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sz w:val="32"/>
          <w:szCs w:val="32"/>
        </w:rPr>
      </w:pPr>
      <w:r>
        <w:rPr>
          <w:rFonts w:hint="eastAsia" w:ascii="方正黑体_GBK" w:eastAsia="方正黑体_GBK"/>
          <w:color w:val="000000"/>
          <w:sz w:val="32"/>
          <w:szCs w:val="32"/>
        </w:rPr>
        <w:t xml:space="preserve">第六条 </w:t>
      </w:r>
      <w:r>
        <w:rPr>
          <w:rFonts w:hint="eastAsia" w:ascii="方正黑体_GBK" w:eastAsia="方正黑体_GBK"/>
          <w:color w:val="000000"/>
          <w:sz w:val="36"/>
          <w:szCs w:val="36"/>
        </w:rPr>
        <w:t xml:space="preserve"> </w:t>
      </w:r>
      <w:r>
        <w:rPr>
          <w:rFonts w:eastAsia="方正仿宋_GBK"/>
          <w:color w:val="000000"/>
          <w:sz w:val="32"/>
          <w:szCs w:val="32"/>
        </w:rPr>
        <w:t>工资总额确定办法</w:t>
      </w:r>
      <w:r>
        <w:rPr>
          <w:rFonts w:hint="eastAsia" w:eastAsia="方正仿宋_GBK"/>
          <w:color w:val="000000"/>
          <w:sz w:val="32"/>
          <w:szCs w:val="32"/>
        </w:rPr>
        <w:t>。</w:t>
      </w:r>
      <w:r>
        <w:rPr>
          <w:rFonts w:hint="eastAsia" w:ascii="方正仿宋_GBK" w:hAnsi="方正仿宋_GBK" w:eastAsia="方正仿宋_GBK" w:cs="方正仿宋_GBK"/>
          <w:color w:val="000000"/>
          <w:sz w:val="32"/>
          <w:szCs w:val="32"/>
        </w:rPr>
        <w:t>区属国有企业按照国家和我市工资收入分配政策要求，根据企业发展战略、薪酬策略、经营状况、任务目标、经济效益和社会效益，综合考虑劳动生产率和人工成本投入产出率、职工工资水平市场对标等情况，结合我市发布的企业工资指导线和工资增长调控目标，</w:t>
      </w:r>
      <w:r>
        <w:rPr>
          <w:rFonts w:hint="eastAsia" w:ascii="方正仿宋_GBK" w:hAnsi="方正仿宋_GBK" w:eastAsia="方正仿宋_GBK" w:cs="方正仿宋_GBK"/>
          <w:color w:val="000000"/>
          <w:sz w:val="30"/>
          <w:szCs w:val="30"/>
        </w:rPr>
        <w:t>合理确定年度工资总额</w:t>
      </w:r>
      <w:r>
        <w:rPr>
          <w:rFonts w:hint="eastAsia" w:ascii="方正仿宋_GBK" w:hAnsi="方正仿宋_GBK" w:eastAsia="方正仿宋_GBK" w:cs="方正仿宋_GBK"/>
          <w:color w:val="000000"/>
          <w:sz w:val="32"/>
          <w:szCs w:val="32"/>
        </w:rPr>
        <w:t>。</w:t>
      </w:r>
      <w:bookmarkStart w:id="2" w:name="_Toc11900"/>
    </w:p>
    <w:bookmarkEnd w:id="2"/>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color w:val="000000"/>
          <w:sz w:val="32"/>
          <w:szCs w:val="32"/>
        </w:rPr>
      </w:pPr>
      <w:r>
        <w:rPr>
          <w:rFonts w:hint="eastAsia" w:ascii="方正黑体_GBK" w:eastAsia="方正黑体_GBK"/>
          <w:color w:val="000000"/>
          <w:sz w:val="32"/>
          <w:szCs w:val="32"/>
        </w:rPr>
        <w:t xml:space="preserve">第七条 </w:t>
      </w:r>
      <w:r>
        <w:rPr>
          <w:rFonts w:hint="eastAsia" w:eastAsia="方正仿宋_GBK"/>
          <w:color w:val="000000"/>
          <w:kern w:val="0"/>
          <w:sz w:val="36"/>
          <w:szCs w:val="36"/>
        </w:rPr>
        <w:t xml:space="preserve"> </w:t>
      </w:r>
      <w:r>
        <w:rPr>
          <w:rFonts w:eastAsia="方正仿宋_GBK"/>
          <w:color w:val="000000"/>
          <w:sz w:val="32"/>
          <w:szCs w:val="32"/>
        </w:rPr>
        <w:t>工资与效益联动机制</w:t>
      </w:r>
      <w:r>
        <w:rPr>
          <w:rFonts w:hint="eastAsia" w:eastAsia="方正仿宋_GBK"/>
          <w:color w:val="000000"/>
          <w:sz w:val="32"/>
          <w:szCs w:val="32"/>
        </w:rPr>
        <w:t>。</w:t>
      </w:r>
      <w:r>
        <w:rPr>
          <w:rFonts w:hint="eastAsia" w:ascii="方正仿宋_GBK" w:hAnsi="方正仿宋_GBK" w:eastAsia="方正仿宋_GBK" w:cs="方正仿宋_GBK"/>
          <w:color w:val="000000"/>
          <w:sz w:val="32"/>
          <w:szCs w:val="32"/>
        </w:rPr>
        <w:t>按照“效益增工资增、效益降工资降”的同向联动原则和工资总额确定办法，突出绩效导向，实施工资总额分类管理，合理确定国有企业年度工资总额增长或下降幅度。</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（一）企业经济效益增长的，国有企业当年工资总额增长幅度可在不超过经济效益增长幅度范围内确定，具体分类如下：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商业一类企业：当年劳动生产率未提高、上年人工成本投入产出率低于行业平均水平或者上年职工平均工资高于同期城镇单位就业人员平均工资3倍的，当年工资总额增长幅度在不超过同期经济效益增长幅度的90%范围内确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xml:space="preserve">商业二类企业：当年劳动生产率未提高、上年人工成本投入产出率低于行业平均水平或者上年职工平均工资高于同期城镇单位就业人员平均工资3倍的，当年工资总额增长幅度在不超过同期经济效益增长幅度的85%范围内确定且职工平均工资增长幅度不得超过区人力社保局等部门规定的工资增长调控目标。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公益类企业：当年劳动生产率未提高、上年人工成本投入产出率低于行业平均水平或者上年职工平均工资高于同期城镇单位就业人员平均工资2.5倍的，当年工资总额增长幅度在不超过同期经济效益增长幅度的80%范围内确定且职工平均工资增长幅度不得超过区人力社保局等部门规定的工资增长调控目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文化类企业：社会效益完成情况未达到良好考核等级、当年劳动生产率未提高、上年人工成本投入产出率低于行业平均水平或者上年职工平均工资高于同期城镇单位就业人员平均工资2.5倍的，当年工资总额增长幅度在不超过同期经济效益增长幅度的80%范围内确定且职工平均工资增长幅度不得超过区人力社保局等部门规定的工资增长调控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企业经济效益下降的，当年工资总额原则上应相应下降。其中，当年劳动生产率未下降、上年人工成本投入产出率优于行业平均水平、上年职工平均工资低于同期城镇单位就业人员平均工资70%，文化类企业当年社会效益完成情况达到良好以上考核等级的，当年工资总额下降幅度可在不超过同期经济效益下降幅度的50%范围内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（三）企业经济效益发生剧烈波动，导致按照工资与效益联动机制确定的工资总额波动超过30%的，在企业具备工资支付能力的前提下，当年工资总额增减幅度原则上在不超过30%范围内确定。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（四）企业未实现国有资产保值增值的，工资总额不得增长，或者适度下降；对实现减亏的企业，经区国资委同意，可适当增加工资总额，原则上工资总额增长幅度最高不超过5%。</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（五）企业经济效益受政策调整或承担重大战略任务等因素影响的，经区国资委同意，剔除相关影响因素后，按规定确定工资总额。</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eastAsia="方正黑体_GBK"/>
          <w:color w:val="000000"/>
          <w:sz w:val="32"/>
          <w:szCs w:val="32"/>
        </w:rPr>
      </w:pPr>
      <w:r>
        <w:rPr>
          <w:rFonts w:hint="eastAsia" w:ascii="方正仿宋_GBK" w:hAnsi="方正仿宋_GBK" w:eastAsia="方正仿宋_GBK" w:cs="方正仿宋_GBK"/>
          <w:color w:val="000000"/>
          <w:sz w:val="32"/>
          <w:szCs w:val="32"/>
        </w:rPr>
        <w:t>（六）区属国有企业按照工资与效益联动机制确定工资总额，原则上增人不增工资总额、减人不减工资总额，发生外部兼并重组、撤销、新设企业或分支机构等涉及人员变动较大、影响工资总额较多的，可以合理增加或者减少工资总额，并相应调整次年工资总额基数。</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方正仿宋_GBK"/>
          <w:color w:val="000000"/>
          <w:sz w:val="32"/>
          <w:szCs w:val="32"/>
        </w:rPr>
      </w:pPr>
      <w:r>
        <w:rPr>
          <w:rFonts w:hint="eastAsia" w:ascii="方正黑体_GBK" w:eastAsia="方正黑体_GBK"/>
          <w:color w:val="000000"/>
          <w:sz w:val="32"/>
          <w:szCs w:val="32"/>
        </w:rPr>
        <w:t xml:space="preserve">第八条  </w:t>
      </w:r>
      <w:r>
        <w:rPr>
          <w:rFonts w:hint="eastAsia" w:ascii="方正仿宋_GBK" w:hAnsi="方正仿宋_GBK" w:eastAsia="方正仿宋_GBK" w:cs="方正仿宋_GBK"/>
          <w:color w:val="000000"/>
          <w:sz w:val="32"/>
          <w:szCs w:val="32"/>
        </w:rPr>
        <w:t>分类确定工资效益联动指标。</w:t>
      </w:r>
      <w:r>
        <w:rPr>
          <w:rFonts w:eastAsia="方正仿宋_GBK"/>
          <w:color w:val="000000"/>
          <w:sz w:val="32"/>
          <w:szCs w:val="32"/>
        </w:rPr>
        <w:t>根据</w:t>
      </w:r>
      <w:r>
        <w:rPr>
          <w:rFonts w:hint="eastAsia" w:eastAsia="方正仿宋_GBK"/>
          <w:color w:val="000000"/>
          <w:sz w:val="32"/>
          <w:szCs w:val="32"/>
        </w:rPr>
        <w:t>企业</w:t>
      </w:r>
      <w:r>
        <w:rPr>
          <w:rFonts w:eastAsia="方正仿宋_GBK"/>
          <w:color w:val="000000"/>
          <w:sz w:val="32"/>
          <w:szCs w:val="32"/>
        </w:rPr>
        <w:t>功能性质定位、行业特点，结合实际情况，分类设置联动指标及权重，合理确定考核目标，突出不同考核重点。</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方正仿宋_GBK"/>
          <w:color w:val="000000"/>
          <w:sz w:val="32"/>
          <w:szCs w:val="32"/>
        </w:rPr>
      </w:pPr>
      <w:r>
        <w:rPr>
          <w:rFonts w:hint="eastAsia" w:eastAsia="方正仿宋_GBK"/>
          <w:color w:val="000000"/>
          <w:sz w:val="32"/>
          <w:szCs w:val="32"/>
        </w:rPr>
        <w:t>（一）</w:t>
      </w:r>
      <w:r>
        <w:rPr>
          <w:rFonts w:eastAsia="方正仿宋_GBK"/>
          <w:color w:val="000000"/>
          <w:sz w:val="32"/>
          <w:szCs w:val="32"/>
        </w:rPr>
        <w:t>商业一类企业选取反映经济效益和市场竞争能力的指标，主要为：</w:t>
      </w:r>
      <w:r>
        <w:rPr>
          <w:rFonts w:hint="eastAsia" w:ascii="方正仿宋_GBK" w:hAnsi="方正仿宋_GBK" w:eastAsia="方正仿宋_GBK" w:cs="方正仿宋_GBK"/>
          <w:color w:val="000000"/>
          <w:sz w:val="32"/>
          <w:szCs w:val="32"/>
        </w:rPr>
        <w:t>利润总额、人工成本利润率</w:t>
      </w:r>
      <w:r>
        <w:rPr>
          <w:rFonts w:eastAsia="方正仿宋_GBK"/>
          <w:color w:val="000000"/>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方正仿宋_GBK"/>
          <w:color w:val="000000"/>
          <w:sz w:val="32"/>
          <w:szCs w:val="32"/>
        </w:rPr>
      </w:pPr>
      <w:r>
        <w:rPr>
          <w:rFonts w:hint="eastAsia" w:eastAsia="方正仿宋_GBK"/>
          <w:color w:val="000000"/>
          <w:sz w:val="32"/>
          <w:szCs w:val="32"/>
        </w:rPr>
        <w:t>（二）</w:t>
      </w:r>
      <w:r>
        <w:rPr>
          <w:rFonts w:eastAsia="方正仿宋_GBK"/>
          <w:color w:val="000000"/>
          <w:sz w:val="32"/>
          <w:szCs w:val="32"/>
        </w:rPr>
        <w:t>商业二类企业选取反映公司运营</w:t>
      </w:r>
      <w:r>
        <w:rPr>
          <w:rFonts w:hint="eastAsia" w:eastAsia="方正仿宋_GBK"/>
          <w:color w:val="000000"/>
          <w:sz w:val="32"/>
          <w:szCs w:val="32"/>
        </w:rPr>
        <w:t>、</w:t>
      </w:r>
      <w:r>
        <w:rPr>
          <w:rFonts w:eastAsia="方正仿宋_GBK"/>
          <w:color w:val="000000"/>
          <w:sz w:val="32"/>
          <w:szCs w:val="32"/>
        </w:rPr>
        <w:t>服务经济发展等情况的指标，主要为：</w:t>
      </w:r>
      <w:r>
        <w:rPr>
          <w:rFonts w:hint="eastAsia" w:eastAsia="方正仿宋_GBK"/>
          <w:color w:val="000000"/>
          <w:sz w:val="32"/>
          <w:szCs w:val="32"/>
        </w:rPr>
        <w:t>利润总额</w:t>
      </w:r>
      <w:r>
        <w:rPr>
          <w:rFonts w:hint="eastAsia" w:ascii="方正仿宋_GBK" w:hAnsi="方正仿宋_GBK" w:eastAsia="方正仿宋_GBK" w:cs="方正仿宋_GBK"/>
          <w:color w:val="000000"/>
          <w:sz w:val="32"/>
          <w:szCs w:val="32"/>
        </w:rPr>
        <w:t>、营业收入</w:t>
      </w:r>
      <w:r>
        <w:rPr>
          <w:rFonts w:eastAsia="方正仿宋_GBK"/>
          <w:color w:val="000000"/>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eastAsia="方正仿宋_GBK"/>
          <w:color w:val="000000"/>
          <w:sz w:val="32"/>
          <w:szCs w:val="32"/>
        </w:rPr>
        <w:t>（三）</w:t>
      </w:r>
      <w:r>
        <w:rPr>
          <w:rFonts w:eastAsia="方正仿宋_GBK"/>
          <w:color w:val="000000"/>
          <w:sz w:val="32"/>
          <w:szCs w:val="32"/>
        </w:rPr>
        <w:t>公益类企业选取反映公司运营、成本费用控制等情况的指标，主要为：</w:t>
      </w:r>
      <w:r>
        <w:rPr>
          <w:rFonts w:hint="eastAsia" w:ascii="方正仿宋_GBK" w:hAnsi="方正仿宋_GBK" w:eastAsia="方正仿宋_GBK" w:cs="方正仿宋_GBK"/>
          <w:color w:val="000000"/>
          <w:sz w:val="32"/>
          <w:szCs w:val="32"/>
        </w:rPr>
        <w:t>营业收入、成本费用控制率。</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黑体" w:eastAsia="方正黑体_GBK"/>
          <w:color w:val="000000"/>
          <w:sz w:val="32"/>
          <w:szCs w:val="32"/>
        </w:rPr>
      </w:pPr>
      <w:r>
        <w:rPr>
          <w:rFonts w:hint="eastAsia" w:eastAsia="方正仿宋_GBK"/>
          <w:color w:val="000000"/>
          <w:sz w:val="32"/>
          <w:szCs w:val="32"/>
        </w:rPr>
        <w:t>（四）文化类企业</w:t>
      </w:r>
      <w:r>
        <w:rPr>
          <w:rFonts w:eastAsia="方正仿宋_GBK"/>
          <w:color w:val="000000"/>
          <w:sz w:val="32"/>
          <w:szCs w:val="32"/>
        </w:rPr>
        <w:t>选取反映国有资本保值增值</w:t>
      </w:r>
      <w:r>
        <w:rPr>
          <w:rFonts w:hint="eastAsia" w:eastAsia="方正仿宋_GBK"/>
          <w:color w:val="000000"/>
          <w:sz w:val="32"/>
          <w:szCs w:val="32"/>
        </w:rPr>
        <w:t>及公司运营等情况的指标，主要为：</w:t>
      </w:r>
      <w:r>
        <w:rPr>
          <w:rFonts w:eastAsia="方正仿宋_GBK"/>
          <w:color w:val="000000"/>
          <w:sz w:val="32"/>
          <w:szCs w:val="32"/>
        </w:rPr>
        <w:t>国有资本保值增值</w:t>
      </w:r>
      <w:r>
        <w:rPr>
          <w:rFonts w:hint="eastAsia" w:ascii="方正仿宋_GBK" w:hAnsi="方正仿宋_GBK" w:eastAsia="方正仿宋_GBK" w:cs="方正仿宋_GBK"/>
          <w:color w:val="000000"/>
          <w:sz w:val="32"/>
          <w:szCs w:val="32"/>
        </w:rPr>
        <w:t>率、营业收入</w:t>
      </w:r>
      <w:r>
        <w:rPr>
          <w:rFonts w:hint="eastAsia" w:eastAsia="方正仿宋_GBK"/>
          <w:color w:val="000000"/>
          <w:sz w:val="32"/>
          <w:szCs w:val="32"/>
        </w:rPr>
        <w:t>。</w:t>
      </w:r>
    </w:p>
    <w:p>
      <w:pPr>
        <w:spacing w:line="440" w:lineRule="exact"/>
        <w:jc w:val="center"/>
        <w:rPr>
          <w:rFonts w:hint="eastAsia" w:ascii="方正黑体_GBK" w:hAnsi="黑体" w:eastAsia="方正黑体_GBK"/>
          <w:color w:val="000000"/>
          <w:sz w:val="32"/>
          <w:szCs w:val="32"/>
        </w:rPr>
      </w:pPr>
      <w:r>
        <w:rPr>
          <w:rFonts w:hint="eastAsia" w:ascii="方正黑体_GBK" w:hAnsi="黑体" w:eastAsia="方正黑体_GBK"/>
          <w:color w:val="000000"/>
          <w:sz w:val="32"/>
          <w:szCs w:val="32"/>
        </w:rPr>
        <w:t>企业经济效益联动指标</w:t>
      </w:r>
    </w:p>
    <w:tbl>
      <w:tblPr>
        <w:tblStyle w:val="8"/>
        <w:tblW w:w="7656" w:type="dxa"/>
        <w:jc w:val="center"/>
        <w:tblInd w:w="0" w:type="dxa"/>
        <w:tblLayout w:type="fixed"/>
        <w:tblCellMar>
          <w:top w:w="0" w:type="dxa"/>
          <w:left w:w="108" w:type="dxa"/>
          <w:bottom w:w="0" w:type="dxa"/>
          <w:right w:w="108" w:type="dxa"/>
        </w:tblCellMar>
      </w:tblPr>
      <w:tblGrid>
        <w:gridCol w:w="950"/>
        <w:gridCol w:w="1794"/>
        <w:gridCol w:w="3114"/>
        <w:gridCol w:w="1798"/>
      </w:tblGrid>
      <w:tr>
        <w:tblPrEx>
          <w:tblLayout w:type="fixed"/>
          <w:tblCellMar>
            <w:top w:w="0" w:type="dxa"/>
            <w:left w:w="108" w:type="dxa"/>
            <w:bottom w:w="0" w:type="dxa"/>
            <w:right w:w="108" w:type="dxa"/>
          </w:tblCellMar>
        </w:tblPrEx>
        <w:trPr>
          <w:trHeight w:val="428" w:hRule="exact"/>
          <w:jc w:val="center"/>
        </w:trPr>
        <w:tc>
          <w:tcPr>
            <w:tcW w:w="9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b/>
                <w:bCs/>
                <w:color w:val="000000"/>
                <w:sz w:val="32"/>
                <w:szCs w:val="32"/>
              </w:rPr>
            </w:pPr>
            <w:r>
              <w:rPr>
                <w:rFonts w:hint="eastAsia" w:eastAsia="方正仿宋_GBK"/>
                <w:b/>
                <w:bCs/>
                <w:color w:val="000000"/>
                <w:sz w:val="32"/>
                <w:szCs w:val="32"/>
              </w:rPr>
              <w:t>序号</w:t>
            </w:r>
          </w:p>
        </w:tc>
        <w:tc>
          <w:tcPr>
            <w:tcW w:w="179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b/>
                <w:bCs/>
                <w:color w:val="000000"/>
                <w:sz w:val="32"/>
                <w:szCs w:val="32"/>
              </w:rPr>
            </w:pPr>
            <w:r>
              <w:rPr>
                <w:rFonts w:hint="eastAsia" w:eastAsia="方正仿宋_GBK"/>
                <w:b/>
                <w:bCs/>
                <w:color w:val="000000"/>
                <w:sz w:val="32"/>
                <w:szCs w:val="32"/>
              </w:rPr>
              <w:t>公司类别</w:t>
            </w:r>
          </w:p>
        </w:tc>
        <w:tc>
          <w:tcPr>
            <w:tcW w:w="31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b/>
                <w:bCs/>
                <w:color w:val="000000"/>
                <w:sz w:val="32"/>
                <w:szCs w:val="32"/>
              </w:rPr>
            </w:pPr>
            <w:r>
              <w:rPr>
                <w:rFonts w:hint="eastAsia" w:eastAsia="方正仿宋_GBK"/>
                <w:b/>
                <w:bCs/>
                <w:color w:val="000000"/>
                <w:sz w:val="32"/>
                <w:szCs w:val="32"/>
              </w:rPr>
              <w:t>指 标</w:t>
            </w:r>
          </w:p>
        </w:tc>
        <w:tc>
          <w:tcPr>
            <w:tcW w:w="17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b/>
                <w:bCs/>
                <w:color w:val="000000"/>
                <w:sz w:val="32"/>
                <w:szCs w:val="32"/>
              </w:rPr>
            </w:pPr>
            <w:r>
              <w:rPr>
                <w:rFonts w:hint="eastAsia" w:eastAsia="方正仿宋_GBK"/>
                <w:b/>
                <w:bCs/>
                <w:color w:val="000000"/>
                <w:sz w:val="32"/>
                <w:szCs w:val="32"/>
              </w:rPr>
              <w:t>权 重</w:t>
            </w:r>
          </w:p>
        </w:tc>
      </w:tr>
      <w:tr>
        <w:tblPrEx>
          <w:tblLayout w:type="fixed"/>
          <w:tblCellMar>
            <w:top w:w="0" w:type="dxa"/>
            <w:left w:w="108" w:type="dxa"/>
            <w:bottom w:w="0" w:type="dxa"/>
            <w:right w:w="108" w:type="dxa"/>
          </w:tblCellMar>
        </w:tblPrEx>
        <w:trPr>
          <w:trHeight w:val="428" w:hRule="exact"/>
          <w:jc w:val="center"/>
        </w:trPr>
        <w:tc>
          <w:tcPr>
            <w:tcW w:w="9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32"/>
                <w:szCs w:val="32"/>
              </w:rPr>
            </w:pPr>
            <w:r>
              <w:rPr>
                <w:rFonts w:hint="eastAsia" w:eastAsia="方正仿宋_GBK"/>
                <w:color w:val="000000"/>
                <w:sz w:val="32"/>
                <w:szCs w:val="32"/>
              </w:rPr>
              <w:t>1</w:t>
            </w:r>
          </w:p>
        </w:tc>
        <w:tc>
          <w:tcPr>
            <w:tcW w:w="179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32"/>
                <w:szCs w:val="32"/>
              </w:rPr>
            </w:pPr>
            <w:r>
              <w:rPr>
                <w:rFonts w:hint="eastAsia" w:eastAsia="方正仿宋_GBK"/>
                <w:color w:val="000000"/>
                <w:sz w:val="32"/>
                <w:szCs w:val="32"/>
              </w:rPr>
              <w:t>商业一类</w:t>
            </w:r>
          </w:p>
        </w:tc>
        <w:tc>
          <w:tcPr>
            <w:tcW w:w="31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方正仿宋_GBK"/>
                <w:color w:val="000000"/>
                <w:sz w:val="32"/>
                <w:szCs w:val="32"/>
              </w:rPr>
            </w:pPr>
            <w:r>
              <w:rPr>
                <w:rFonts w:hint="eastAsia" w:eastAsia="方正仿宋_GBK"/>
                <w:color w:val="000000"/>
                <w:sz w:val="32"/>
                <w:szCs w:val="32"/>
              </w:rPr>
              <w:t>利润总额</w:t>
            </w:r>
          </w:p>
        </w:tc>
        <w:tc>
          <w:tcPr>
            <w:tcW w:w="17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640" w:firstLineChars="200"/>
              <w:rPr>
                <w:rFonts w:eastAsia="方正仿宋_GBK"/>
                <w:color w:val="000000"/>
                <w:sz w:val="32"/>
                <w:szCs w:val="32"/>
              </w:rPr>
            </w:pPr>
            <w:r>
              <w:rPr>
                <w:rFonts w:hint="eastAsia" w:eastAsia="方正仿宋_GBK"/>
                <w:color w:val="000000"/>
                <w:sz w:val="32"/>
                <w:szCs w:val="32"/>
              </w:rPr>
              <w:t>60%</w:t>
            </w:r>
          </w:p>
        </w:tc>
      </w:tr>
      <w:tr>
        <w:tblPrEx>
          <w:tblLayout w:type="fixed"/>
          <w:tblCellMar>
            <w:top w:w="0" w:type="dxa"/>
            <w:left w:w="108" w:type="dxa"/>
            <w:bottom w:w="0" w:type="dxa"/>
            <w:right w:w="108" w:type="dxa"/>
          </w:tblCellMar>
        </w:tblPrEx>
        <w:trPr>
          <w:trHeight w:val="428" w:hRule="exac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640" w:firstLineChars="200"/>
              <w:jc w:val="center"/>
              <w:rPr>
                <w:rFonts w:eastAsia="方正仿宋_GBK"/>
                <w:color w:val="000000"/>
                <w:sz w:val="32"/>
                <w:szCs w:val="32"/>
              </w:rPr>
            </w:pPr>
          </w:p>
        </w:tc>
        <w:tc>
          <w:tcPr>
            <w:tcW w:w="17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640" w:firstLineChars="200"/>
              <w:jc w:val="center"/>
              <w:rPr>
                <w:rFonts w:eastAsia="方正仿宋_GBK"/>
                <w:color w:val="000000"/>
                <w:sz w:val="32"/>
                <w:szCs w:val="32"/>
              </w:rPr>
            </w:pPr>
          </w:p>
        </w:tc>
        <w:tc>
          <w:tcPr>
            <w:tcW w:w="31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方正仿宋_GBK"/>
                <w:color w:val="000000"/>
                <w:sz w:val="32"/>
                <w:szCs w:val="32"/>
              </w:rPr>
            </w:pPr>
            <w:r>
              <w:rPr>
                <w:rFonts w:hint="eastAsia" w:eastAsia="方正仿宋_GBK"/>
                <w:color w:val="000000"/>
                <w:sz w:val="32"/>
                <w:szCs w:val="32"/>
              </w:rPr>
              <w:t>人工成本利润率</w:t>
            </w:r>
          </w:p>
        </w:tc>
        <w:tc>
          <w:tcPr>
            <w:tcW w:w="17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640" w:firstLineChars="200"/>
              <w:rPr>
                <w:rFonts w:eastAsia="方正仿宋_GBK"/>
                <w:color w:val="000000"/>
                <w:sz w:val="32"/>
                <w:szCs w:val="32"/>
              </w:rPr>
            </w:pPr>
            <w:r>
              <w:rPr>
                <w:rFonts w:hint="eastAsia" w:eastAsia="方正仿宋_GBK"/>
                <w:color w:val="000000"/>
                <w:sz w:val="32"/>
                <w:szCs w:val="32"/>
              </w:rPr>
              <w:t>40%</w:t>
            </w:r>
          </w:p>
        </w:tc>
      </w:tr>
      <w:tr>
        <w:tblPrEx>
          <w:tblLayout w:type="fixed"/>
          <w:tblCellMar>
            <w:top w:w="0" w:type="dxa"/>
            <w:left w:w="108" w:type="dxa"/>
            <w:bottom w:w="0" w:type="dxa"/>
            <w:right w:w="108" w:type="dxa"/>
          </w:tblCellMar>
        </w:tblPrEx>
        <w:trPr>
          <w:trHeight w:val="428" w:hRule="exact"/>
          <w:jc w:val="center"/>
        </w:trPr>
        <w:tc>
          <w:tcPr>
            <w:tcW w:w="9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32"/>
                <w:szCs w:val="32"/>
              </w:rPr>
            </w:pPr>
            <w:r>
              <w:rPr>
                <w:rFonts w:hint="eastAsia" w:eastAsia="方正仿宋_GBK"/>
                <w:color w:val="000000"/>
                <w:sz w:val="32"/>
                <w:szCs w:val="32"/>
              </w:rPr>
              <w:t>2</w:t>
            </w:r>
          </w:p>
        </w:tc>
        <w:tc>
          <w:tcPr>
            <w:tcW w:w="179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32"/>
                <w:szCs w:val="32"/>
              </w:rPr>
            </w:pPr>
            <w:r>
              <w:rPr>
                <w:rFonts w:hint="eastAsia" w:eastAsia="方正仿宋_GBK"/>
                <w:color w:val="000000"/>
                <w:sz w:val="32"/>
                <w:szCs w:val="32"/>
              </w:rPr>
              <w:t>商业二类</w:t>
            </w:r>
          </w:p>
        </w:tc>
        <w:tc>
          <w:tcPr>
            <w:tcW w:w="31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方正仿宋_GBK"/>
                <w:color w:val="000000"/>
                <w:sz w:val="32"/>
                <w:szCs w:val="32"/>
              </w:rPr>
            </w:pPr>
            <w:r>
              <w:rPr>
                <w:rFonts w:hint="eastAsia" w:eastAsia="方正仿宋_GBK"/>
                <w:color w:val="000000"/>
                <w:sz w:val="32"/>
                <w:szCs w:val="32"/>
              </w:rPr>
              <w:t>利润总额</w:t>
            </w:r>
          </w:p>
        </w:tc>
        <w:tc>
          <w:tcPr>
            <w:tcW w:w="17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640" w:firstLineChars="200"/>
              <w:rPr>
                <w:rFonts w:eastAsia="方正仿宋_GBK"/>
                <w:color w:val="000000"/>
                <w:sz w:val="32"/>
                <w:szCs w:val="32"/>
              </w:rPr>
            </w:pPr>
            <w:r>
              <w:rPr>
                <w:rFonts w:hint="eastAsia" w:eastAsia="方正仿宋_GBK"/>
                <w:color w:val="000000"/>
                <w:sz w:val="32"/>
                <w:szCs w:val="32"/>
              </w:rPr>
              <w:t>60%</w:t>
            </w:r>
          </w:p>
        </w:tc>
      </w:tr>
      <w:tr>
        <w:tblPrEx>
          <w:tblLayout w:type="fixed"/>
          <w:tblCellMar>
            <w:top w:w="0" w:type="dxa"/>
            <w:left w:w="108" w:type="dxa"/>
            <w:bottom w:w="0" w:type="dxa"/>
            <w:right w:w="108" w:type="dxa"/>
          </w:tblCellMar>
        </w:tblPrEx>
        <w:trPr>
          <w:trHeight w:val="428" w:hRule="exac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640" w:firstLineChars="200"/>
              <w:jc w:val="center"/>
              <w:rPr>
                <w:rFonts w:eastAsia="方正仿宋_GBK"/>
                <w:color w:val="000000"/>
                <w:sz w:val="32"/>
                <w:szCs w:val="32"/>
              </w:rPr>
            </w:pPr>
          </w:p>
        </w:tc>
        <w:tc>
          <w:tcPr>
            <w:tcW w:w="17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640" w:firstLineChars="200"/>
              <w:jc w:val="center"/>
              <w:rPr>
                <w:rFonts w:eastAsia="方正仿宋_GBK"/>
                <w:color w:val="000000"/>
                <w:sz w:val="32"/>
                <w:szCs w:val="32"/>
              </w:rPr>
            </w:pPr>
          </w:p>
        </w:tc>
        <w:tc>
          <w:tcPr>
            <w:tcW w:w="31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方正仿宋_GBK"/>
                <w:color w:val="000000"/>
                <w:sz w:val="32"/>
                <w:szCs w:val="32"/>
              </w:rPr>
            </w:pPr>
            <w:r>
              <w:rPr>
                <w:rFonts w:hint="eastAsia" w:eastAsia="方正仿宋_GBK"/>
                <w:color w:val="000000"/>
                <w:sz w:val="32"/>
                <w:szCs w:val="32"/>
              </w:rPr>
              <w:t>营业收入</w:t>
            </w:r>
          </w:p>
        </w:tc>
        <w:tc>
          <w:tcPr>
            <w:tcW w:w="17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640" w:firstLineChars="200"/>
              <w:rPr>
                <w:rFonts w:eastAsia="方正仿宋_GBK"/>
                <w:color w:val="000000"/>
                <w:sz w:val="32"/>
                <w:szCs w:val="32"/>
              </w:rPr>
            </w:pPr>
            <w:r>
              <w:rPr>
                <w:rFonts w:hint="eastAsia" w:eastAsia="方正仿宋_GBK"/>
                <w:color w:val="000000"/>
                <w:sz w:val="32"/>
                <w:szCs w:val="32"/>
              </w:rPr>
              <w:t>40%</w:t>
            </w:r>
          </w:p>
        </w:tc>
      </w:tr>
      <w:tr>
        <w:tblPrEx>
          <w:tblLayout w:type="fixed"/>
          <w:tblCellMar>
            <w:top w:w="0" w:type="dxa"/>
            <w:left w:w="108" w:type="dxa"/>
            <w:bottom w:w="0" w:type="dxa"/>
            <w:right w:w="108" w:type="dxa"/>
          </w:tblCellMar>
        </w:tblPrEx>
        <w:trPr>
          <w:trHeight w:val="428" w:hRule="exact"/>
          <w:jc w:val="center"/>
        </w:trPr>
        <w:tc>
          <w:tcPr>
            <w:tcW w:w="9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32"/>
                <w:szCs w:val="32"/>
              </w:rPr>
            </w:pPr>
            <w:r>
              <w:rPr>
                <w:rFonts w:hint="eastAsia" w:eastAsia="方正仿宋_GBK"/>
                <w:color w:val="000000"/>
                <w:sz w:val="32"/>
                <w:szCs w:val="32"/>
              </w:rPr>
              <w:t>3</w:t>
            </w:r>
          </w:p>
        </w:tc>
        <w:tc>
          <w:tcPr>
            <w:tcW w:w="179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32"/>
                <w:szCs w:val="32"/>
              </w:rPr>
            </w:pPr>
            <w:r>
              <w:rPr>
                <w:rFonts w:hint="eastAsia" w:eastAsia="方正仿宋_GBK"/>
                <w:color w:val="000000"/>
                <w:sz w:val="32"/>
                <w:szCs w:val="32"/>
              </w:rPr>
              <w:t>公益类</w:t>
            </w:r>
          </w:p>
        </w:tc>
        <w:tc>
          <w:tcPr>
            <w:tcW w:w="31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方正仿宋_GBK"/>
                <w:color w:val="000000"/>
                <w:sz w:val="32"/>
                <w:szCs w:val="32"/>
              </w:rPr>
            </w:pPr>
            <w:r>
              <w:rPr>
                <w:rFonts w:hint="eastAsia" w:eastAsia="方正仿宋_GBK"/>
                <w:color w:val="000000"/>
                <w:sz w:val="32"/>
                <w:szCs w:val="32"/>
              </w:rPr>
              <w:t>营业收入</w:t>
            </w:r>
          </w:p>
        </w:tc>
        <w:tc>
          <w:tcPr>
            <w:tcW w:w="17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640" w:firstLineChars="200"/>
              <w:rPr>
                <w:rFonts w:eastAsia="方正仿宋_GBK"/>
                <w:color w:val="000000"/>
                <w:sz w:val="32"/>
                <w:szCs w:val="32"/>
              </w:rPr>
            </w:pPr>
            <w:r>
              <w:rPr>
                <w:rFonts w:hint="eastAsia" w:eastAsia="方正仿宋_GBK"/>
                <w:color w:val="000000"/>
                <w:sz w:val="32"/>
                <w:szCs w:val="32"/>
              </w:rPr>
              <w:t>70%</w:t>
            </w:r>
          </w:p>
        </w:tc>
      </w:tr>
      <w:tr>
        <w:tblPrEx>
          <w:tblLayout w:type="fixed"/>
          <w:tblCellMar>
            <w:top w:w="0" w:type="dxa"/>
            <w:left w:w="108" w:type="dxa"/>
            <w:bottom w:w="0" w:type="dxa"/>
            <w:right w:w="108" w:type="dxa"/>
          </w:tblCellMar>
        </w:tblPrEx>
        <w:trPr>
          <w:trHeight w:val="450" w:hRule="exact"/>
          <w:jc w:val="center"/>
        </w:trPr>
        <w:tc>
          <w:tcPr>
            <w:tcW w:w="9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640" w:firstLineChars="200"/>
              <w:jc w:val="center"/>
              <w:rPr>
                <w:rFonts w:eastAsia="方正仿宋_GBK"/>
                <w:color w:val="000000"/>
                <w:sz w:val="32"/>
                <w:szCs w:val="32"/>
              </w:rPr>
            </w:pPr>
          </w:p>
        </w:tc>
        <w:tc>
          <w:tcPr>
            <w:tcW w:w="17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640" w:firstLineChars="200"/>
              <w:jc w:val="center"/>
              <w:rPr>
                <w:rFonts w:eastAsia="方正仿宋_GBK"/>
                <w:color w:val="000000"/>
                <w:sz w:val="32"/>
                <w:szCs w:val="32"/>
              </w:rPr>
            </w:pPr>
          </w:p>
        </w:tc>
        <w:tc>
          <w:tcPr>
            <w:tcW w:w="31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方正仿宋_GBK"/>
                <w:color w:val="000000"/>
                <w:sz w:val="32"/>
                <w:szCs w:val="32"/>
              </w:rPr>
            </w:pPr>
            <w:r>
              <w:rPr>
                <w:rFonts w:hint="eastAsia" w:eastAsia="方正仿宋_GBK"/>
                <w:color w:val="000000"/>
                <w:sz w:val="32"/>
                <w:szCs w:val="32"/>
              </w:rPr>
              <w:t>成本费用控制率</w:t>
            </w:r>
          </w:p>
        </w:tc>
        <w:tc>
          <w:tcPr>
            <w:tcW w:w="17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640" w:firstLineChars="200"/>
              <w:rPr>
                <w:rFonts w:eastAsia="方正仿宋_GBK"/>
                <w:color w:val="000000"/>
                <w:sz w:val="32"/>
                <w:szCs w:val="32"/>
              </w:rPr>
            </w:pPr>
            <w:r>
              <w:rPr>
                <w:rFonts w:hint="eastAsia" w:eastAsia="方正仿宋_GBK"/>
                <w:color w:val="000000"/>
                <w:sz w:val="32"/>
                <w:szCs w:val="32"/>
              </w:rPr>
              <w:t>30</w:t>
            </w:r>
            <w:r>
              <w:rPr>
                <w:rFonts w:eastAsia="方正仿宋_GBK"/>
                <w:color w:val="000000"/>
                <w:sz w:val="32"/>
                <w:szCs w:val="32"/>
              </w:rPr>
              <w:t>%</w:t>
            </w:r>
          </w:p>
        </w:tc>
      </w:tr>
      <w:tr>
        <w:tblPrEx>
          <w:tblLayout w:type="fixed"/>
          <w:tblCellMar>
            <w:top w:w="0" w:type="dxa"/>
            <w:left w:w="108" w:type="dxa"/>
            <w:bottom w:w="0" w:type="dxa"/>
            <w:right w:w="108" w:type="dxa"/>
          </w:tblCellMar>
        </w:tblPrEx>
        <w:trPr>
          <w:trHeight w:val="450" w:hRule="exact"/>
          <w:jc w:val="center"/>
        </w:trPr>
        <w:tc>
          <w:tcPr>
            <w:tcW w:w="950"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hint="eastAsia" w:eastAsia="方正仿宋_GBK"/>
                <w:color w:val="000000"/>
                <w:sz w:val="32"/>
                <w:szCs w:val="32"/>
              </w:rPr>
            </w:pPr>
            <w:r>
              <w:rPr>
                <w:rFonts w:hint="eastAsia" w:eastAsia="方正仿宋_GBK"/>
                <w:color w:val="000000"/>
                <w:sz w:val="32"/>
                <w:szCs w:val="32"/>
              </w:rPr>
              <w:t>4</w:t>
            </w:r>
          </w:p>
        </w:tc>
        <w:tc>
          <w:tcPr>
            <w:tcW w:w="1794"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hint="eastAsia" w:eastAsia="方正仿宋_GBK"/>
                <w:color w:val="000000"/>
                <w:sz w:val="32"/>
                <w:szCs w:val="32"/>
              </w:rPr>
            </w:pPr>
            <w:r>
              <w:rPr>
                <w:rFonts w:hint="eastAsia" w:eastAsia="方正仿宋_GBK"/>
                <w:color w:val="000000"/>
                <w:sz w:val="32"/>
                <w:szCs w:val="32"/>
              </w:rPr>
              <w:t>文化类</w:t>
            </w:r>
          </w:p>
        </w:tc>
        <w:tc>
          <w:tcPr>
            <w:tcW w:w="31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eastAsia="方正仿宋_GBK"/>
                <w:color w:val="000000"/>
                <w:sz w:val="32"/>
                <w:szCs w:val="32"/>
              </w:rPr>
            </w:pPr>
            <w:r>
              <w:rPr>
                <w:rFonts w:hint="eastAsia" w:eastAsia="方正仿宋_GBK"/>
                <w:color w:val="000000"/>
                <w:sz w:val="32"/>
                <w:szCs w:val="32"/>
              </w:rPr>
              <w:t>国有资本保值增值率</w:t>
            </w:r>
          </w:p>
        </w:tc>
        <w:tc>
          <w:tcPr>
            <w:tcW w:w="17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640" w:firstLineChars="200"/>
              <w:rPr>
                <w:rFonts w:hint="eastAsia" w:eastAsia="方正仿宋_GBK"/>
                <w:color w:val="000000"/>
                <w:sz w:val="32"/>
                <w:szCs w:val="32"/>
              </w:rPr>
            </w:pPr>
            <w:r>
              <w:rPr>
                <w:rFonts w:hint="eastAsia" w:eastAsia="方正仿宋_GBK"/>
                <w:color w:val="000000"/>
                <w:sz w:val="32"/>
                <w:szCs w:val="32"/>
              </w:rPr>
              <w:t>70%</w:t>
            </w:r>
          </w:p>
        </w:tc>
      </w:tr>
      <w:tr>
        <w:tblPrEx>
          <w:tblLayout w:type="fixed"/>
          <w:tblCellMar>
            <w:top w:w="0" w:type="dxa"/>
            <w:left w:w="108" w:type="dxa"/>
            <w:bottom w:w="0" w:type="dxa"/>
            <w:right w:w="108" w:type="dxa"/>
          </w:tblCellMar>
        </w:tblPrEx>
        <w:trPr>
          <w:trHeight w:val="450" w:hRule="exact"/>
          <w:jc w:val="center"/>
        </w:trPr>
        <w:tc>
          <w:tcPr>
            <w:tcW w:w="950" w:type="dxa"/>
            <w:vMerge w:val="continue"/>
            <w:tcBorders>
              <w:left w:val="single" w:color="auto" w:sz="4" w:space="0"/>
              <w:bottom w:val="single" w:color="auto" w:sz="4" w:space="0"/>
              <w:right w:val="single" w:color="auto" w:sz="4" w:space="0"/>
            </w:tcBorders>
            <w:vAlign w:val="center"/>
          </w:tcPr>
          <w:p>
            <w:pPr>
              <w:widowControl/>
              <w:spacing w:line="400" w:lineRule="exact"/>
              <w:ind w:firstLine="640" w:firstLineChars="200"/>
              <w:jc w:val="center"/>
              <w:rPr>
                <w:rFonts w:eastAsia="方正仿宋_GBK"/>
                <w:color w:val="000000"/>
                <w:sz w:val="32"/>
                <w:szCs w:val="32"/>
              </w:rPr>
            </w:pPr>
          </w:p>
        </w:tc>
        <w:tc>
          <w:tcPr>
            <w:tcW w:w="1794" w:type="dxa"/>
            <w:vMerge w:val="continue"/>
            <w:tcBorders>
              <w:left w:val="single" w:color="auto" w:sz="4" w:space="0"/>
              <w:bottom w:val="single" w:color="auto" w:sz="4" w:space="0"/>
              <w:right w:val="single" w:color="auto" w:sz="4" w:space="0"/>
            </w:tcBorders>
            <w:vAlign w:val="center"/>
          </w:tcPr>
          <w:p>
            <w:pPr>
              <w:widowControl/>
              <w:spacing w:line="400" w:lineRule="exact"/>
              <w:ind w:firstLine="640" w:firstLineChars="200"/>
              <w:jc w:val="center"/>
              <w:rPr>
                <w:rFonts w:eastAsia="方正仿宋_GBK"/>
                <w:color w:val="000000"/>
                <w:sz w:val="32"/>
                <w:szCs w:val="32"/>
              </w:rPr>
            </w:pPr>
          </w:p>
        </w:tc>
        <w:tc>
          <w:tcPr>
            <w:tcW w:w="31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eastAsia="方正仿宋_GBK"/>
                <w:color w:val="000000"/>
                <w:sz w:val="32"/>
                <w:szCs w:val="32"/>
              </w:rPr>
            </w:pPr>
            <w:r>
              <w:rPr>
                <w:rFonts w:hint="eastAsia" w:eastAsia="方正仿宋_GBK"/>
                <w:color w:val="000000"/>
                <w:sz w:val="32"/>
                <w:szCs w:val="32"/>
              </w:rPr>
              <w:t>营业收入</w:t>
            </w:r>
          </w:p>
        </w:tc>
        <w:tc>
          <w:tcPr>
            <w:tcW w:w="17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640" w:firstLineChars="200"/>
              <w:rPr>
                <w:rFonts w:hint="eastAsia" w:eastAsia="方正仿宋_GBK"/>
                <w:color w:val="000000"/>
                <w:sz w:val="32"/>
                <w:szCs w:val="32"/>
              </w:rPr>
            </w:pPr>
            <w:r>
              <w:rPr>
                <w:rFonts w:hint="eastAsia" w:eastAsia="方正仿宋_GBK"/>
                <w:color w:val="000000"/>
                <w:sz w:val="32"/>
                <w:szCs w:val="32"/>
              </w:rPr>
              <w:t>30</w:t>
            </w:r>
            <w:r>
              <w:rPr>
                <w:rFonts w:eastAsia="方正仿宋_GBK"/>
                <w:color w:val="000000"/>
                <w:sz w:val="32"/>
                <w:szCs w:val="32"/>
              </w:rPr>
              <w:t>%</w:t>
            </w:r>
          </w:p>
        </w:tc>
      </w:tr>
    </w:tbl>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黑体_GBK" w:hAnsi="方正黑体_GBK" w:eastAsia="方正黑体_GBK" w:cs="方正黑体_GBK"/>
          <w:color w:val="000000"/>
          <w:sz w:val="32"/>
          <w:szCs w:val="32"/>
        </w:rPr>
      </w:pPr>
      <w:bookmarkStart w:id="3" w:name="_Toc29854"/>
      <w:bookmarkStart w:id="4" w:name="_Toc19601"/>
      <w:r>
        <w:rPr>
          <w:rFonts w:hint="eastAsia" w:ascii="方正黑体_GBK" w:hAnsi="方正黑体_GBK" w:eastAsia="方正黑体_GBK" w:cs="方正黑体_GBK"/>
          <w:color w:val="000000"/>
          <w:sz w:val="32"/>
          <w:szCs w:val="32"/>
        </w:rPr>
        <w:t xml:space="preserve"> </w:t>
      </w:r>
      <w:bookmarkEnd w:id="3"/>
      <w:bookmarkEnd w:id="4"/>
      <w:r>
        <w:rPr>
          <w:rFonts w:hint="eastAsia" w:ascii="方正黑体_GBK" w:hAnsi="方正黑体_GBK" w:eastAsia="方正黑体_GBK" w:cs="方正黑体_GBK"/>
          <w:color w:val="000000"/>
          <w:sz w:val="32"/>
          <w:szCs w:val="32"/>
        </w:rPr>
        <w:t>工资总额管理方式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方正仿宋_GBK"/>
          <w:color w:val="000000"/>
          <w:sz w:val="32"/>
          <w:szCs w:val="32"/>
        </w:rPr>
      </w:pPr>
      <w:bookmarkStart w:id="5" w:name="_Toc13993"/>
      <w:bookmarkStart w:id="6" w:name="_Toc7229"/>
      <w:r>
        <w:rPr>
          <w:rFonts w:hint="eastAsia" w:ascii="方正黑体_GBK" w:eastAsia="方正黑体_GBK"/>
          <w:color w:val="000000"/>
          <w:kern w:val="0"/>
          <w:sz w:val="32"/>
          <w:szCs w:val="32"/>
        </w:rPr>
        <w:t>第九条</w:t>
      </w:r>
      <w:r>
        <w:rPr>
          <w:rFonts w:hint="eastAsia" w:ascii="方正仿宋_GBK" w:hAnsi="Calibri" w:eastAsia="方正仿宋_GBK"/>
          <w:color w:val="000000"/>
          <w:sz w:val="36"/>
          <w:szCs w:val="36"/>
        </w:rPr>
        <w:t xml:space="preserve">  </w:t>
      </w:r>
      <w:r>
        <w:rPr>
          <w:rFonts w:hint="eastAsia" w:eastAsia="方正仿宋_GBK"/>
          <w:color w:val="000000"/>
          <w:sz w:val="32"/>
          <w:szCs w:val="32"/>
        </w:rPr>
        <w:t>企业全面实行核准制工资总额预算管理。企业应以提升企业发展效率、增强企业发展活力为目的，根据工资收入分配政策与本企业实际情况自主编制企业及所属各级全资、控股子企业工资总额预算方案，按规定履行内部决策程序，于</w:t>
      </w:r>
      <w:r>
        <w:rPr>
          <w:rFonts w:hint="eastAsia" w:ascii="方正仿宋_GBK" w:hAnsi="方正仿宋_GBK" w:eastAsia="方正仿宋_GBK" w:cs="方正仿宋_GBK"/>
          <w:color w:val="000000"/>
          <w:sz w:val="32"/>
          <w:szCs w:val="32"/>
        </w:rPr>
        <w:t>每年3月30日前报区国资委核准后执行。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方正仿宋_GBK"/>
          <w:color w:val="000000"/>
          <w:sz w:val="32"/>
          <w:szCs w:val="32"/>
        </w:rPr>
      </w:pPr>
      <w:r>
        <w:rPr>
          <w:rFonts w:hint="eastAsia" w:ascii="方正黑体_GBK" w:eastAsia="方正黑体_GBK"/>
          <w:color w:val="000000"/>
          <w:kern w:val="0"/>
          <w:sz w:val="32"/>
          <w:szCs w:val="32"/>
        </w:rPr>
        <w:t>第十条</w:t>
      </w:r>
      <w:r>
        <w:rPr>
          <w:rFonts w:hint="eastAsia" w:ascii="方正仿宋_GBK" w:hAnsi="Calibri" w:eastAsia="方正仿宋_GBK"/>
          <w:color w:val="000000"/>
          <w:sz w:val="36"/>
          <w:szCs w:val="36"/>
        </w:rPr>
        <w:t xml:space="preserve">  </w:t>
      </w:r>
      <w:r>
        <w:rPr>
          <w:rFonts w:hint="eastAsia" w:eastAsia="方正仿宋_GBK"/>
          <w:color w:val="000000"/>
          <w:sz w:val="32"/>
          <w:szCs w:val="32"/>
        </w:rPr>
        <w:t>工资总额预算方案</w:t>
      </w:r>
      <w:r>
        <w:rPr>
          <w:rFonts w:hint="eastAsia" w:ascii="方正仿宋_GBK" w:hAnsi="方正仿宋_GBK" w:eastAsia="方正仿宋_GBK" w:cs="方正仿宋_GBK"/>
          <w:color w:val="000000"/>
          <w:sz w:val="32"/>
          <w:szCs w:val="32"/>
        </w:rPr>
        <w:t>编制范围和程序</w:t>
      </w:r>
      <w:r>
        <w:rPr>
          <w:rFonts w:hint="eastAsia" w:eastAsia="方正仿宋_GBK"/>
          <w:color w:val="000000"/>
          <w:sz w:val="32"/>
          <w:szCs w:val="32"/>
        </w:rPr>
        <w:t>。企业年度工资总额预算方案编制范围原则上应与上年度财务决算合并报表范围相一致，包括企业本级的工资总额预算方案编制和所属各级全资、控股子企业的工资总额预算方案合并报表编制。企业应按照“自上而下、上下结合、分级编制、逐级汇总”的程序，依据企业国有资产产权隶属关系或委托管理关系，以企业法人为单位，</w:t>
      </w:r>
      <w:r>
        <w:rPr>
          <w:rFonts w:hint="eastAsia" w:eastAsia="方正仿宋_GBK"/>
          <w:color w:val="000000"/>
          <w:sz w:val="32"/>
          <w:szCs w:val="32"/>
          <w:lang w:eastAsia="zh-CN"/>
        </w:rPr>
        <w:t>基</w:t>
      </w:r>
      <w:r>
        <w:rPr>
          <w:rFonts w:hint="eastAsia" w:eastAsia="方正仿宋_GBK"/>
          <w:color w:val="000000"/>
          <w:sz w:val="32"/>
          <w:szCs w:val="32"/>
        </w:rPr>
        <w:t>层组织做好工资总额预算方案编制工作。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方正仿宋_GBK"/>
          <w:color w:val="000000"/>
          <w:sz w:val="32"/>
          <w:szCs w:val="32"/>
        </w:rPr>
      </w:pPr>
      <w:r>
        <w:rPr>
          <w:rFonts w:hint="eastAsia" w:ascii="方正黑体_GBK" w:eastAsia="方正黑体_GBK"/>
          <w:color w:val="000000"/>
          <w:kern w:val="0"/>
          <w:sz w:val="32"/>
          <w:szCs w:val="32"/>
        </w:rPr>
        <w:t xml:space="preserve">第十一条  </w:t>
      </w:r>
      <w:r>
        <w:rPr>
          <w:rFonts w:hint="eastAsia" w:eastAsia="方正仿宋_GBK"/>
          <w:color w:val="000000"/>
          <w:sz w:val="32"/>
          <w:szCs w:val="32"/>
        </w:rPr>
        <w:t>工资总额预算管理指标基数。</w:t>
      </w:r>
      <w:r>
        <w:rPr>
          <w:rFonts w:hint="eastAsia" w:ascii="方正仿宋_GBK" w:hAnsi="方正仿宋_GBK" w:eastAsia="方正仿宋_GBK" w:cs="方正仿宋_GBK"/>
          <w:color w:val="000000"/>
          <w:sz w:val="32"/>
          <w:szCs w:val="32"/>
        </w:rPr>
        <w:t>工资总额预算管理指标由工资总额预算指标和效益预算指标构成</w:t>
      </w:r>
      <w:r>
        <w:rPr>
          <w:rFonts w:hint="eastAsia" w:eastAsia="方正仿宋_GBK"/>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方正仿宋_GBK"/>
          <w:color w:val="000000"/>
          <w:sz w:val="32"/>
          <w:szCs w:val="32"/>
        </w:rPr>
      </w:pPr>
      <w:r>
        <w:rPr>
          <w:rFonts w:hint="eastAsia" w:eastAsia="方正仿宋_GBK"/>
          <w:color w:val="000000"/>
          <w:sz w:val="32"/>
          <w:szCs w:val="32"/>
        </w:rPr>
        <w:t>（一）初始年度工资总额预算基数原则上以上年度企业实发工资总额为基数。以后年度工资总额预算基数以区国资委清算确定的</w:t>
      </w:r>
      <w:r>
        <w:rPr>
          <w:rFonts w:hint="eastAsia" w:ascii="方正仿宋_GBK" w:hAnsi="方正仿宋_GBK" w:eastAsia="方正仿宋_GBK" w:cs="方正仿宋_GBK"/>
          <w:color w:val="000000"/>
          <w:sz w:val="32"/>
          <w:szCs w:val="32"/>
        </w:rPr>
        <w:t>上年度工资总额为基数</w:t>
      </w:r>
      <w:r>
        <w:rPr>
          <w:rFonts w:hint="eastAsia" w:eastAsia="方正仿宋_GBK"/>
          <w:color w:val="000000"/>
          <w:sz w:val="32"/>
          <w:szCs w:val="32"/>
        </w:rPr>
        <w:t>。新组建企业，经区国资委同意，可按照同级同类企业职工平均工资和实有职工人数合理确定工资总额预算基数。</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方正仿宋_GBK"/>
          <w:color w:val="000000"/>
          <w:sz w:val="32"/>
          <w:szCs w:val="32"/>
        </w:rPr>
      </w:pPr>
      <w:r>
        <w:rPr>
          <w:rFonts w:hint="eastAsia" w:eastAsia="方正仿宋_GBK"/>
          <w:color w:val="000000"/>
          <w:sz w:val="32"/>
          <w:szCs w:val="32"/>
        </w:rPr>
        <w:t>（二）经济效益预算指标基数原则上以经中介机构审计、区国资委确认的</w:t>
      </w:r>
      <w:r>
        <w:rPr>
          <w:rFonts w:hint="eastAsia" w:ascii="方正仿宋_GBK" w:hAnsi="方正仿宋_GBK" w:eastAsia="方正仿宋_GBK" w:cs="方正仿宋_GBK"/>
          <w:color w:val="000000"/>
          <w:sz w:val="32"/>
          <w:szCs w:val="32"/>
        </w:rPr>
        <w:t>上年度“年度经营目标情况说明”反映的经济效益指标完成值</w:t>
      </w:r>
      <w:r>
        <w:rPr>
          <w:rFonts w:hint="eastAsia" w:eastAsia="方正仿宋_GBK"/>
          <w:color w:val="000000"/>
          <w:sz w:val="32"/>
          <w:szCs w:val="32"/>
        </w:rPr>
        <w:t>为基数。</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方正仿宋_GBK"/>
          <w:color w:val="000000"/>
          <w:sz w:val="32"/>
          <w:szCs w:val="32"/>
        </w:rPr>
      </w:pPr>
      <w:r>
        <w:rPr>
          <w:rFonts w:hint="eastAsia" w:ascii="方正黑体_GBK" w:eastAsia="方正黑体_GBK"/>
          <w:color w:val="000000"/>
          <w:kern w:val="0"/>
          <w:sz w:val="32"/>
          <w:szCs w:val="32"/>
        </w:rPr>
        <w:t>第十二条</w:t>
      </w:r>
      <w:r>
        <w:rPr>
          <w:rFonts w:hint="eastAsia" w:ascii="方正仿宋_GBK" w:hAnsi="Calibri" w:eastAsia="方正仿宋_GBK"/>
          <w:color w:val="000000"/>
          <w:sz w:val="36"/>
          <w:szCs w:val="36"/>
        </w:rPr>
        <w:t xml:space="preserve">  </w:t>
      </w:r>
      <w:r>
        <w:rPr>
          <w:rFonts w:hint="eastAsia" w:eastAsia="方正仿宋_GBK"/>
          <w:color w:val="000000"/>
          <w:sz w:val="32"/>
          <w:szCs w:val="32"/>
        </w:rPr>
        <w:t>经济效益预算指标目标值原则上按照效益持续改善向好且具有一定挑战性和行业可比性的价值导向，在坚持与国内外同行业优秀企业进行横向对标、与企业历史最好业绩指标和战略规划业绩指标进行纵向对标的基础上合理确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方正仿宋_GBK"/>
          <w:color w:val="000000"/>
          <w:sz w:val="32"/>
          <w:szCs w:val="32"/>
        </w:rPr>
      </w:pPr>
      <w:r>
        <w:rPr>
          <w:rFonts w:hint="eastAsia" w:ascii="方正黑体_GBK" w:eastAsia="方正黑体_GBK"/>
          <w:color w:val="000000"/>
          <w:kern w:val="0"/>
          <w:sz w:val="32"/>
          <w:szCs w:val="32"/>
        </w:rPr>
        <w:t xml:space="preserve">第十三条  </w:t>
      </w:r>
      <w:r>
        <w:rPr>
          <w:rFonts w:hint="eastAsia" w:eastAsia="方正仿宋_GBK"/>
          <w:color w:val="000000"/>
          <w:sz w:val="32"/>
          <w:szCs w:val="32"/>
        </w:rPr>
        <w:t>劳动生产率、人工成本投入产出率指标要与相同行业、相同年度的劳动生产率、人工成本投入产出率指标对标。对缺少行业对标主体的，应当选取同功能性质企业或具有较强可比性的竞争类行业（企业）对标。对相同年度对标信息缺失的，可与近3年同行业（企业）先进指标对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方正仿宋_GBK"/>
          <w:color w:val="000000"/>
          <w:sz w:val="32"/>
          <w:szCs w:val="32"/>
        </w:rPr>
      </w:pPr>
      <w:r>
        <w:rPr>
          <w:rFonts w:hint="eastAsia" w:ascii="方正黑体_GBK" w:eastAsia="方正黑体_GBK"/>
          <w:color w:val="000000"/>
          <w:kern w:val="0"/>
          <w:sz w:val="32"/>
          <w:szCs w:val="32"/>
        </w:rPr>
        <w:t>第十四条</w:t>
      </w:r>
      <w:r>
        <w:rPr>
          <w:rFonts w:hint="eastAsia" w:ascii="方正黑体_GBK" w:hAnsi="Calibri" w:eastAsia="方正黑体_GBK"/>
          <w:color w:val="000000"/>
          <w:sz w:val="36"/>
          <w:szCs w:val="36"/>
        </w:rPr>
        <w:t xml:space="preserve">  </w:t>
      </w:r>
      <w:r>
        <w:rPr>
          <w:rFonts w:hint="eastAsia" w:eastAsia="方正仿宋_GBK"/>
          <w:color w:val="000000"/>
          <w:sz w:val="32"/>
          <w:szCs w:val="32"/>
        </w:rPr>
        <w:t>企业工资总额预算原则上按年度进行管理。对行业周期性特征明显、经济效益年度间波动较大的企业，或者处于筹建期、初创期、战略调整期、快速扩张期的企业，或存在重组改制等其他特殊情况的企业，经区国资委同意，工资总额预算可按周期进行管理，</w:t>
      </w:r>
      <w:r>
        <w:rPr>
          <w:rFonts w:hint="eastAsia" w:ascii="方正仿宋_GBK" w:hAnsi="方正仿宋_GBK" w:eastAsia="方正仿宋_GBK" w:cs="方正仿宋_GBK"/>
          <w:color w:val="000000"/>
          <w:sz w:val="32"/>
          <w:szCs w:val="32"/>
        </w:rPr>
        <w:t>周期最长不超过3年</w:t>
      </w:r>
      <w:r>
        <w:rPr>
          <w:rFonts w:hint="eastAsia" w:eastAsia="方正仿宋_GBK"/>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方正仿宋_GBK"/>
          <w:color w:val="000000"/>
          <w:sz w:val="32"/>
          <w:szCs w:val="32"/>
        </w:rPr>
      </w:pPr>
      <w:r>
        <w:rPr>
          <w:rFonts w:hint="eastAsia" w:ascii="方正黑体_GBK" w:eastAsia="方正黑体_GBK"/>
          <w:color w:val="000000"/>
          <w:kern w:val="0"/>
          <w:sz w:val="32"/>
          <w:szCs w:val="32"/>
        </w:rPr>
        <w:t>第十五条</w:t>
      </w:r>
      <w:r>
        <w:rPr>
          <w:rFonts w:hint="eastAsia" w:ascii="方正黑体_GBK" w:hAnsi="Calibri" w:eastAsia="方正黑体_GBK"/>
          <w:color w:val="000000"/>
          <w:sz w:val="36"/>
          <w:szCs w:val="36"/>
        </w:rPr>
        <w:t xml:space="preserve">  </w:t>
      </w:r>
      <w:r>
        <w:rPr>
          <w:rFonts w:hint="eastAsia" w:eastAsia="方正仿宋_GBK"/>
          <w:color w:val="000000"/>
          <w:sz w:val="32"/>
          <w:szCs w:val="32"/>
        </w:rPr>
        <w:t>实行周期制工资总额预算管理的企业，可根据生产经营</w:t>
      </w:r>
      <w:r>
        <w:rPr>
          <w:color w:val="000000"/>
        </w:rPr>
        <w:fldChar w:fldCharType="begin"/>
      </w:r>
      <w:r>
        <w:rPr>
          <w:color w:val="000000"/>
        </w:rPr>
        <w:instrText xml:space="preserve"> HYPERLINK "http://www.5ykj.com/Article/" \t "_blank" </w:instrText>
      </w:r>
      <w:r>
        <w:rPr>
          <w:color w:val="000000"/>
        </w:rPr>
        <w:fldChar w:fldCharType="separate"/>
      </w:r>
      <w:r>
        <w:rPr>
          <w:rFonts w:hint="eastAsia" w:eastAsia="方正仿宋_GBK"/>
          <w:color w:val="000000"/>
          <w:sz w:val="32"/>
          <w:szCs w:val="32"/>
        </w:rPr>
        <w:t>计划</w:t>
      </w:r>
      <w:r>
        <w:rPr>
          <w:rFonts w:hint="eastAsia" w:eastAsia="方正仿宋_GBK"/>
          <w:color w:val="000000"/>
          <w:sz w:val="32"/>
          <w:szCs w:val="32"/>
        </w:rPr>
        <w:fldChar w:fldCharType="end"/>
      </w:r>
      <w:r>
        <w:rPr>
          <w:rFonts w:hint="eastAsia" w:eastAsia="方正仿宋_GBK"/>
          <w:color w:val="000000"/>
          <w:sz w:val="32"/>
          <w:szCs w:val="32"/>
        </w:rPr>
        <w:t>和人力资源管理实际需要，编制周期工资总额预算方案，统筹安排周期内各年度工资总额支出。周期内工资总额增减严格执行国家和市、区调控政策相关要求，周期内的工资总额增长应符合工资与效益联动机制的要求。</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方正仿宋_GBK"/>
          <w:color w:val="000000"/>
          <w:sz w:val="32"/>
          <w:szCs w:val="32"/>
        </w:rPr>
      </w:pPr>
      <w:r>
        <w:rPr>
          <w:rFonts w:hint="eastAsia" w:ascii="方正黑体_GBK" w:eastAsia="方正黑体_GBK"/>
          <w:color w:val="000000"/>
          <w:kern w:val="0"/>
          <w:sz w:val="32"/>
          <w:szCs w:val="32"/>
        </w:rPr>
        <w:t>第十六条</w:t>
      </w:r>
      <w:r>
        <w:rPr>
          <w:rFonts w:hint="eastAsia" w:ascii="方正黑体_GBK" w:hAnsi="Calibri" w:eastAsia="方正黑体_GBK"/>
          <w:color w:val="000000"/>
          <w:sz w:val="36"/>
          <w:szCs w:val="36"/>
        </w:rPr>
        <w:t xml:space="preserve"> </w:t>
      </w:r>
      <w:r>
        <w:rPr>
          <w:rFonts w:hint="eastAsia" w:ascii="方正仿宋_GBK" w:hAnsi="方正仿宋_GBK" w:eastAsia="方正仿宋_GBK" w:cs="方正仿宋_GBK"/>
          <w:color w:val="000000"/>
          <w:sz w:val="32"/>
          <w:szCs w:val="32"/>
        </w:rPr>
        <w:t xml:space="preserve"> 预算的调整。</w:t>
      </w:r>
      <w:r>
        <w:rPr>
          <w:rFonts w:hint="eastAsia" w:eastAsia="方正仿宋_GBK"/>
          <w:color w:val="000000"/>
          <w:sz w:val="32"/>
          <w:szCs w:val="32"/>
        </w:rPr>
        <w:t>企业应严格执行经核准的工资总额预算方案，并与经营业绩考核结果联动。执行过程中，企业编制预算时所依据的外部环境情况或自身生产经营情况发生重大变化，出现以下情形之一，需要调整工资总额预算方案的，</w:t>
      </w:r>
      <w:r>
        <w:rPr>
          <w:rFonts w:hint="eastAsia" w:ascii="方正仿宋_GBK" w:hAnsi="方正仿宋_GBK" w:eastAsia="方正仿宋_GBK" w:cs="方正仿宋_GBK"/>
          <w:color w:val="000000"/>
          <w:sz w:val="32"/>
          <w:szCs w:val="32"/>
        </w:rPr>
        <w:t>应报区国资委同意，按规定程序进行调整。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方正仿宋_GBK"/>
          <w:color w:val="000000"/>
          <w:sz w:val="32"/>
          <w:szCs w:val="32"/>
        </w:rPr>
      </w:pPr>
      <w:r>
        <w:rPr>
          <w:rFonts w:hint="eastAsia" w:eastAsia="方正仿宋_GBK"/>
          <w:color w:val="000000"/>
          <w:sz w:val="32"/>
          <w:szCs w:val="32"/>
        </w:rPr>
        <w:t>（一）自然灾害等不可抗力因素；</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方正仿宋_GBK"/>
          <w:color w:val="000000"/>
          <w:sz w:val="32"/>
          <w:szCs w:val="32"/>
        </w:rPr>
      </w:pPr>
      <w:r>
        <w:rPr>
          <w:rFonts w:hint="eastAsia" w:eastAsia="方正仿宋_GBK"/>
          <w:color w:val="000000"/>
          <w:sz w:val="32"/>
          <w:szCs w:val="32"/>
        </w:rPr>
        <w:t>（二）国家和市区收入分配政策等宏观经济政策发生重大调整；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方正仿宋_GBK"/>
          <w:color w:val="000000"/>
          <w:sz w:val="32"/>
          <w:szCs w:val="32"/>
        </w:rPr>
      </w:pPr>
      <w:r>
        <w:rPr>
          <w:rFonts w:hint="eastAsia" w:eastAsia="方正仿宋_GBK"/>
          <w:color w:val="000000"/>
          <w:sz w:val="32"/>
          <w:szCs w:val="32"/>
        </w:rPr>
        <w:t>（三）市场环境发生重大变化导致企业经济效益大幅变动；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方正仿宋_GBK"/>
          <w:color w:val="000000"/>
          <w:sz w:val="32"/>
          <w:szCs w:val="32"/>
        </w:rPr>
      </w:pPr>
      <w:r>
        <w:rPr>
          <w:rFonts w:hint="eastAsia" w:eastAsia="方正仿宋_GBK"/>
          <w:color w:val="000000"/>
          <w:sz w:val="32"/>
          <w:szCs w:val="32"/>
        </w:rPr>
        <w:t>（四）企业发生新设、分立、合并、收购或转让、破产、注销等重大资产重组行为；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方正仿宋_GBK"/>
          <w:color w:val="000000"/>
          <w:sz w:val="32"/>
          <w:szCs w:val="32"/>
        </w:rPr>
      </w:pPr>
      <w:r>
        <w:rPr>
          <w:rFonts w:hint="eastAsia" w:eastAsia="方正仿宋_GBK"/>
          <w:color w:val="000000"/>
          <w:sz w:val="32"/>
          <w:szCs w:val="32"/>
        </w:rPr>
        <w:t>（五）新建、扩建项目或企业机构进行重大调整；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方正仿宋_GBK"/>
          <w:color w:val="000000"/>
          <w:sz w:val="32"/>
          <w:szCs w:val="32"/>
        </w:rPr>
      </w:pPr>
      <w:r>
        <w:rPr>
          <w:rFonts w:hint="eastAsia" w:eastAsia="方正仿宋_GBK"/>
          <w:color w:val="000000"/>
          <w:sz w:val="32"/>
          <w:szCs w:val="32"/>
        </w:rPr>
        <w:t>（六）对上年度损益进行较重大的追溯调整；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方正仿宋_GBK"/>
          <w:color w:val="000000"/>
          <w:sz w:val="32"/>
          <w:szCs w:val="32"/>
        </w:rPr>
      </w:pPr>
      <w:r>
        <w:rPr>
          <w:rFonts w:hint="eastAsia" w:eastAsia="方正仿宋_GBK"/>
          <w:color w:val="000000"/>
          <w:sz w:val="32"/>
          <w:szCs w:val="32"/>
        </w:rPr>
        <w:t>（七）区国资委确定的其他事项。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方正仿宋_GBK"/>
          <w:color w:val="000000"/>
          <w:sz w:val="32"/>
          <w:szCs w:val="32"/>
        </w:rPr>
      </w:pPr>
      <w:r>
        <w:rPr>
          <w:rFonts w:hint="eastAsia" w:ascii="方正黑体_GBK" w:hAnsi="Calibri" w:eastAsia="方正黑体_GBK"/>
          <w:color w:val="000000"/>
          <w:sz w:val="32"/>
          <w:szCs w:val="32"/>
        </w:rPr>
        <w:t xml:space="preserve">第十七条 </w:t>
      </w:r>
      <w:r>
        <w:rPr>
          <w:rFonts w:hint="eastAsia" w:ascii="方正黑体_GBK" w:hAnsi="Calibri" w:eastAsia="方正黑体_GBK"/>
          <w:color w:val="000000"/>
          <w:sz w:val="36"/>
          <w:szCs w:val="36"/>
        </w:rPr>
        <w:t xml:space="preserve"> </w:t>
      </w:r>
      <w:r>
        <w:rPr>
          <w:rFonts w:hint="eastAsia" w:eastAsia="方正仿宋_GBK"/>
          <w:color w:val="000000"/>
          <w:sz w:val="32"/>
          <w:szCs w:val="32"/>
        </w:rPr>
        <w:t>企业应当将工资总额预算调整情况及时报区国资委。具体内容包括：</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方正仿宋_GBK"/>
          <w:color w:val="000000"/>
          <w:sz w:val="32"/>
          <w:szCs w:val="32"/>
        </w:rPr>
      </w:pPr>
      <w:r>
        <w:rPr>
          <w:rFonts w:hint="eastAsia" w:eastAsia="方正仿宋_GBK"/>
          <w:color w:val="000000"/>
          <w:sz w:val="32"/>
          <w:szCs w:val="32"/>
        </w:rPr>
        <w:t>（一）工资总额预算指标的调整情况；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方正仿宋_GBK"/>
          <w:color w:val="000000"/>
          <w:sz w:val="32"/>
          <w:szCs w:val="32"/>
        </w:rPr>
      </w:pPr>
      <w:r>
        <w:rPr>
          <w:rFonts w:hint="eastAsia" w:eastAsia="方正仿宋_GBK"/>
          <w:color w:val="000000"/>
          <w:sz w:val="32"/>
          <w:szCs w:val="32"/>
        </w:rPr>
        <w:t>（二）调整的原因；</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方正仿宋_GBK"/>
          <w:color w:val="000000"/>
          <w:sz w:val="32"/>
          <w:szCs w:val="32"/>
        </w:rPr>
      </w:pPr>
      <w:r>
        <w:rPr>
          <w:rFonts w:hint="eastAsia" w:eastAsia="方正仿宋_GBK"/>
          <w:color w:val="000000"/>
          <w:sz w:val="32"/>
          <w:szCs w:val="32"/>
        </w:rPr>
        <w:t>（三）预计执行情况及保障措施。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方正仿宋_GBK"/>
          <w:color w:val="000000"/>
          <w:sz w:val="32"/>
          <w:szCs w:val="32"/>
        </w:rPr>
      </w:pPr>
      <w:r>
        <w:rPr>
          <w:rFonts w:hint="eastAsia" w:ascii="方正黑体_GBK" w:hAnsi="Calibri" w:eastAsia="方正黑体_GBK"/>
          <w:color w:val="000000"/>
          <w:sz w:val="32"/>
          <w:szCs w:val="32"/>
        </w:rPr>
        <w:t>第十八条</w:t>
      </w:r>
      <w:r>
        <w:rPr>
          <w:rFonts w:hint="eastAsia" w:ascii="方正黑体_GBK" w:hAnsi="Calibri" w:eastAsia="方正黑体_GBK"/>
          <w:color w:val="000000"/>
          <w:sz w:val="36"/>
          <w:szCs w:val="36"/>
        </w:rPr>
        <w:t xml:space="preserve">  </w:t>
      </w:r>
      <w:r>
        <w:rPr>
          <w:rFonts w:hint="eastAsia" w:eastAsia="方正仿宋_GBK"/>
          <w:color w:val="000000"/>
          <w:sz w:val="32"/>
          <w:szCs w:val="32"/>
        </w:rPr>
        <w:t>区国资委对企业工资总额预算执行情况进行动态监管和及时指导，并将预算执行情况</w:t>
      </w:r>
      <w:r>
        <w:rPr>
          <w:rFonts w:hint="eastAsia" w:ascii="方正仿宋_GBK" w:hAnsi="方正仿宋_GBK" w:eastAsia="方正仿宋_GBK" w:cs="方正仿宋_GBK"/>
          <w:color w:val="000000"/>
          <w:sz w:val="32"/>
          <w:szCs w:val="32"/>
        </w:rPr>
        <w:t>在企业年度考核中进行专项反映</w:t>
      </w:r>
      <w:r>
        <w:rPr>
          <w:rFonts w:hint="eastAsia" w:eastAsia="方正仿宋_GBK"/>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color w:val="000000"/>
          <w:sz w:val="32"/>
          <w:szCs w:val="32"/>
        </w:rPr>
      </w:pPr>
      <w:r>
        <w:rPr>
          <w:rFonts w:hint="eastAsia" w:ascii="方正黑体_GBK" w:hAnsi="Calibri" w:eastAsia="方正黑体_GBK"/>
          <w:color w:val="000000"/>
          <w:sz w:val="32"/>
          <w:szCs w:val="32"/>
        </w:rPr>
        <w:t xml:space="preserve">第十九条 </w:t>
      </w:r>
      <w:r>
        <w:rPr>
          <w:rFonts w:hint="eastAsia" w:ascii="方正黑体_GBK" w:hAnsi="Calibri" w:eastAsia="方正黑体_GBK"/>
          <w:color w:val="000000"/>
          <w:sz w:val="36"/>
          <w:szCs w:val="36"/>
        </w:rPr>
        <w:t xml:space="preserve"> </w:t>
      </w:r>
      <w:r>
        <w:rPr>
          <w:rFonts w:hint="eastAsia" w:ascii="方正仿宋_GBK" w:hAnsi="方正仿宋_GBK" w:eastAsia="方正仿宋_GBK" w:cs="方正仿宋_GBK"/>
          <w:color w:val="000000"/>
          <w:sz w:val="32"/>
          <w:szCs w:val="32"/>
        </w:rPr>
        <w:t>区国资委</w:t>
      </w:r>
      <w:r>
        <w:rPr>
          <w:rFonts w:hint="eastAsia" w:eastAsia="方正仿宋_GBK"/>
          <w:color w:val="000000"/>
          <w:sz w:val="32"/>
          <w:szCs w:val="32"/>
        </w:rPr>
        <w:t>每年</w:t>
      </w:r>
      <w:r>
        <w:rPr>
          <w:rFonts w:hint="eastAsia" w:ascii="方正仿宋_GBK" w:hAnsi="方正仿宋_GBK" w:eastAsia="方正仿宋_GBK" w:cs="方正仿宋_GBK"/>
          <w:color w:val="000000"/>
          <w:sz w:val="32"/>
          <w:szCs w:val="32"/>
        </w:rPr>
        <w:t>7月底前对</w:t>
      </w:r>
      <w:r>
        <w:rPr>
          <w:rFonts w:hint="eastAsia" w:eastAsia="方正仿宋_GBK"/>
          <w:color w:val="000000"/>
          <w:sz w:val="32"/>
          <w:szCs w:val="32"/>
        </w:rPr>
        <w:t>企业上年度</w:t>
      </w:r>
      <w:r>
        <w:rPr>
          <w:rFonts w:hint="eastAsia" w:ascii="方正仿宋_GBK" w:hAnsi="方正仿宋_GBK" w:eastAsia="方正仿宋_GBK" w:cs="方正仿宋_GBK"/>
          <w:color w:val="000000"/>
          <w:sz w:val="32"/>
          <w:szCs w:val="32"/>
        </w:rPr>
        <w:t>工资总额预算执行结果进行清算</w:t>
      </w:r>
      <w:r>
        <w:rPr>
          <w:rFonts w:hint="eastAsia" w:eastAsia="方正仿宋_GBK"/>
          <w:color w:val="000000"/>
          <w:sz w:val="32"/>
          <w:szCs w:val="32"/>
        </w:rPr>
        <w:t>，并将企业上年度工资总额预算执行情况</w:t>
      </w:r>
      <w:r>
        <w:rPr>
          <w:rFonts w:hint="eastAsia" w:ascii="方正仿宋_GBK" w:hAnsi="方正仿宋_GBK" w:eastAsia="方正仿宋_GBK" w:cs="方正仿宋_GBK"/>
          <w:color w:val="000000"/>
          <w:sz w:val="32"/>
          <w:szCs w:val="32"/>
        </w:rPr>
        <w:t>报区人力社保局，区人力社保局汇总报区政府</w:t>
      </w:r>
      <w:r>
        <w:rPr>
          <w:rFonts w:hint="eastAsia" w:eastAsia="方正仿宋_GBK"/>
          <w:color w:val="000000"/>
          <w:sz w:val="32"/>
          <w:szCs w:val="32"/>
        </w:rPr>
        <w:t>。</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 xml:space="preserve"> </w:t>
      </w:r>
      <w:bookmarkEnd w:id="5"/>
      <w:bookmarkEnd w:id="6"/>
      <w:r>
        <w:rPr>
          <w:rFonts w:hint="eastAsia" w:ascii="方正黑体_GBK" w:hAnsi="方正黑体_GBK" w:eastAsia="方正黑体_GBK" w:cs="方正黑体_GBK"/>
          <w:color w:val="000000"/>
          <w:sz w:val="32"/>
          <w:szCs w:val="32"/>
        </w:rPr>
        <w:t>企业内部工资分配</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方正仿宋_GBK"/>
          <w:color w:val="000000"/>
          <w:sz w:val="32"/>
          <w:szCs w:val="32"/>
        </w:rPr>
      </w:pPr>
      <w:bookmarkStart w:id="7" w:name="_Toc23224"/>
      <w:r>
        <w:rPr>
          <w:rFonts w:hint="eastAsia" w:ascii="方正黑体_GBK" w:hAnsi="Calibri" w:eastAsia="方正黑体_GBK"/>
          <w:color w:val="000000"/>
          <w:sz w:val="32"/>
          <w:szCs w:val="32"/>
        </w:rPr>
        <w:t>第二十条</w:t>
      </w:r>
      <w:r>
        <w:rPr>
          <w:rFonts w:hint="eastAsia" w:ascii="方正黑体_GBK" w:hAnsi="Calibri" w:eastAsia="方正黑体_GBK"/>
          <w:color w:val="000000"/>
          <w:sz w:val="36"/>
          <w:szCs w:val="36"/>
        </w:rPr>
        <w:t xml:space="preserve"> </w:t>
      </w:r>
      <w:r>
        <w:rPr>
          <w:rFonts w:hint="eastAsia" w:eastAsia="方正仿宋_GBK"/>
          <w:color w:val="000000"/>
          <w:sz w:val="32"/>
          <w:szCs w:val="32"/>
        </w:rPr>
        <w:t xml:space="preserve"> 企业在经核准的工资总额预算内，</w:t>
      </w:r>
      <w:r>
        <w:rPr>
          <w:rFonts w:hint="eastAsia" w:ascii="方正仿宋_GBK" w:hAnsi="方正仿宋_GBK" w:eastAsia="方正仿宋_GBK" w:cs="方正仿宋_GBK"/>
          <w:color w:val="000000"/>
          <w:sz w:val="32"/>
          <w:szCs w:val="32"/>
        </w:rPr>
        <w:t>依法依规自主决定内部工资分配</w:t>
      </w:r>
      <w:r>
        <w:rPr>
          <w:rFonts w:hint="eastAsia" w:eastAsia="方正仿宋_GBK"/>
          <w:color w:val="000000"/>
          <w:sz w:val="32"/>
          <w:szCs w:val="32"/>
        </w:rPr>
        <w:t>。</w:t>
      </w:r>
      <w:bookmarkStart w:id="8" w:name="_Hlk3592190"/>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方正仿宋_GBK"/>
          <w:color w:val="000000"/>
          <w:sz w:val="32"/>
          <w:szCs w:val="32"/>
        </w:rPr>
      </w:pPr>
      <w:r>
        <w:rPr>
          <w:rFonts w:hint="eastAsia" w:ascii="方正黑体_GBK" w:hAnsi="Calibri" w:eastAsia="方正黑体_GBK"/>
          <w:color w:val="000000"/>
          <w:sz w:val="32"/>
          <w:szCs w:val="32"/>
        </w:rPr>
        <w:t>第二十一条</w:t>
      </w:r>
      <w:r>
        <w:rPr>
          <w:rFonts w:hint="eastAsia" w:ascii="方正黑体_GBK" w:hAnsi="Calibri" w:eastAsia="方正黑体_GBK"/>
          <w:color w:val="000000"/>
          <w:sz w:val="36"/>
          <w:szCs w:val="36"/>
        </w:rPr>
        <w:t xml:space="preserve">  </w:t>
      </w:r>
      <w:bookmarkEnd w:id="8"/>
      <w:r>
        <w:rPr>
          <w:rFonts w:hint="eastAsia" w:eastAsia="方正仿宋_GBK"/>
          <w:color w:val="000000"/>
          <w:sz w:val="32"/>
          <w:szCs w:val="32"/>
        </w:rPr>
        <w:t>企业要依法</w:t>
      </w:r>
      <w:r>
        <w:rPr>
          <w:rFonts w:hint="eastAsia" w:ascii="方正仿宋_GBK" w:hAnsi="方正仿宋_GBK" w:eastAsia="方正仿宋_GBK" w:cs="方正仿宋_GBK"/>
          <w:color w:val="000000"/>
          <w:sz w:val="32"/>
          <w:szCs w:val="32"/>
        </w:rPr>
        <w:t>建立健全内部工资总额管理办法，并根据自身功能性质定位、行业特点和生产经营等情况，</w:t>
      </w:r>
      <w:r>
        <w:rPr>
          <w:rFonts w:hint="eastAsia" w:eastAsia="方正仿宋_GBK"/>
          <w:color w:val="000000"/>
          <w:sz w:val="32"/>
          <w:szCs w:val="32"/>
        </w:rPr>
        <w:t>指导所属企业科学编制工资总额预算方案，逐级落实预算执行责任，建立预算执行情况动态监控机制，确保实现工资总额预算目标。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方正仿宋_GBK"/>
          <w:color w:val="000000"/>
          <w:sz w:val="32"/>
          <w:szCs w:val="32"/>
        </w:rPr>
      </w:pPr>
      <w:r>
        <w:rPr>
          <w:rFonts w:hint="eastAsia" w:ascii="方正黑体_GBK" w:hAnsi="Calibri" w:eastAsia="方正黑体_GBK"/>
          <w:color w:val="000000"/>
          <w:sz w:val="32"/>
          <w:szCs w:val="32"/>
        </w:rPr>
        <w:t>第二十二条</w:t>
      </w:r>
      <w:r>
        <w:rPr>
          <w:rFonts w:hint="eastAsia" w:ascii="方正黑体_GBK" w:hAnsi="Calibri" w:eastAsia="方正黑体_GBK"/>
          <w:color w:val="000000"/>
          <w:sz w:val="36"/>
          <w:szCs w:val="36"/>
        </w:rPr>
        <w:t xml:space="preserve">  </w:t>
      </w:r>
      <w:r>
        <w:rPr>
          <w:rFonts w:hint="eastAsia" w:ascii="方正仿宋_GBK" w:hAnsi="方正仿宋_GBK" w:eastAsia="方正仿宋_GBK" w:cs="方正仿宋_GBK"/>
          <w:sz w:val="32"/>
          <w:szCs w:val="32"/>
        </w:rPr>
        <w:t>集团企业应合理确定集团本部工资总额预算，集团本部职工平均工资增长幅度原则上应低于企业全部职工平均工资增长幅度。</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方正仿宋_GBK"/>
          <w:color w:val="000000"/>
          <w:sz w:val="32"/>
          <w:szCs w:val="32"/>
        </w:rPr>
      </w:pPr>
      <w:r>
        <w:rPr>
          <w:rFonts w:hint="eastAsia" w:ascii="方正黑体_GBK" w:hAnsi="Calibri" w:eastAsia="方正黑体_GBK"/>
          <w:color w:val="000000"/>
          <w:sz w:val="32"/>
          <w:szCs w:val="32"/>
        </w:rPr>
        <w:t>第二十三条</w:t>
      </w:r>
      <w:r>
        <w:rPr>
          <w:rFonts w:hint="eastAsia" w:ascii="方正黑体_GBK" w:hAnsi="Calibri" w:eastAsia="方正黑体_GBK"/>
          <w:color w:val="000000"/>
          <w:sz w:val="36"/>
          <w:szCs w:val="36"/>
        </w:rPr>
        <w:t xml:space="preserve">  </w:t>
      </w:r>
      <w:r>
        <w:rPr>
          <w:rFonts w:hint="eastAsia" w:eastAsia="方正仿宋_GBK"/>
          <w:color w:val="000000"/>
          <w:sz w:val="32"/>
          <w:szCs w:val="32"/>
        </w:rPr>
        <w:t>企业要</w:t>
      </w:r>
      <w:r>
        <w:rPr>
          <w:rFonts w:hint="eastAsia" w:ascii="方正仿宋_GBK" w:hAnsi="方正仿宋_GBK" w:eastAsia="方正仿宋_GBK" w:cs="方正仿宋_GBK"/>
          <w:color w:val="000000"/>
          <w:sz w:val="32"/>
          <w:szCs w:val="32"/>
        </w:rPr>
        <w:t>统筹考虑人才引进、人才培养、劳动生产率、企业发展战略</w:t>
      </w:r>
      <w:r>
        <w:rPr>
          <w:rFonts w:hint="eastAsia" w:eastAsia="方正仿宋_GBK"/>
          <w:color w:val="000000"/>
          <w:sz w:val="32"/>
          <w:szCs w:val="32"/>
        </w:rPr>
        <w:t>等因素，制定科学的薪酬策略。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方正仿宋_GBK"/>
          <w:color w:val="000000"/>
          <w:sz w:val="32"/>
          <w:szCs w:val="32"/>
        </w:rPr>
      </w:pPr>
      <w:r>
        <w:rPr>
          <w:rFonts w:hint="eastAsia" w:ascii="方正黑体_GBK" w:hAnsi="Calibri" w:eastAsia="方正黑体_GBK"/>
          <w:color w:val="000000"/>
          <w:sz w:val="32"/>
          <w:szCs w:val="32"/>
        </w:rPr>
        <w:t>第二十四条</w:t>
      </w:r>
      <w:r>
        <w:rPr>
          <w:rFonts w:hint="eastAsia" w:ascii="方正黑体_GBK" w:hAnsi="Calibri" w:eastAsia="方正黑体_GBK"/>
          <w:color w:val="000000"/>
          <w:sz w:val="36"/>
          <w:szCs w:val="36"/>
        </w:rPr>
        <w:t xml:space="preserve">  </w:t>
      </w:r>
      <w:r>
        <w:rPr>
          <w:rFonts w:hint="eastAsia" w:eastAsia="方正仿宋_GBK"/>
          <w:color w:val="000000"/>
          <w:sz w:val="32"/>
          <w:szCs w:val="32"/>
        </w:rPr>
        <w:t>企业在岗位评价的基础上，</w:t>
      </w:r>
      <w:r>
        <w:rPr>
          <w:rFonts w:hint="eastAsia" w:ascii="方正仿宋_GBK" w:hAnsi="方正仿宋_GBK" w:eastAsia="方正仿宋_GBK" w:cs="方正仿宋_GBK"/>
          <w:color w:val="000000"/>
          <w:sz w:val="32"/>
          <w:szCs w:val="32"/>
        </w:rPr>
        <w:t>建立健全以岗位工资为主的基本工资制度</w:t>
      </w:r>
      <w:r>
        <w:rPr>
          <w:rFonts w:hint="eastAsia" w:eastAsia="方正仿宋_GBK"/>
          <w:color w:val="000000"/>
          <w:sz w:val="32"/>
          <w:szCs w:val="32"/>
        </w:rPr>
        <w:t>，以岗位价值为依据，以业绩为导向，参照劳动力市场工资价位，结合企业经济效益，通过集体协商等形式依法合理确定不同岗位的工资水平。</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方正仿宋_GBK"/>
          <w:color w:val="000000"/>
          <w:sz w:val="32"/>
          <w:szCs w:val="32"/>
        </w:rPr>
      </w:pPr>
      <w:r>
        <w:rPr>
          <w:rFonts w:hint="eastAsia" w:ascii="方正黑体_GBK" w:hAnsi="Calibri" w:eastAsia="方正黑体_GBK"/>
          <w:color w:val="000000"/>
          <w:sz w:val="32"/>
          <w:szCs w:val="32"/>
        </w:rPr>
        <w:t>第二十五条</w:t>
      </w:r>
      <w:r>
        <w:rPr>
          <w:rFonts w:hint="eastAsia" w:ascii="方正黑体_GBK" w:hAnsi="Calibri" w:eastAsia="方正黑体_GBK"/>
          <w:color w:val="000000"/>
          <w:sz w:val="36"/>
          <w:szCs w:val="36"/>
        </w:rPr>
        <w:t xml:space="preserve">  </w:t>
      </w:r>
      <w:r>
        <w:rPr>
          <w:rFonts w:hint="eastAsia" w:ascii="方正仿宋_GBK" w:hAnsi="方正仿宋_GBK" w:eastAsia="方正仿宋_GBK" w:cs="方正仿宋_GBK"/>
          <w:color w:val="000000"/>
          <w:sz w:val="32"/>
          <w:szCs w:val="32"/>
        </w:rPr>
        <w:t>关键岗位、生产一线岗位职工平均工资增幅原则上不低于本企业职工平均工资增幅，高层次创新人才、高技能人才平均工资增长额度原则上高于本企业管理人员平均工资增长额度。</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方正仿宋_GBK"/>
          <w:color w:val="000000"/>
          <w:sz w:val="32"/>
          <w:szCs w:val="32"/>
        </w:rPr>
      </w:pPr>
      <w:r>
        <w:rPr>
          <w:rFonts w:hint="eastAsia" w:ascii="方正黑体_GBK" w:hAnsi="Calibri" w:eastAsia="方正黑体_GBK"/>
          <w:color w:val="000000"/>
          <w:sz w:val="32"/>
          <w:szCs w:val="32"/>
        </w:rPr>
        <w:t xml:space="preserve">第二十六条 </w:t>
      </w:r>
      <w:r>
        <w:rPr>
          <w:rFonts w:hint="eastAsia" w:ascii="方正黑体_GBK" w:hAnsi="Calibri" w:eastAsia="方正黑体_GBK"/>
          <w:color w:val="000000"/>
          <w:sz w:val="36"/>
          <w:szCs w:val="36"/>
        </w:rPr>
        <w:t xml:space="preserve"> </w:t>
      </w:r>
      <w:r>
        <w:rPr>
          <w:rFonts w:hint="eastAsia" w:eastAsia="方正仿宋_GBK"/>
          <w:color w:val="000000"/>
          <w:sz w:val="32"/>
          <w:szCs w:val="32"/>
        </w:rPr>
        <w:t>加强</w:t>
      </w:r>
      <w:r>
        <w:rPr>
          <w:rFonts w:hint="eastAsia" w:ascii="方正仿宋_GBK" w:hAnsi="方正仿宋_GBK" w:eastAsia="方正仿宋_GBK" w:cs="方正仿宋_GBK"/>
          <w:color w:val="000000"/>
          <w:sz w:val="32"/>
          <w:szCs w:val="32"/>
        </w:rPr>
        <w:t>全员绩效考核</w:t>
      </w:r>
      <w:r>
        <w:rPr>
          <w:rFonts w:hint="eastAsia" w:eastAsia="方正仿宋_GBK"/>
          <w:color w:val="000000"/>
          <w:sz w:val="32"/>
          <w:szCs w:val="32"/>
        </w:rPr>
        <w:t>，强化职工工资收入与工作业绩和实际贡献紧密挂钩，合理拉开工资分配差距，调整不合理过高收入。做到考核科学合理、分配公正公平、收入能增能减。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方正仿宋_GBK"/>
          <w:color w:val="000000"/>
          <w:sz w:val="32"/>
          <w:szCs w:val="32"/>
        </w:rPr>
      </w:pPr>
      <w:r>
        <w:rPr>
          <w:rFonts w:hint="eastAsia" w:ascii="方正黑体_GBK" w:hAnsi="Calibri" w:eastAsia="方正黑体_GBK"/>
          <w:color w:val="000000"/>
          <w:sz w:val="32"/>
          <w:szCs w:val="32"/>
        </w:rPr>
        <w:t>第二十七条</w:t>
      </w:r>
      <w:r>
        <w:rPr>
          <w:rFonts w:hint="eastAsia" w:ascii="方正黑体_GBK" w:hAnsi="Calibri" w:eastAsia="方正黑体_GBK"/>
          <w:color w:val="000000"/>
          <w:sz w:val="36"/>
          <w:szCs w:val="36"/>
        </w:rPr>
        <w:t xml:space="preserve">  </w:t>
      </w:r>
      <w:r>
        <w:rPr>
          <w:rFonts w:hint="eastAsia" w:eastAsia="方正仿宋_GBK"/>
          <w:color w:val="000000"/>
          <w:sz w:val="32"/>
          <w:szCs w:val="32"/>
        </w:rPr>
        <w:t>企业要</w:t>
      </w:r>
      <w:r>
        <w:rPr>
          <w:rFonts w:hint="eastAsia" w:ascii="方正仿宋_GBK" w:hAnsi="方正仿宋_GBK" w:eastAsia="方正仿宋_GBK" w:cs="方正仿宋_GBK"/>
          <w:color w:val="000000"/>
          <w:sz w:val="32"/>
          <w:szCs w:val="32"/>
        </w:rPr>
        <w:t>调整优化工资收入结构</w:t>
      </w:r>
      <w:r>
        <w:rPr>
          <w:rFonts w:hint="eastAsia" w:eastAsia="方正仿宋_GBK"/>
          <w:color w:val="000000"/>
          <w:sz w:val="32"/>
          <w:szCs w:val="32"/>
        </w:rPr>
        <w:t>，严格清理规范工资外收入，所有工资性收入一律纳入工资总额管理，不得在工资总额之外以其他形式列支任何工资性支出。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方正仿宋_GBK"/>
          <w:color w:val="000000"/>
          <w:sz w:val="32"/>
          <w:szCs w:val="32"/>
        </w:rPr>
      </w:pPr>
      <w:r>
        <w:rPr>
          <w:rFonts w:hint="eastAsia" w:ascii="方正黑体_GBK" w:hAnsi="Calibri" w:eastAsia="方正黑体_GBK"/>
          <w:color w:val="000000"/>
          <w:sz w:val="32"/>
          <w:szCs w:val="32"/>
        </w:rPr>
        <w:t>第二十八条</w:t>
      </w:r>
      <w:r>
        <w:rPr>
          <w:rFonts w:hint="eastAsia" w:ascii="方正黑体_GBK" w:hAnsi="Calibri" w:eastAsia="方正黑体_GBK"/>
          <w:color w:val="000000"/>
          <w:sz w:val="36"/>
          <w:szCs w:val="36"/>
        </w:rPr>
        <w:t xml:space="preserve">  </w:t>
      </w:r>
      <w:r>
        <w:rPr>
          <w:rFonts w:hint="eastAsia" w:eastAsia="方正仿宋_GBK"/>
          <w:color w:val="000000"/>
          <w:sz w:val="32"/>
          <w:szCs w:val="32"/>
        </w:rPr>
        <w:t>严格</w:t>
      </w:r>
      <w:r>
        <w:rPr>
          <w:rFonts w:hint="eastAsia" w:ascii="方正仿宋_GBK" w:hAnsi="方正仿宋_GBK" w:eastAsia="方正仿宋_GBK" w:cs="方正仿宋_GBK"/>
          <w:color w:val="000000"/>
          <w:sz w:val="32"/>
          <w:szCs w:val="32"/>
        </w:rPr>
        <w:t>规范工资发放渠道</w:t>
      </w:r>
      <w:r>
        <w:rPr>
          <w:rFonts w:hint="eastAsia" w:eastAsia="方正仿宋_GBK"/>
          <w:color w:val="000000"/>
          <w:sz w:val="32"/>
          <w:szCs w:val="32"/>
        </w:rPr>
        <w:t>，逐步实现职工收入工资化、工资货币化、发放透明化。</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eastAsia="方正仿宋_GBK"/>
          <w:color w:val="000000"/>
          <w:sz w:val="32"/>
          <w:szCs w:val="32"/>
        </w:rPr>
      </w:pPr>
      <w:r>
        <w:rPr>
          <w:rFonts w:hint="eastAsia" w:ascii="方正黑体_GBK" w:hAnsi="Calibri" w:eastAsia="方正黑体_GBK"/>
          <w:color w:val="000000"/>
          <w:sz w:val="32"/>
          <w:szCs w:val="32"/>
        </w:rPr>
        <w:t xml:space="preserve">第二十九条 </w:t>
      </w:r>
      <w:r>
        <w:rPr>
          <w:rFonts w:hint="eastAsia" w:ascii="方正黑体_GBK" w:hAnsi="Calibri" w:eastAsia="方正黑体_GBK"/>
          <w:color w:val="000000"/>
          <w:sz w:val="36"/>
          <w:szCs w:val="36"/>
        </w:rPr>
        <w:t xml:space="preserve"> </w:t>
      </w:r>
      <w:r>
        <w:rPr>
          <w:rFonts w:hint="eastAsia" w:eastAsia="方正仿宋_GBK"/>
          <w:color w:val="000000"/>
          <w:sz w:val="32"/>
          <w:szCs w:val="32"/>
        </w:rPr>
        <w:t>企业要</w:t>
      </w:r>
      <w:r>
        <w:rPr>
          <w:rFonts w:hint="eastAsia" w:ascii="方正仿宋_GBK" w:hAnsi="方正仿宋_GBK" w:eastAsia="方正仿宋_GBK" w:cs="方正仿宋_GBK"/>
          <w:color w:val="000000"/>
          <w:sz w:val="32"/>
          <w:szCs w:val="32"/>
        </w:rPr>
        <w:t>建立健全职工福利费管理制度，严格按照国家、市和区规定的福利费标准执行。</w:t>
      </w:r>
      <w:r>
        <w:rPr>
          <w:rFonts w:hint="eastAsia" w:eastAsia="方正仿宋_GBK"/>
          <w:color w:val="000000"/>
          <w:sz w:val="32"/>
          <w:szCs w:val="32"/>
        </w:rPr>
        <w:t>实行货币化改革的福利性项目全部纳入工资总额管理，不得在</w:t>
      </w:r>
      <w:r>
        <w:rPr>
          <w:rFonts w:hint="eastAsia" w:ascii="方正仿宋_GBK" w:hAnsi="方正仿宋_GBK" w:eastAsia="方正仿宋_GBK" w:cs="方正仿宋_GBK"/>
          <w:color w:val="000000"/>
          <w:sz w:val="32"/>
          <w:szCs w:val="32"/>
        </w:rPr>
        <w:t>国家、市和区规定</w:t>
      </w:r>
      <w:r>
        <w:rPr>
          <w:rFonts w:hint="eastAsia" w:eastAsia="方正仿宋_GBK"/>
          <w:color w:val="000000"/>
          <w:sz w:val="32"/>
          <w:szCs w:val="32"/>
        </w:rPr>
        <w:t>之外自设福利费项目，不得违规发放福利费。经济效益下降或亏损的企业不得增加福利性项目，不得提高福利费标准；出现连续亏损的企业应当缩减福利性项目。</w:t>
      </w:r>
    </w:p>
    <w:p>
      <w:pPr>
        <w:pStyle w:val="2"/>
        <w:rPr>
          <w:rFonts w:hint="eastAsia" w:eastAsia="方正仿宋_GBK"/>
          <w:color w:val="000000"/>
          <w:sz w:val="32"/>
          <w:szCs w:val="32"/>
        </w:rPr>
      </w:pPr>
    </w:p>
    <w:p>
      <w:pPr>
        <w:pStyle w:val="2"/>
        <w:rPr>
          <w:rFonts w:hint="eastAsia" w:eastAsia="方正仿宋_GBK"/>
          <w:color w:val="000000"/>
          <w:sz w:val="32"/>
          <w:szCs w:val="32"/>
        </w:rPr>
      </w:pPr>
    </w:p>
    <w:bookmarkEnd w:id="7"/>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黑体_GBK" w:hAnsi="方正黑体_GBK" w:eastAsia="方正黑体_GBK" w:cs="方正黑体_GBK"/>
          <w:color w:val="000000"/>
          <w:sz w:val="32"/>
          <w:szCs w:val="32"/>
        </w:rPr>
      </w:pPr>
      <w:r>
        <w:rPr>
          <w:rFonts w:hint="eastAsia" w:ascii="方正黑体_GBK" w:hAnsi="黑体" w:eastAsia="方正黑体_GBK"/>
          <w:color w:val="000000"/>
          <w:sz w:val="32"/>
          <w:szCs w:val="32"/>
        </w:rPr>
        <w:t>第五章  监督检查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color w:val="000000"/>
          <w:sz w:val="32"/>
          <w:szCs w:val="32"/>
        </w:rPr>
      </w:pPr>
      <w:r>
        <w:rPr>
          <w:rFonts w:hint="eastAsia" w:ascii="方正黑体_GBK" w:hAnsi="Calibri" w:eastAsia="方正黑体_GBK"/>
          <w:color w:val="000000"/>
          <w:sz w:val="32"/>
          <w:szCs w:val="32"/>
        </w:rPr>
        <w:t>第三十条</w:t>
      </w:r>
      <w:r>
        <w:rPr>
          <w:rFonts w:hint="eastAsia" w:ascii="方正黑体_GBK" w:hAnsi="Calibri" w:eastAsia="方正黑体_GBK"/>
          <w:color w:val="000000"/>
          <w:sz w:val="36"/>
          <w:szCs w:val="36"/>
        </w:rPr>
        <w:t xml:space="preserve">  </w:t>
      </w:r>
      <w:r>
        <w:rPr>
          <w:rFonts w:hint="eastAsia" w:ascii="方正仿宋_GBK" w:hAnsi="方正仿宋_GBK" w:eastAsia="方正仿宋_GBK" w:cs="方正仿宋_GBK"/>
          <w:color w:val="000000"/>
          <w:sz w:val="32"/>
          <w:szCs w:val="32"/>
        </w:rPr>
        <w:t>区人力社保局、区国资委对区属国有企业落实我区工资决定机制改革要求的情况、企业工资列支和发放情况等进行监督检查，</w:t>
      </w:r>
      <w:bookmarkStart w:id="9" w:name="_Toc17256"/>
      <w:r>
        <w:rPr>
          <w:rFonts w:hint="eastAsia" w:ascii="方正仿宋_GBK" w:hAnsi="方正仿宋_GBK" w:eastAsia="方正仿宋_GBK" w:cs="方正仿宋_GBK"/>
          <w:color w:val="000000"/>
          <w:sz w:val="32"/>
          <w:szCs w:val="32"/>
        </w:rPr>
        <w:t>及时查处违规发放工资、滥发工资外收入等行为。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color w:val="000000"/>
          <w:sz w:val="32"/>
          <w:szCs w:val="32"/>
        </w:rPr>
      </w:pPr>
      <w:r>
        <w:rPr>
          <w:rFonts w:hint="eastAsia" w:ascii="方正黑体_GBK" w:hAnsi="Calibri" w:eastAsia="方正黑体_GBK"/>
          <w:color w:val="000000"/>
          <w:sz w:val="32"/>
          <w:szCs w:val="32"/>
        </w:rPr>
        <w:t>第三十一条</w:t>
      </w:r>
      <w:r>
        <w:rPr>
          <w:rFonts w:hint="eastAsia" w:ascii="方正黑体_GBK" w:hAnsi="Calibri" w:eastAsia="方正黑体_GBK"/>
          <w:color w:val="000000"/>
          <w:sz w:val="36"/>
          <w:szCs w:val="36"/>
        </w:rPr>
        <w:t xml:space="preserve">  </w:t>
      </w:r>
      <w:r>
        <w:rPr>
          <w:rFonts w:hint="eastAsia" w:ascii="方正仿宋_GBK" w:hAnsi="方正仿宋_GBK" w:eastAsia="方正仿宋_GBK" w:cs="方正仿宋_GBK"/>
          <w:color w:val="000000"/>
          <w:sz w:val="32"/>
          <w:szCs w:val="32"/>
        </w:rPr>
        <w:t>区属国有企业应完善法人治理结构，健全内控机制，加强自律建设，规范董事会、监事会的运行。董事会应依照法定程序决定工资分配事项，加强对工资分配决议执行情况的监督。落实企业监事会和工会对工资分配的监督责任，加强对企业本部及所属子企业工资分配的监督，督促企业改进完善工资分配制度。区属国有企业应按规定报送工资总额执行结果，自觉接受政府职能部门和区国资委的监管，将职工工资收入分配情况作为厂务公开的重要内容，在企业醒目位置设置公告栏，定期向职工公开，接受职工监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color w:val="000000"/>
          <w:sz w:val="32"/>
          <w:szCs w:val="32"/>
        </w:rPr>
      </w:pPr>
      <w:r>
        <w:rPr>
          <w:rFonts w:hint="eastAsia" w:ascii="方正黑体_GBK" w:hAnsi="Calibri" w:eastAsia="方正黑体_GBK"/>
          <w:color w:val="000000"/>
          <w:sz w:val="32"/>
          <w:szCs w:val="32"/>
        </w:rPr>
        <w:t xml:space="preserve">第三十二条 </w:t>
      </w:r>
      <w:r>
        <w:rPr>
          <w:rFonts w:hint="eastAsia" w:ascii="方正黑体_GBK" w:hAnsi="Calibri" w:eastAsia="方正黑体_GBK"/>
          <w:color w:val="000000"/>
          <w:sz w:val="36"/>
          <w:szCs w:val="36"/>
        </w:rPr>
        <w:t xml:space="preserve"> </w:t>
      </w:r>
      <w:r>
        <w:rPr>
          <w:rFonts w:hint="eastAsia" w:ascii="方正仿宋_GBK" w:hAnsi="方正仿宋_GBK" w:eastAsia="方正仿宋_GBK" w:cs="方正仿宋_GBK"/>
          <w:color w:val="000000"/>
          <w:sz w:val="32"/>
          <w:szCs w:val="32"/>
        </w:rPr>
        <w:t>建立国有企业工资分配信息公开制度。区属国有企业应于每年9月底前向社会如实披露企业上年度应付职工工资总额、实付职工工资总额、职工平均工资水平及增长或下降幅度等信息，接受社会公众监督。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color w:val="000000"/>
          <w:sz w:val="32"/>
          <w:szCs w:val="32"/>
        </w:rPr>
      </w:pPr>
      <w:r>
        <w:rPr>
          <w:rFonts w:hint="eastAsia" w:ascii="方正黑体_GBK" w:hAnsi="Calibri" w:eastAsia="方正黑体_GBK"/>
          <w:color w:val="000000"/>
          <w:sz w:val="32"/>
          <w:szCs w:val="32"/>
        </w:rPr>
        <w:t xml:space="preserve">第三十三条  </w:t>
      </w:r>
      <w:r>
        <w:rPr>
          <w:rFonts w:hint="eastAsia" w:ascii="方正仿宋_GBK" w:hAnsi="方正仿宋_GBK" w:eastAsia="方正仿宋_GBK" w:cs="方正仿宋_GBK"/>
          <w:color w:val="000000"/>
          <w:sz w:val="32"/>
          <w:szCs w:val="32"/>
        </w:rPr>
        <w:t>对企业存在超提、超发工资总额及其他违规行为的，扣回违规发放的工资总额，并视违规情形对企业负责人和相关责任人员依照有关规定给予经济处罚和纪律处分；涉嫌犯罪的，依法移送司法机关处理。</w:t>
      </w:r>
      <w:bookmarkEnd w:id="9"/>
      <w:bookmarkStart w:id="10" w:name="_Toc16505"/>
      <w:bookmarkStart w:id="11" w:name="_Toc6498"/>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黑体_GBK" w:hAnsi="方正黑体_GBK" w:eastAsia="方正黑体_GBK" w:cs="方正黑体_GBK"/>
          <w:color w:val="00000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黑体_GBK" w:hAnsi="方正黑体_GBK" w:eastAsia="方正黑体_GBK" w:cs="方正黑体_GBK"/>
          <w:color w:val="00000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第六章  附 则</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Calibri" w:eastAsia="方正黑体_GBK"/>
          <w:color w:val="000000"/>
          <w:sz w:val="32"/>
          <w:szCs w:val="32"/>
        </w:rPr>
        <w:t>第三十四条</w:t>
      </w:r>
      <w:r>
        <w:rPr>
          <w:rFonts w:hint="eastAsia" w:ascii="方正黑体_GBK" w:hAnsi="Calibri" w:eastAsia="方正黑体_GBK"/>
          <w:color w:val="000000"/>
          <w:sz w:val="36"/>
          <w:szCs w:val="36"/>
        </w:rPr>
        <w:t xml:space="preserve">  </w:t>
      </w:r>
      <w:bookmarkEnd w:id="10"/>
      <w:bookmarkEnd w:id="11"/>
      <w:bookmarkStart w:id="12" w:name="_Toc9812"/>
      <w:bookmarkStart w:id="13" w:name="_Toc8706"/>
      <w:r>
        <w:rPr>
          <w:rFonts w:hint="eastAsia" w:ascii="方正仿宋_GBK" w:hAnsi="方正仿宋_GBK" w:eastAsia="方正仿宋_GBK" w:cs="方正仿宋_GBK"/>
          <w:sz w:val="32"/>
          <w:szCs w:val="32"/>
        </w:rPr>
        <w:t>本办法自印发之日起执行。由</w:t>
      </w:r>
      <w:r>
        <w:rPr>
          <w:rFonts w:hint="eastAsia" w:ascii="方正仿宋_GBK" w:hAnsi="方正仿宋_GBK" w:eastAsia="方正仿宋_GBK" w:cs="方正仿宋_GBK"/>
          <w:color w:val="000000"/>
          <w:kern w:val="2"/>
          <w:sz w:val="32"/>
          <w:szCs w:val="32"/>
        </w:rPr>
        <w:t>区国资委、区人力社保局负责解释。</w:t>
      </w:r>
      <w:r>
        <w:rPr>
          <w:rFonts w:hint="eastAsia" w:ascii="方正仿宋_GBK" w:hAnsi="方正仿宋_GBK" w:eastAsia="方正仿宋_GBK" w:cs="方正仿宋_GBK"/>
          <w:sz w:val="32"/>
          <w:szCs w:val="32"/>
        </w:rPr>
        <w:t>原</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重庆市荣昌区国有企业工资总额预算管理暂行办法</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（荣人社函</w:t>
      </w:r>
      <w:r>
        <w:rPr>
          <w:rFonts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rPr>
        <w:t>7</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308</w:t>
      </w:r>
      <w:r>
        <w:rPr>
          <w:rFonts w:ascii="方正仿宋_GBK" w:hAnsi="方正仿宋_GBK" w:eastAsia="方正仿宋_GBK" w:cs="方正仿宋_GBK"/>
          <w:sz w:val="32"/>
          <w:szCs w:val="32"/>
        </w:rPr>
        <w:t>号</w:t>
      </w:r>
      <w:r>
        <w:rPr>
          <w:rFonts w:hint="eastAsia" w:ascii="方正仿宋_GBK" w:hAnsi="方正仿宋_GBK" w:eastAsia="方正仿宋_GBK" w:cs="方正仿宋_GBK"/>
          <w:sz w:val="32"/>
          <w:szCs w:val="32"/>
        </w:rPr>
        <w:t>）废止。</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color w:val="000000"/>
          <w:sz w:val="32"/>
          <w:szCs w:val="32"/>
        </w:rPr>
      </w:pPr>
      <w:r>
        <w:rPr>
          <w:rFonts w:hint="eastAsia" w:ascii="方正黑体_GBK" w:hAnsi="Calibri" w:eastAsia="方正黑体_GBK"/>
          <w:color w:val="000000"/>
          <w:sz w:val="32"/>
          <w:szCs w:val="32"/>
        </w:rPr>
        <w:t xml:space="preserve">第三十五条 </w:t>
      </w:r>
      <w:r>
        <w:rPr>
          <w:rFonts w:hint="eastAsia" w:ascii="方正黑体_GBK" w:hAnsi="Calibri" w:eastAsia="方正黑体_GBK"/>
          <w:color w:val="000000"/>
          <w:sz w:val="36"/>
          <w:szCs w:val="36"/>
        </w:rPr>
        <w:t xml:space="preserve"> </w:t>
      </w:r>
      <w:r>
        <w:rPr>
          <w:rFonts w:hint="eastAsia" w:ascii="方正仿宋_GBK" w:hAnsi="方正仿宋_GBK" w:eastAsia="方正仿宋_GBK" w:cs="方正仿宋_GBK"/>
          <w:color w:val="000000"/>
          <w:sz w:val="32"/>
          <w:szCs w:val="32"/>
        </w:rPr>
        <w:t>区属国有企业应指导所属企业做好工资分配管理相关新老政策的衔接工作，平稳过渡，避免工资出现过大波动，确保改革平稳有序推进。</w:t>
      </w:r>
      <w:bookmarkEnd w:id="12"/>
      <w:bookmarkEnd w:id="13"/>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eastAsia="方正仿宋_GBK"/>
          <w:color w:val="00000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eastAsia="方正仿宋_GBK"/>
          <w:color w:val="000000"/>
          <w:sz w:val="32"/>
          <w:szCs w:val="32"/>
        </w:rPr>
      </w:pPr>
      <w:r>
        <w:rPr>
          <w:rFonts w:hint="eastAsia" w:eastAsia="方正仿宋_GBK"/>
          <w:color w:val="000000"/>
          <w:sz w:val="32"/>
          <w:szCs w:val="32"/>
        </w:rPr>
        <w:t>附件：经济效益指标及权重说明</w:t>
      </w:r>
    </w:p>
    <w:p>
      <w:pPr>
        <w:rPr>
          <w:rFonts w:hint="eastAsia" w:eastAsia="方正仿宋_GBK"/>
          <w:color w:val="000000"/>
          <w:sz w:val="32"/>
          <w:szCs w:val="32"/>
        </w:rPr>
      </w:pPr>
    </w:p>
    <w:p>
      <w:pPr>
        <w:rPr>
          <w:rFonts w:hint="eastAsia" w:eastAsia="方正仿宋_GBK"/>
          <w:color w:val="000000"/>
          <w:sz w:val="32"/>
          <w:szCs w:val="32"/>
        </w:rPr>
      </w:pPr>
    </w:p>
    <w:p>
      <w:pPr>
        <w:rPr>
          <w:rFonts w:hint="eastAsia" w:eastAsia="方正仿宋_GBK"/>
          <w:color w:val="000000"/>
          <w:sz w:val="32"/>
          <w:szCs w:val="32"/>
        </w:rPr>
        <w:sectPr>
          <w:headerReference r:id="rId3" w:type="default"/>
          <w:footerReference r:id="rId4" w:type="default"/>
          <w:pgSz w:w="11906" w:h="16838"/>
          <w:pgMar w:top="1984" w:right="1446" w:bottom="1644" w:left="1446" w:header="851" w:footer="992" w:gutter="0"/>
          <w:pgNumType w:start="1"/>
          <w:cols w:space="720" w:num="1"/>
          <w:docGrid w:type="lines" w:linePitch="579" w:charSpace="0"/>
        </w:sectPr>
      </w:pPr>
    </w:p>
    <w:p>
      <w:r>
        <w:rPr>
          <w:rFonts w:hint="eastAsia" w:ascii="方正黑体_GBK" w:hAnsi="方正黑体_GBK" w:eastAsia="方正黑体_GBK" w:cs="方正黑体_GBK"/>
          <w:sz w:val="32"/>
          <w:szCs w:val="32"/>
        </w:rPr>
        <w:t>附件1</w:t>
      </w:r>
      <w:r>
        <w:rPr>
          <w:rFonts w:hint="eastAsia" w:ascii="方正黑体_GBK" w:hAnsi="方正黑体_GBK" w:eastAsia="方正黑体_GBK" w:cs="方正黑体_GBK"/>
          <w:sz w:val="32"/>
          <w:szCs w:val="32"/>
          <w:lang w:eastAsia="zh-CN"/>
        </w:rPr>
        <w:t>：</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经济效益指标及权重说明</w:t>
      </w:r>
    </w:p>
    <w:p>
      <w:pPr>
        <w:ind w:firstLine="632"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一、经济效益指标说明</w:t>
      </w:r>
    </w:p>
    <w:tbl>
      <w:tblPr>
        <w:tblStyle w:val="8"/>
        <w:tblW w:w="8855" w:type="dxa"/>
        <w:tblInd w:w="0" w:type="dxa"/>
        <w:tblLayout w:type="fixed"/>
        <w:tblCellMar>
          <w:top w:w="15" w:type="dxa"/>
          <w:left w:w="15" w:type="dxa"/>
          <w:bottom w:w="15" w:type="dxa"/>
          <w:right w:w="15" w:type="dxa"/>
        </w:tblCellMar>
      </w:tblPr>
      <w:tblGrid>
        <w:gridCol w:w="612"/>
        <w:gridCol w:w="1543"/>
        <w:gridCol w:w="6700"/>
      </w:tblGrid>
      <w:tr>
        <w:tblPrEx>
          <w:tblLayout w:type="fixed"/>
          <w:tblCellMar>
            <w:top w:w="15" w:type="dxa"/>
            <w:left w:w="15" w:type="dxa"/>
            <w:bottom w:w="15" w:type="dxa"/>
            <w:right w:w="15" w:type="dxa"/>
          </w:tblCellMar>
        </w:tblPrEx>
        <w:trPr>
          <w:trHeight w:val="325" w:hRule="atLeast"/>
        </w:trPr>
        <w:tc>
          <w:tcPr>
            <w:tcW w:w="612" w:type="dxa"/>
            <w:tcBorders>
              <w:top w:val="single" w:color="000000" w:sz="12" w:space="0"/>
              <w:left w:val="single" w:color="000000" w:sz="12" w:space="0"/>
              <w:bottom w:val="single" w:color="000000" w:sz="4" w:space="0"/>
              <w:right w:val="single" w:color="000000" w:sz="4" w:space="0"/>
            </w:tcBorders>
            <w:vAlign w:val="center"/>
          </w:tcPr>
          <w:p>
            <w:pPr>
              <w:spacing w:line="24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序号</w:t>
            </w:r>
          </w:p>
        </w:tc>
        <w:tc>
          <w:tcPr>
            <w:tcW w:w="1543" w:type="dxa"/>
            <w:tcBorders>
              <w:top w:val="single" w:color="000000" w:sz="12"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指标</w:t>
            </w:r>
          </w:p>
        </w:tc>
        <w:tc>
          <w:tcPr>
            <w:tcW w:w="6700" w:type="dxa"/>
            <w:tcBorders>
              <w:top w:val="single" w:color="000000" w:sz="12" w:space="0"/>
              <w:left w:val="single" w:color="000000" w:sz="4" w:space="0"/>
              <w:bottom w:val="single" w:color="000000" w:sz="4" w:space="0"/>
              <w:right w:val="single" w:color="000000" w:sz="12" w:space="0"/>
            </w:tcBorders>
            <w:vAlign w:val="center"/>
          </w:tcPr>
          <w:p>
            <w:pPr>
              <w:spacing w:line="24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计算说明</w:t>
            </w:r>
          </w:p>
        </w:tc>
      </w:tr>
      <w:tr>
        <w:tblPrEx>
          <w:tblLayout w:type="fixed"/>
          <w:tblCellMar>
            <w:top w:w="15" w:type="dxa"/>
            <w:left w:w="15" w:type="dxa"/>
            <w:bottom w:w="15" w:type="dxa"/>
            <w:right w:w="15" w:type="dxa"/>
          </w:tblCellMar>
        </w:tblPrEx>
        <w:trPr>
          <w:trHeight w:val="405" w:hRule="atLeast"/>
        </w:trPr>
        <w:tc>
          <w:tcPr>
            <w:tcW w:w="612"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15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hAnsi="方正仿宋_GBK" w:eastAsia="方正仿宋_GBK" w:cs="方正仿宋_GBK"/>
                <w:sz w:val="24"/>
              </w:rPr>
            </w:pPr>
            <w:bookmarkStart w:id="14" w:name="_GoBack"/>
            <w:r>
              <w:rPr>
                <w:rFonts w:hint="eastAsia" w:ascii="方正仿宋_GBK" w:hAnsi="方正仿宋_GBK" w:eastAsia="方正仿宋_GBK" w:cs="方正仿宋_GBK"/>
                <w:sz w:val="24"/>
              </w:rPr>
              <w:t>利润总额</w:t>
            </w:r>
            <w:bookmarkEnd w:id="14"/>
          </w:p>
        </w:tc>
        <w:tc>
          <w:tcPr>
            <w:tcW w:w="6700" w:type="dxa"/>
            <w:tcBorders>
              <w:top w:val="single" w:color="000000" w:sz="4" w:space="0"/>
              <w:left w:val="single" w:color="000000" w:sz="4" w:space="0"/>
              <w:bottom w:val="single" w:color="000000" w:sz="4" w:space="0"/>
              <w:right w:val="single" w:color="000000" w:sz="12" w:space="0"/>
            </w:tcBorders>
            <w:vAlign w:val="center"/>
          </w:tcPr>
          <w:p>
            <w:pPr>
              <w:spacing w:line="24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利润总额=营业利润+投资净收益+营业外收入-营业外支出</w:t>
            </w:r>
          </w:p>
        </w:tc>
      </w:tr>
      <w:tr>
        <w:tblPrEx>
          <w:tblLayout w:type="fixed"/>
          <w:tblCellMar>
            <w:top w:w="15" w:type="dxa"/>
            <w:left w:w="15" w:type="dxa"/>
            <w:bottom w:w="15" w:type="dxa"/>
            <w:right w:w="15" w:type="dxa"/>
          </w:tblCellMar>
        </w:tblPrEx>
        <w:trPr>
          <w:trHeight w:val="1062" w:hRule="atLeast"/>
        </w:trPr>
        <w:tc>
          <w:tcPr>
            <w:tcW w:w="612"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5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人工成本</w:t>
            </w:r>
          </w:p>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利润率</w:t>
            </w:r>
          </w:p>
        </w:tc>
        <w:tc>
          <w:tcPr>
            <w:tcW w:w="6700" w:type="dxa"/>
            <w:tcBorders>
              <w:top w:val="single" w:color="000000" w:sz="4" w:space="0"/>
              <w:left w:val="single" w:color="000000" w:sz="4" w:space="0"/>
              <w:bottom w:val="single" w:color="000000" w:sz="4" w:space="0"/>
              <w:right w:val="single" w:color="000000" w:sz="12" w:space="0"/>
            </w:tcBorders>
            <w:vAlign w:val="center"/>
          </w:tcPr>
          <w:p>
            <w:pPr>
              <w:spacing w:line="240"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1.人工成本利润率=利润总额/人工成本总额</w:t>
            </w:r>
          </w:p>
          <w:p>
            <w:pPr>
              <w:spacing w:line="24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2.人工成本总额=职工工资总额+单位缴纳社会保险费+职工福利费+职工教育费+劳动保护费+职工住房费用（单位负担的住房公积金）+其他人工成本费用（如发放的伙食补助、交通补助等）</w:t>
            </w:r>
          </w:p>
        </w:tc>
      </w:tr>
      <w:tr>
        <w:tblPrEx>
          <w:tblLayout w:type="fixed"/>
          <w:tblCellMar>
            <w:top w:w="15" w:type="dxa"/>
            <w:left w:w="15" w:type="dxa"/>
            <w:bottom w:w="15" w:type="dxa"/>
            <w:right w:w="15" w:type="dxa"/>
          </w:tblCellMar>
        </w:tblPrEx>
        <w:trPr>
          <w:trHeight w:val="4321" w:hRule="atLeast"/>
        </w:trPr>
        <w:tc>
          <w:tcPr>
            <w:tcW w:w="612"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15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国有资本</w:t>
            </w:r>
          </w:p>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保值增值率</w:t>
            </w:r>
          </w:p>
        </w:tc>
        <w:tc>
          <w:tcPr>
            <w:tcW w:w="6700" w:type="dxa"/>
            <w:tcBorders>
              <w:top w:val="single" w:color="000000" w:sz="4" w:space="0"/>
              <w:left w:val="single" w:color="000000" w:sz="4" w:space="0"/>
              <w:bottom w:val="single" w:color="000000" w:sz="4" w:space="0"/>
              <w:right w:val="single" w:color="000000" w:sz="12" w:space="0"/>
            </w:tcBorders>
            <w:vAlign w:val="center"/>
          </w:tcPr>
          <w:p>
            <w:pPr>
              <w:spacing w:line="240"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1.国有资本保值增值率=扣除客观因素影响后的期末国有资本 /期初国有资本×100%</w:t>
            </w:r>
          </w:p>
          <w:p>
            <w:pPr>
              <w:spacing w:line="240"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国有资本，是指国家对企业各种形式的投资和投资所形成的收益，以及依法认定的国家所有者权益。</w:t>
            </w:r>
          </w:p>
          <w:p>
            <w:pPr>
              <w:spacing w:line="240"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2.客观因素：</w:t>
            </w:r>
          </w:p>
          <w:p>
            <w:pPr>
              <w:spacing w:line="240"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A.增加因素，主要包括直接追加投资增加资本，无偿划入增加资本，资产评估增加资本，清产核资增加资本，产权界定增加资本，资本（股票）溢价增加资本，税收返还增加资本，会计调整和减值准备转回增加资本，接受捐赠增加资本以及债权转股权增加资本等。</w:t>
            </w:r>
          </w:p>
          <w:p>
            <w:pPr>
              <w:spacing w:line="240"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B.减少因素，主要包括：专项批准核销减少资本，无偿划出减少资本，资产评估减少资本，产权界定减少资本，消化以前年度潜亏和挂账减少资本，自然灾害等不可抗拒因素减少资本，企业按规定上缴红利减少资本，资本(股票)折价减少资本等。在国有资本保值增值率的计算中，期末国有资本客观增加因素在计算中应予以扣除，而对于客观减少因素，在计算中则应予以补加。</w:t>
            </w:r>
          </w:p>
          <w:p>
            <w:pPr>
              <w:spacing w:line="24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对于以上客观因素的证明材料，必须提供国家有关部门的文件、有关专项鉴证证明、年度财务决算审计报告，以及企业的有关入账凭证等。</w:t>
            </w:r>
          </w:p>
        </w:tc>
      </w:tr>
      <w:tr>
        <w:tblPrEx>
          <w:tblLayout w:type="fixed"/>
          <w:tblCellMar>
            <w:top w:w="15" w:type="dxa"/>
            <w:left w:w="15" w:type="dxa"/>
            <w:bottom w:w="15" w:type="dxa"/>
            <w:right w:w="15" w:type="dxa"/>
          </w:tblCellMar>
        </w:tblPrEx>
        <w:trPr>
          <w:trHeight w:val="1043" w:hRule="atLeast"/>
        </w:trPr>
        <w:tc>
          <w:tcPr>
            <w:tcW w:w="612"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15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成本费用</w:t>
            </w:r>
          </w:p>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控制率</w:t>
            </w:r>
          </w:p>
        </w:tc>
        <w:tc>
          <w:tcPr>
            <w:tcW w:w="6700" w:type="dxa"/>
            <w:tcBorders>
              <w:top w:val="single" w:color="000000" w:sz="4" w:space="0"/>
              <w:left w:val="single" w:color="000000" w:sz="4" w:space="0"/>
              <w:bottom w:val="single" w:color="000000" w:sz="4" w:space="0"/>
              <w:right w:val="single" w:color="000000" w:sz="12" w:space="0"/>
            </w:tcBorders>
            <w:vAlign w:val="center"/>
          </w:tcPr>
          <w:p>
            <w:pPr>
              <w:spacing w:line="240"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1.成本费用控制率=成本费用总额/营业收入×100%</w:t>
            </w:r>
          </w:p>
          <w:p>
            <w:pPr>
              <w:spacing w:line="240"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2.成本费用总额=主营业务成本+其他业务成本+期间费用+税金及附加</w:t>
            </w:r>
          </w:p>
          <w:p>
            <w:pPr>
              <w:spacing w:line="24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3.期间费用=销售费用+管理费用+财务费用</w:t>
            </w:r>
          </w:p>
        </w:tc>
      </w:tr>
      <w:tr>
        <w:tblPrEx>
          <w:tblLayout w:type="fixed"/>
          <w:tblCellMar>
            <w:top w:w="15" w:type="dxa"/>
            <w:left w:w="15" w:type="dxa"/>
            <w:bottom w:w="15" w:type="dxa"/>
            <w:right w:w="15" w:type="dxa"/>
          </w:tblCellMar>
        </w:tblPrEx>
        <w:trPr>
          <w:trHeight w:val="1391" w:hRule="atLeast"/>
        </w:trPr>
        <w:tc>
          <w:tcPr>
            <w:tcW w:w="612"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154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劳动</w:t>
            </w:r>
          </w:p>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生产率</w:t>
            </w:r>
          </w:p>
        </w:tc>
        <w:tc>
          <w:tcPr>
            <w:tcW w:w="6700" w:type="dxa"/>
            <w:tcBorders>
              <w:top w:val="single" w:color="000000" w:sz="4" w:space="0"/>
              <w:left w:val="single" w:color="000000" w:sz="4" w:space="0"/>
              <w:bottom w:val="single" w:color="000000" w:sz="4" w:space="0"/>
              <w:right w:val="single" w:color="000000" w:sz="12" w:space="0"/>
            </w:tcBorders>
            <w:vAlign w:val="center"/>
          </w:tcPr>
          <w:p>
            <w:pPr>
              <w:spacing w:line="240"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劳动生产率=年总产值/平均职工人数；</w:t>
            </w:r>
          </w:p>
          <w:p>
            <w:pPr>
              <w:spacing w:line="24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年总产值（劳动生产总值）=净利润-投资收益+职工薪酬</w:t>
            </w:r>
          </w:p>
          <w:p>
            <w:pPr>
              <w:spacing w:line="240"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（不含劳务派遣费用）+应交税费总额+计提折旧额；</w:t>
            </w:r>
          </w:p>
          <w:p>
            <w:pPr>
              <w:spacing w:line="240"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年平均职工人数：月平均值＝（月初值+月末值）/2</w:t>
            </w:r>
          </w:p>
          <w:p>
            <w:pPr>
              <w:spacing w:line="24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全年月平均值＝全年各月平均值之和/12</w:t>
            </w:r>
          </w:p>
        </w:tc>
      </w:tr>
      <w:tr>
        <w:tblPrEx>
          <w:tblLayout w:type="fixed"/>
          <w:tblCellMar>
            <w:top w:w="15" w:type="dxa"/>
            <w:left w:w="15" w:type="dxa"/>
            <w:bottom w:w="15" w:type="dxa"/>
            <w:right w:w="15" w:type="dxa"/>
          </w:tblCellMar>
        </w:tblPrEx>
        <w:trPr>
          <w:trHeight w:val="670" w:hRule="atLeast"/>
        </w:trPr>
        <w:tc>
          <w:tcPr>
            <w:tcW w:w="612" w:type="dxa"/>
            <w:tcBorders>
              <w:top w:val="single" w:color="000000" w:sz="4" w:space="0"/>
              <w:left w:val="single" w:color="000000" w:sz="12" w:space="0"/>
              <w:bottom w:val="single" w:color="000000" w:sz="12" w:space="0"/>
              <w:right w:val="single" w:color="000000" w:sz="4" w:space="0"/>
            </w:tcBorders>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6</w:t>
            </w:r>
          </w:p>
        </w:tc>
        <w:tc>
          <w:tcPr>
            <w:tcW w:w="1543" w:type="dxa"/>
            <w:tcBorders>
              <w:top w:val="single" w:color="000000" w:sz="4" w:space="0"/>
              <w:left w:val="single" w:color="000000" w:sz="4" w:space="0"/>
              <w:bottom w:val="single" w:color="000000" w:sz="12" w:space="0"/>
              <w:right w:val="single" w:color="000000" w:sz="4" w:space="0"/>
            </w:tcBorders>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人工成本</w:t>
            </w:r>
          </w:p>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投入产出率</w:t>
            </w:r>
          </w:p>
        </w:tc>
        <w:tc>
          <w:tcPr>
            <w:tcW w:w="6700" w:type="dxa"/>
            <w:tcBorders>
              <w:top w:val="single" w:color="000000" w:sz="4" w:space="0"/>
              <w:left w:val="single" w:color="000000" w:sz="4" w:space="0"/>
              <w:bottom w:val="single" w:color="000000" w:sz="12" w:space="0"/>
              <w:right w:val="single" w:color="000000" w:sz="12" w:space="0"/>
            </w:tcBorders>
            <w:vAlign w:val="center"/>
          </w:tcPr>
          <w:p>
            <w:pPr>
              <w:spacing w:line="24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人工成本投入产出率=年总产值／人工成本 </w:t>
            </w:r>
          </w:p>
        </w:tc>
      </w:tr>
    </w:tbl>
    <w:p>
      <w:pPr>
        <w:ind w:firstLine="632" w:firstLineChars="200"/>
        <w:rPr>
          <w:rFonts w:hint="eastAsia" w:ascii="方正楷体_GBK" w:hAnsi="方正楷体_GBK" w:eastAsia="方正楷体_GBK" w:cs="方正楷体_GBK"/>
          <w:sz w:val="32"/>
          <w:szCs w:val="32"/>
        </w:rPr>
      </w:pPr>
    </w:p>
    <w:p>
      <w:pPr>
        <w:ind w:firstLine="632"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二、工资总额预算与经济效益关系式说明</w:t>
      </w:r>
    </w:p>
    <w:tbl>
      <w:tblPr>
        <w:tblStyle w:val="8"/>
        <w:tblW w:w="8336" w:type="dxa"/>
        <w:tblInd w:w="0" w:type="dxa"/>
        <w:tblLayout w:type="fixed"/>
        <w:tblCellMar>
          <w:top w:w="15" w:type="dxa"/>
          <w:left w:w="15" w:type="dxa"/>
          <w:bottom w:w="15" w:type="dxa"/>
          <w:right w:w="15" w:type="dxa"/>
        </w:tblCellMar>
      </w:tblPr>
      <w:tblGrid>
        <w:gridCol w:w="643"/>
        <w:gridCol w:w="1110"/>
        <w:gridCol w:w="6583"/>
      </w:tblGrid>
      <w:tr>
        <w:tblPrEx>
          <w:tblLayout w:type="fixed"/>
          <w:tblCellMar>
            <w:top w:w="15" w:type="dxa"/>
            <w:left w:w="15" w:type="dxa"/>
            <w:bottom w:w="15" w:type="dxa"/>
            <w:right w:w="15" w:type="dxa"/>
          </w:tblCellMar>
        </w:tblPrEx>
        <w:trPr>
          <w:trHeight w:val="516" w:hRule="atLeast"/>
        </w:trPr>
        <w:tc>
          <w:tcPr>
            <w:tcW w:w="8336" w:type="dxa"/>
            <w:gridSpan w:val="3"/>
            <w:tcBorders>
              <w:top w:val="single" w:color="000000" w:sz="12" w:space="0"/>
              <w:left w:val="single" w:color="000000" w:sz="12" w:space="0"/>
              <w:bottom w:val="single" w:color="000000" w:sz="4" w:space="0"/>
              <w:right w:val="single" w:color="000000" w:sz="12" w:space="0"/>
            </w:tcBorders>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b/>
                <w:bCs/>
                <w:sz w:val="24"/>
              </w:rPr>
              <w:t>工资总额预算目标值=工资总额预算基数×（1+工资总额增长幅度）</w:t>
            </w:r>
          </w:p>
        </w:tc>
      </w:tr>
      <w:tr>
        <w:tblPrEx>
          <w:tblLayout w:type="fixed"/>
          <w:tblCellMar>
            <w:top w:w="15" w:type="dxa"/>
            <w:left w:w="15" w:type="dxa"/>
            <w:bottom w:w="15" w:type="dxa"/>
            <w:right w:w="15" w:type="dxa"/>
          </w:tblCellMar>
        </w:tblPrEx>
        <w:trPr>
          <w:trHeight w:val="228" w:hRule="atLeast"/>
        </w:trPr>
        <w:tc>
          <w:tcPr>
            <w:tcW w:w="643" w:type="dxa"/>
            <w:tcBorders>
              <w:top w:val="single" w:color="000000" w:sz="4" w:space="0"/>
              <w:left w:val="single" w:color="000000" w:sz="12" w:space="0"/>
              <w:bottom w:val="single" w:color="000000" w:sz="4" w:space="0"/>
              <w:right w:val="single" w:color="000000" w:sz="4" w:space="0"/>
            </w:tcBorders>
            <w:vAlign w:val="center"/>
          </w:tcPr>
          <w:p>
            <w:pPr>
              <w:spacing w:line="26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序号</w:t>
            </w:r>
          </w:p>
        </w:tc>
        <w:tc>
          <w:tcPr>
            <w:tcW w:w="111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企业分类</w:t>
            </w:r>
          </w:p>
        </w:tc>
        <w:tc>
          <w:tcPr>
            <w:tcW w:w="6583" w:type="dxa"/>
            <w:tcBorders>
              <w:top w:val="single" w:color="000000" w:sz="4" w:space="0"/>
              <w:left w:val="single" w:color="000000" w:sz="4" w:space="0"/>
              <w:bottom w:val="single" w:color="000000" w:sz="4" w:space="0"/>
              <w:right w:val="single" w:color="000000" w:sz="12" w:space="0"/>
            </w:tcBorders>
            <w:vAlign w:val="center"/>
          </w:tcPr>
          <w:p>
            <w:pPr>
              <w:spacing w:line="26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权重及联动关系公式</w:t>
            </w:r>
          </w:p>
        </w:tc>
      </w:tr>
      <w:tr>
        <w:tblPrEx>
          <w:tblLayout w:type="fixed"/>
          <w:tblCellMar>
            <w:top w:w="15" w:type="dxa"/>
            <w:left w:w="15" w:type="dxa"/>
            <w:bottom w:w="15" w:type="dxa"/>
            <w:right w:w="15" w:type="dxa"/>
          </w:tblCellMar>
        </w:tblPrEx>
        <w:trPr>
          <w:trHeight w:val="625" w:hRule="atLeast"/>
        </w:trPr>
        <w:tc>
          <w:tcPr>
            <w:tcW w:w="643" w:type="dxa"/>
            <w:tcBorders>
              <w:top w:val="single" w:color="000000" w:sz="4" w:space="0"/>
              <w:left w:val="single" w:color="000000" w:sz="12" w:space="0"/>
              <w:bottom w:val="single" w:color="000000" w:sz="4" w:space="0"/>
              <w:right w:val="single" w:color="000000" w:sz="4" w:space="0"/>
            </w:tcBorders>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111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商业一类</w:t>
            </w:r>
          </w:p>
        </w:tc>
        <w:tc>
          <w:tcPr>
            <w:tcW w:w="6583" w:type="dxa"/>
            <w:tcBorders>
              <w:top w:val="single" w:color="000000" w:sz="4" w:space="0"/>
              <w:left w:val="single" w:color="000000" w:sz="4" w:space="0"/>
              <w:bottom w:val="single" w:color="000000" w:sz="4" w:space="0"/>
              <w:right w:val="single" w:color="000000" w:sz="12" w:space="0"/>
            </w:tcBorders>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（利润总额n-利润总额o）/利润总额o×60%+（人工成本利润率n-人工成本利润率o）/人工成本利润率o×40%=经济效益增长幅度≥工资总额增长幅度</w:t>
            </w:r>
          </w:p>
        </w:tc>
      </w:tr>
      <w:tr>
        <w:tblPrEx>
          <w:tblLayout w:type="fixed"/>
          <w:tblCellMar>
            <w:top w:w="15" w:type="dxa"/>
            <w:left w:w="15" w:type="dxa"/>
            <w:bottom w:w="15" w:type="dxa"/>
            <w:right w:w="15" w:type="dxa"/>
          </w:tblCellMar>
        </w:tblPrEx>
        <w:trPr>
          <w:trHeight w:val="937" w:hRule="atLeast"/>
        </w:trPr>
        <w:tc>
          <w:tcPr>
            <w:tcW w:w="643" w:type="dxa"/>
            <w:tcBorders>
              <w:top w:val="single" w:color="000000" w:sz="4" w:space="0"/>
              <w:left w:val="single" w:color="000000" w:sz="12" w:space="0"/>
              <w:bottom w:val="single" w:color="000000" w:sz="4" w:space="0"/>
              <w:right w:val="single" w:color="000000" w:sz="4" w:space="0"/>
            </w:tcBorders>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11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商业二类</w:t>
            </w:r>
          </w:p>
        </w:tc>
        <w:tc>
          <w:tcPr>
            <w:tcW w:w="6583" w:type="dxa"/>
            <w:tcBorders>
              <w:top w:val="single" w:color="000000" w:sz="4" w:space="0"/>
              <w:left w:val="single" w:color="000000" w:sz="4" w:space="0"/>
              <w:bottom w:val="single" w:color="000000" w:sz="4" w:space="0"/>
              <w:right w:val="single" w:color="000000" w:sz="12" w:space="0"/>
            </w:tcBorders>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（利润总额n-利润总额o）/利润总额o×60%+（营业收入n-营业收入o）/营业收入o×40%=经济效益增长幅度≥工资总额增长幅度</w:t>
            </w:r>
          </w:p>
        </w:tc>
      </w:tr>
      <w:tr>
        <w:tblPrEx>
          <w:tblLayout w:type="fixed"/>
          <w:tblCellMar>
            <w:top w:w="15" w:type="dxa"/>
            <w:left w:w="15" w:type="dxa"/>
            <w:bottom w:w="15" w:type="dxa"/>
            <w:right w:w="15" w:type="dxa"/>
          </w:tblCellMar>
        </w:tblPrEx>
        <w:trPr>
          <w:trHeight w:val="625" w:hRule="atLeast"/>
        </w:trPr>
        <w:tc>
          <w:tcPr>
            <w:tcW w:w="643" w:type="dxa"/>
            <w:tcBorders>
              <w:top w:val="single" w:color="000000" w:sz="4" w:space="0"/>
              <w:left w:val="single" w:color="000000" w:sz="12" w:space="0"/>
              <w:bottom w:val="single" w:color="000000" w:sz="4" w:space="0"/>
              <w:right w:val="single" w:color="000000" w:sz="4" w:space="0"/>
            </w:tcBorders>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1110"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公益类</w:t>
            </w:r>
          </w:p>
        </w:tc>
        <w:tc>
          <w:tcPr>
            <w:tcW w:w="6583" w:type="dxa"/>
            <w:tcBorders>
              <w:top w:val="single" w:color="000000" w:sz="4" w:space="0"/>
              <w:left w:val="single" w:color="000000" w:sz="4" w:space="0"/>
              <w:bottom w:val="single" w:color="000000" w:sz="4" w:space="0"/>
              <w:right w:val="single" w:color="000000" w:sz="12" w:space="0"/>
            </w:tcBorders>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（营业收入n-营业收入o）/营业收入o×70%+（成本费用控制率o-成本费用控制率n）/成本费用控制率o×30%=经济效益增长幅度≥工资总额增长幅度</w:t>
            </w:r>
          </w:p>
        </w:tc>
      </w:tr>
      <w:tr>
        <w:tblPrEx>
          <w:tblLayout w:type="fixed"/>
          <w:tblCellMar>
            <w:top w:w="15" w:type="dxa"/>
            <w:left w:w="15" w:type="dxa"/>
            <w:bottom w:w="15" w:type="dxa"/>
            <w:right w:w="15" w:type="dxa"/>
          </w:tblCellMar>
        </w:tblPrEx>
        <w:trPr>
          <w:trHeight w:val="636" w:hRule="atLeast"/>
        </w:trPr>
        <w:tc>
          <w:tcPr>
            <w:tcW w:w="643" w:type="dxa"/>
            <w:tcBorders>
              <w:top w:val="single" w:color="000000" w:sz="4" w:space="0"/>
              <w:left w:val="single" w:color="000000" w:sz="12" w:space="0"/>
              <w:bottom w:val="single" w:color="000000" w:sz="12" w:space="0"/>
              <w:right w:val="single" w:color="000000" w:sz="4" w:space="0"/>
            </w:tcBorders>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1110" w:type="dxa"/>
            <w:tcBorders>
              <w:top w:val="single" w:color="000000" w:sz="4" w:space="0"/>
              <w:left w:val="single" w:color="000000" w:sz="4" w:space="0"/>
              <w:bottom w:val="single" w:color="000000" w:sz="12" w:space="0"/>
              <w:right w:val="single" w:color="000000" w:sz="4" w:space="0"/>
            </w:tcBorders>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文化类</w:t>
            </w:r>
          </w:p>
        </w:tc>
        <w:tc>
          <w:tcPr>
            <w:tcW w:w="6583" w:type="dxa"/>
            <w:tcBorders>
              <w:top w:val="single" w:color="000000" w:sz="4" w:space="0"/>
              <w:left w:val="single" w:color="000000" w:sz="4" w:space="0"/>
              <w:bottom w:val="single" w:color="000000" w:sz="12" w:space="0"/>
              <w:right w:val="single" w:color="000000" w:sz="12" w:space="0"/>
            </w:tcBorders>
            <w:vAlign w:val="center"/>
          </w:tcPr>
          <w:p>
            <w:pPr>
              <w:spacing w:line="26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（国有资本保值增值率n-国有资本保值增值率o）/国有资本保值增值率o×70%+（营业收入n-营业收入o）/营业收入o×30%=经济效益增长幅度≥工资总额增长幅度</w:t>
            </w:r>
          </w:p>
        </w:tc>
      </w:tr>
    </w:tbl>
    <w:p>
      <w:pPr>
        <w:rPr>
          <w:rFonts w:hint="eastAsia" w:ascii="方正仿宋_GBK" w:hAnsi="方正仿宋_GBK" w:eastAsia="方正仿宋_GBK" w:cs="方正仿宋_GBK"/>
          <w:sz w:val="32"/>
          <w:szCs w:val="32"/>
        </w:rPr>
      </w:pPr>
    </w:p>
    <w:p>
      <w:pPr>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备注：1.</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指标右下角的“o”表示：上年度决算数；“n”表</w:t>
      </w:r>
    </w:p>
    <w:p>
      <w:pPr>
        <w:pStyle w:val="2"/>
        <w:rPr>
          <w:rFonts w:hint="eastAsia" w:eastAsia="方正仿宋_GBK"/>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示：预算目标值</w:t>
      </w:r>
      <w:r>
        <w:rPr>
          <w:rFonts w:hint="eastAsia" w:ascii="方正仿宋_GBK" w:hAnsi="方正仿宋_GBK" w:eastAsia="方正仿宋_GBK" w:cs="方正仿宋_GBK"/>
          <w:sz w:val="32"/>
          <w:szCs w:val="32"/>
          <w:lang w:eastAsia="zh-CN"/>
        </w:rPr>
        <w:t>。</w:t>
      </w:r>
    </w:p>
    <w:p>
      <w:pPr>
        <w:ind w:firstLine="1580" w:firstLineChars="5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增长幅度包括：正增长和负增长</w:t>
      </w:r>
      <w:r>
        <w:rPr>
          <w:rFonts w:hint="eastAsia" w:ascii="方正仿宋_GBK" w:hAnsi="方正仿宋_GBK" w:eastAsia="方正仿宋_GBK" w:cs="方正仿宋_GBK"/>
          <w:sz w:val="32"/>
          <w:szCs w:val="32"/>
          <w:lang w:eastAsia="zh-CN"/>
        </w:rPr>
        <w:t>。</w:t>
      </w:r>
    </w:p>
    <w:p>
      <w:pPr>
        <w:pStyle w:val="2"/>
        <w:rPr>
          <w:rFonts w:hint="eastAsia" w:ascii="方正仿宋_GBK" w:eastAsia="方正仿宋_GBK"/>
          <w:sz w:val="28"/>
          <w:szCs w:val="28"/>
        </w:rPr>
      </w:pPr>
    </w:p>
    <w:p>
      <w:pPr>
        <w:pStyle w:val="2"/>
        <w:rPr>
          <w:rFonts w:hint="eastAsia" w:ascii="方正仿宋_GBK" w:eastAsia="方正仿宋_GBK"/>
          <w:sz w:val="28"/>
          <w:szCs w:val="28"/>
        </w:rPr>
      </w:pPr>
    </w:p>
    <w:p>
      <w:pPr>
        <w:pStyle w:val="2"/>
        <w:rPr>
          <w:rFonts w:hint="eastAsia" w:ascii="方正仿宋_GBK" w:eastAsia="方正仿宋_GBK"/>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943" w:leftChars="8" w:right="0" w:rightChars="0" w:hanging="927" w:hangingChars="450"/>
        <w:jc w:val="both"/>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Cs w:val="32"/>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27940</wp:posOffset>
                </wp:positionV>
                <wp:extent cx="5600700" cy="0"/>
                <wp:effectExtent l="0" t="7620" r="7620" b="7620"/>
                <wp:wrapNone/>
                <wp:docPr id="14" name="直接连接符 14"/>
                <wp:cNvGraphicFramePr/>
                <a:graphic xmlns:a="http://schemas.openxmlformats.org/drawingml/2006/main">
                  <a:graphicData uri="http://schemas.microsoft.com/office/word/2010/wordprocessingShape">
                    <wps:wsp>
                      <wps:cNvCnPr/>
                      <wps:spPr>
                        <a:xfrm>
                          <a:off x="0" y="0"/>
                          <a:ext cx="5600700" cy="0"/>
                        </a:xfrm>
                        <a:prstGeom prst="line">
                          <a:avLst/>
                        </a:prstGeom>
                        <a:ln w="1524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5pt;margin-top:2.2pt;height:0pt;width:441pt;z-index:251660288;mso-width-relative:page;mso-height-relative:page;" filled="f" stroked="t" coordsize="21600,21600" o:gfxdata="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K4p3R0gAAAAYBAAAPAAAAAAAAAAEA&#10;IAAAACIAAABkcnMvZG93bnJldi54bWxQSwECFAAUAAAACACHTuJAzXsC1twBAACZAwAADgAAAAAA&#10;AAABACAAAAAhAQAAZHJzL2Uyb0RvYy54bWxQSwUGAAAAAAYABgBZAQAAbwUAAAAA&#10;">
                <v:fill on="f" focussize="0,0"/>
                <v:stroke weight="1.2pt" color="#000000" joinstyle="round"/>
                <v:imagedata o:title=""/>
                <o:lock v:ext="edit" aspectratio="f"/>
              </v:line>
            </w:pict>
          </mc:Fallback>
        </mc:AlternateContent>
      </w:r>
      <w:r>
        <w:rPr>
          <w:rFonts w:hint="eastAsia" w:ascii="方正仿宋_GBK" w:hAnsi="方正仿宋_GBK" w:eastAsia="方正仿宋_GBK" w:cs="方正仿宋_GBK"/>
          <w:sz w:val="28"/>
          <w:szCs w:val="28"/>
        </w:rPr>
        <w:t>抄送：</w:t>
      </w:r>
      <w:r>
        <w:rPr>
          <w:rFonts w:hint="eastAsia" w:ascii="方正仿宋_GBK" w:hAnsi="方正仿宋_GBK" w:eastAsia="方正仿宋_GBK" w:cs="方正仿宋_GBK"/>
          <w:sz w:val="28"/>
          <w:szCs w:val="28"/>
          <w:lang w:val="en-US" w:eastAsia="zh-CN"/>
        </w:rPr>
        <w:t>区委组织部，区纪委监委机关，区审计局，新区建设管委会，荣昌高新区管委会，区旅游景区管委会，区文化旅游委，区水利局，现代畜牧业管委会，区规划自然资源局，区科技局，区融媒体中心，重庆（荣昌）生猪大数据中心</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方正仿宋_GBK" w:hAnsi="方正仿宋_GBK" w:eastAsia="方正仿宋_GBK" w:cs="方正仿宋_GBK"/>
          <w:color w:val="000000"/>
          <w:w w:val="100"/>
          <w:sz w:val="28"/>
          <w:szCs w:val="28"/>
          <w:lang w:eastAsia="zh-CN"/>
        </w:rPr>
        <w:sectPr>
          <w:headerReference r:id="rId5" w:type="default"/>
          <w:footerReference r:id="rId7" w:type="default"/>
          <w:headerReference r:id="rId6" w:type="even"/>
          <w:footerReference r:id="rId8" w:type="even"/>
          <w:pgSz w:w="11907" w:h="16840"/>
          <w:pgMar w:top="2098" w:right="1474" w:bottom="1984" w:left="1588" w:header="1559" w:footer="1389" w:gutter="0"/>
          <w:pgBorders>
            <w:top w:val="none" w:sz="0" w:space="0"/>
            <w:left w:val="none" w:sz="0" w:space="0"/>
            <w:bottom w:val="none" w:sz="0" w:space="0"/>
            <w:right w:val="none" w:sz="0" w:space="0"/>
          </w:pgBorders>
          <w:pgNumType w:fmt="decimal"/>
          <w:cols w:space="720" w:num="1"/>
          <w:docGrid w:type="linesAndChars" w:linePitch="579" w:charSpace="-849"/>
        </w:sectPr>
      </w:pPr>
      <w:r>
        <w:rPr>
          <w:rFonts w:hint="eastAsia" w:ascii="方正仿宋_GBK" w:hAnsi="方正仿宋_GBK" w:eastAsia="方正仿宋_GBK" w:cs="方正仿宋_GBK"/>
          <w:szCs w:val="32"/>
        </w:rP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8255</wp:posOffset>
                </wp:positionV>
                <wp:extent cx="56007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pt;margin-top:0.65pt;height:0pt;width:441pt;z-index:251661312;mso-width-relative:page;mso-height-relative:page;" filled="f" stroked="t" coordsize="21600,21600" o:gfxdata="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V7BQE0wAAAAYBAAAPAAAAAAAAAAEA&#10;IAAAACIAAABkcnMvZG93bnJldi54bWxQSwECFAAUAAAACACHTuJAiAHlnNsBAACYAwAADgAAAAAA&#10;AAABACAAAAAiAQAAZHJzL2Uyb0RvYy54bWxQSwUGAAAAAAYABgBZAQAAbwU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28"/>
          <w:szCs w:val="28"/>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367030</wp:posOffset>
                </wp:positionV>
                <wp:extent cx="5600700" cy="0"/>
                <wp:effectExtent l="0" t="7620" r="7620" b="7620"/>
                <wp:wrapNone/>
                <wp:docPr id="10" name="直接连接符 10"/>
                <wp:cNvGraphicFramePr/>
                <a:graphic xmlns:a="http://schemas.openxmlformats.org/drawingml/2006/main">
                  <a:graphicData uri="http://schemas.microsoft.com/office/word/2010/wordprocessingShape">
                    <wps:wsp>
                      <wps:cNvCnPr/>
                      <wps:spPr>
                        <a:xfrm>
                          <a:off x="0" y="0"/>
                          <a:ext cx="5600700" cy="0"/>
                        </a:xfrm>
                        <a:prstGeom prst="line">
                          <a:avLst/>
                        </a:prstGeom>
                        <a:ln w="1524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pt;margin-top:28.9pt;height:0pt;width:441pt;z-index:251662336;mso-width-relative:page;mso-height-relative:page;" filled="f" stroked="t" coordsize="21600,21600" o:gfxdata="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6+7FLWAAAACAEAAA8AAAAAAAAA&#10;AQAgAAAAIgAAAGRycy9kb3ducmV2LnhtbFBLAQIUABQAAAAIAIdO4kBq32uC2gEAAJkDAAAOAAAA&#10;AAAAAAEAIAAAACUBAABkcnMvZTJvRG9jLnhtbFBLBQYAAAAABgAGAFkBAABxBQAAAAA=&#10;">
                <v:fill on="f" focussize="0,0"/>
                <v:stroke weight="1.2pt" color="#000000" joinstyle="round"/>
                <v:imagedata o:title=""/>
                <o:lock v:ext="edit" aspectratio="f"/>
              </v:line>
            </w:pict>
          </mc:Fallback>
        </mc:AlternateContent>
      </w:r>
      <w:r>
        <w:rPr>
          <w:rFonts w:hint="eastAsia" w:ascii="方正仿宋_GBK" w:hAnsi="方正仿宋_GBK" w:eastAsia="方正仿宋_GBK" w:cs="方正仿宋_GBK"/>
          <w:sz w:val="28"/>
          <w:szCs w:val="28"/>
        </w:rPr>
        <w:t>重庆市荣昌区国有资产监督管理委员会          20</w:t>
      </w:r>
      <w:r>
        <w:rPr>
          <w:rFonts w:hint="eastAsia" w:ascii="方正仿宋_GBK" w:hAnsi="方正仿宋_GBK" w:eastAsia="方正仿宋_GBK" w:cs="方正仿宋_GBK"/>
          <w:sz w:val="28"/>
          <w:szCs w:val="28"/>
          <w:lang w:val="en-US" w:eastAsia="zh-CN"/>
        </w:rPr>
        <w:t>20</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10</w:t>
      </w:r>
      <w:r>
        <w:rPr>
          <w:rFonts w:hint="eastAsia" w:ascii="方正仿宋_GBK" w:hAnsi="方正仿宋_GBK" w:eastAsia="方正仿宋_GBK" w:cs="方正仿宋_GBK"/>
          <w:sz w:val="28"/>
          <w:szCs w:val="28"/>
        </w:rPr>
        <w:t>日印发</w:t>
      </w:r>
    </w:p>
    <w:p/>
    <w:sectPr>
      <w:headerReference r:id="rId9" w:type="default"/>
      <w:footerReference r:id="rId10" w:type="default"/>
      <w:pgSz w:w="16838" w:h="11906" w:orient="landscape"/>
      <w:pgMar w:top="1962" w:right="1474" w:bottom="1848" w:left="1587" w:header="1559" w:footer="850" w:gutter="0"/>
      <w:pgBorders>
        <w:top w:val="none" w:sz="0" w:space="0"/>
        <w:left w:val="none" w:sz="0" w:space="0"/>
        <w:bottom w:val="none" w:sz="0" w:space="0"/>
        <w:right w:val="none" w:sz="0" w:space="0"/>
      </w:pgBorders>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center"/>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重庆市荣昌区国有资产监督管理委员会</w:t>
    </w:r>
    <w:r>
      <w:rPr>
        <w:rFonts w:hint="eastAsia" w:ascii="宋体" w:hAnsi="宋体" w:eastAsia="宋体" w:cs="宋体"/>
        <w:b/>
        <w:bCs/>
        <w:color w:val="005192"/>
        <w:sz w:val="28"/>
        <w:szCs w:val="44"/>
        <w:lang w:val="en-US" w:eastAsia="zh-CN"/>
      </w:rPr>
      <mc:AlternateContent>
        <mc:Choice Requires="wps">
          <w:drawing>
            <wp:anchor distT="0" distB="0" distL="114300" distR="114300" simplePos="0" relativeHeight="251665408" behindDoc="0" locked="0" layoutInCell="1" allowOverlap="1">
              <wp:simplePos x="0" y="0"/>
              <wp:positionH relativeFrom="column">
                <wp:posOffset>-6985</wp:posOffset>
              </wp:positionH>
              <wp:positionV relativeFrom="paragraph">
                <wp:posOffset>-1270</wp:posOffset>
              </wp:positionV>
              <wp:extent cx="5620385" cy="0"/>
              <wp:effectExtent l="0" t="0" r="0" b="0"/>
              <wp:wrapNone/>
              <wp:docPr id="22" name="直接连接符 22"/>
              <wp:cNvGraphicFramePr/>
              <a:graphic xmlns:a="http://schemas.openxmlformats.org/drawingml/2006/main">
                <a:graphicData uri="http://schemas.microsoft.com/office/word/2010/wordprocessingShape">
                  <wps:wsp>
                    <wps:cNvCnPr/>
                    <wps:spPr>
                      <a:xfrm>
                        <a:off x="1007745" y="124333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55pt;margin-top:-0.1pt;height:0pt;width:442.55pt;z-index:251665408;mso-width-relative:page;mso-height-relative:page;" filled="f" stroked="t" coordsize="21600,21600" o:gfxdata="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4wU1NEAAAAGAQAADwAAAAAAAAABACAAAAAiAAAAZHJz&#10;L2Rvd25yZXYueG1sUEsBAhQAFAAAAAgAh07iQATqjgXSAQAAaQMAAA4AAAAAAAAAAQAgAAAAIAEA&#10;AGRycy9lMm9Eb2MueG1sUEsFBgAAAAAGAAYAWQEAAGQFA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28"/>
        <w:szCs w:val="44"/>
        <w:lang w:val="en-US" w:eastAsia="zh-CN"/>
      </w:rPr>
      <w:t>发布</w:t>
    </w:r>
  </w:p>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wordWrap w:val="0"/>
                            <w:jc w:val="right"/>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2</w:t>
                          </w:r>
                          <w:r>
                            <w:rPr>
                              <w:rFonts w:ascii="宋体" w:hAnsi="宋体"/>
                              <w:sz w:val="28"/>
                              <w:szCs w:val="28"/>
                            </w:rPr>
                            <w:fldChar w:fldCharType="end"/>
                          </w:r>
                          <w:r>
                            <w:rPr>
                              <w:rStyle w:val="7"/>
                              <w:rFonts w:hint="eastAsia" w:ascii="宋体" w:hAnsi="宋体"/>
                              <w:sz w:val="28"/>
                              <w:szCs w:val="28"/>
                            </w:rPr>
                            <w:t xml:space="preserve"> —  </w:t>
                          </w:r>
                        </w:p>
                      </w:txbxContent>
                    </wps:txbx>
                    <wps:bodyPr wrap="none" lIns="0" tIns="0" rIns="0" bIns="0" upright="0">
                      <a:spAutoFit/>
                    </wps:bodyPr>
                  </wps:wsp>
                </a:graphicData>
              </a:graphic>
            </wp:anchor>
          </w:drawing>
        </mc:Choice>
        <mc:Fallback>
          <w:pict>
            <v:shape id="_x0000_s1026" o:spid="_x0000_s1026" o:spt="202" type="#_x0000_t202" style="position:absolute;left:0pt;margin-top:-10pt;height:144pt;width:144pt;mso-position-horizontal:outside;mso-position-horizontal-relative:margin;mso-wrap-style:none;z-index:251659264;mso-width-relative:page;mso-height-relative:page;" filled="f" stroked="f" coordsize="21600,21600" o:gfxdata="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DU2vPVAAAACAEAAA8AAAAAAAAAAQAgAAAAIgAAAGRycy9kb3ducmV2LnhtbFBLAQIUABQAAAAI&#10;AIdO4kDjNgF4twEAAFcDAAAOAAAAAAAAAAEAIAAAACQBAABkcnMvZTJvRG9jLnhtbFBLBQYAAAAA&#10;BgAGAFkBAABNBQAAAAA=&#10;">
              <v:fill on="f" focussize="0,0"/>
              <v:stroke on="f" weight="1.25pt"/>
              <v:imagedata o:title=""/>
              <o:lock v:ext="edit" aspectratio="f"/>
              <v:textbox inset="0mm,0mm,0mm,0mm" style="mso-fit-shape-to-text:t;">
                <w:txbxContent>
                  <w:p>
                    <w:pPr>
                      <w:pStyle w:val="3"/>
                      <w:wordWrap w:val="0"/>
                      <w:jc w:val="right"/>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2</w:t>
                    </w:r>
                    <w:r>
                      <w:rPr>
                        <w:rFonts w:ascii="宋体" w:hAnsi="宋体"/>
                        <w:sz w:val="28"/>
                        <w:szCs w:val="28"/>
                      </w:rPr>
                      <w:fldChar w:fldCharType="end"/>
                    </w:r>
                    <w:r>
                      <w:rPr>
                        <w:rStyle w:val="7"/>
                        <w:rFonts w:hint="eastAsia" w:ascii="宋体" w:hAnsi="宋体"/>
                        <w:sz w:val="28"/>
                        <w:szCs w:val="28"/>
                      </w:rPr>
                      <w:t xml:space="preserve"> —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sz w:val="32"/>
      </w:rPr>
    </w:pPr>
  </w:p>
  <w:p>
    <w:pPr>
      <w:pStyle w:val="4"/>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重庆市荣昌区国有资产监督管理委员会</w:t>
    </w:r>
    <w:r>
      <w:rPr>
        <w:rFonts w:hint="eastAsia" w:ascii="宋体" w:hAnsi="宋体" w:eastAsia="宋体" w:cs="宋体"/>
        <w:b/>
        <w:bCs/>
        <w:color w:val="005192"/>
        <w:sz w:val="28"/>
        <w:szCs w:val="44"/>
        <w:lang w:val="en-US" w:eastAsia="zh-CN"/>
      </w:rPr>
      <mc:AlternateContent>
        <mc:Choice Requires="wps">
          <w:drawing>
            <wp:anchor distT="0" distB="0" distL="114300" distR="114300" simplePos="0" relativeHeight="251663360" behindDoc="0" locked="0" layoutInCell="1" allowOverlap="1">
              <wp:simplePos x="0" y="0"/>
              <wp:positionH relativeFrom="column">
                <wp:posOffset>-6985</wp:posOffset>
              </wp:positionH>
              <wp:positionV relativeFrom="paragraph">
                <wp:posOffset>-1270</wp:posOffset>
              </wp:positionV>
              <wp:extent cx="5620385" cy="0"/>
              <wp:effectExtent l="0" t="10795" r="18415" b="17780"/>
              <wp:wrapNone/>
              <wp:docPr id="20" name="直接连接符 20"/>
              <wp:cNvGraphicFramePr/>
              <a:graphic xmlns:a="http://schemas.openxmlformats.org/drawingml/2006/main">
                <a:graphicData uri="http://schemas.microsoft.com/office/word/2010/wordprocessingShape">
                  <wps:wsp>
                    <wps:cNvCnPr/>
                    <wps:spPr>
                      <a:xfrm>
                        <a:off x="1007745" y="124333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55pt;margin-top:-0.1pt;height:0pt;width:442.55pt;z-index:251663360;mso-width-relative:page;mso-height-relative:page;" filled="f" stroked="t" coordsize="21600,21600" o:gfxdata="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LjBTU0QAAAAYBAAAPAAAAAAAAAAEAIAAAACIAAABkcnMv&#10;ZG93bnJldi54bWxQSwECFAAUAAAACACHTuJAPr6ORdEBAABpAwAADgAAAAAAAAABACAAAAAgAQAA&#10;ZHJzL2Uyb0RvYy54bWxQSwUGAAAAAAYABgBZAQAAYwU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28"/>
        <w:szCs w:val="44"/>
        <w:lang w:val="en-US" w:eastAsia="zh-CN"/>
      </w:rPr>
      <w:t>发布</w:t>
    </w:r>
  </w:p>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-2540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Style w:val="7"/>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2pt;height:144pt;width:144pt;mso-position-horizontal:outside;mso-position-horizontal-relative:margin;mso-wrap-style:none;z-index:251660288;mso-width-relative:page;mso-height-relative:page;" filled="f" stroked="f" coordsize="21600,21600" o:gfxdata="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KJz9e1gAAAAYBAAAPAAAAAAAAAAEAIAAAACIAAABkcnMvZG93bnJldi54bWxQSwECFAAUAAAA&#10;CACHTuJA1KYnJLcBAABVAwAADgAAAAAAAAABACAAAAAlAQAAZHJzL2Uyb0RvYy54bWxQSwUGAAAA&#10;AAYABgBZAQAATgUAAAAA&#10;">
              <v:fill on="f" focussize="0,0"/>
              <v:stroke on="f" weight="1.25pt"/>
              <v:imagedata o:title=""/>
              <o:lock v:ext="edit" aspectratio="f"/>
              <v:textbox inset="0mm,0mm,0mm,0mm" style="mso-fit-shape-to-text:t;">
                <w:txbxContent>
                  <w:p>
                    <w:pPr>
                      <w:pStyle w:val="3"/>
                      <w:rPr>
                        <w:rStyle w:val="7"/>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-2540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ind w:firstLine="280" w:firstLineChars="100"/>
                            <w:rPr>
                              <w:rStyle w:val="7"/>
                              <w:rFonts w:hint="default" w:eastAsia="方正仿宋_GBK"/>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2pt;height:144pt;width:144pt;mso-position-horizontal:outside;mso-position-horizontal-relative:margin;mso-wrap-style:none;z-index:251661312;mso-width-relative:page;mso-height-relative:page;" filled="f" stroked="f" coordsize="21600,21600" o:gfxdata="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KJz9e1gAAAAYBAAAPAAAAAAAAAAEAIAAAACIAAABkcnMvZG93bnJldi54bWxQSwECFAAUAAAA&#10;CACHTuJAdIr7VrcBAABXAwAADgAAAAAAAAABACAAAAAlAQAAZHJzL2Uyb0RvYy54bWxQSwUGAAAA&#10;AAYABgBZAQAATgUAAAAA&#10;">
              <v:fill on="f" focussize="0,0"/>
              <v:stroke on="f" weight="1.25pt"/>
              <v:imagedata o:title=""/>
              <o:lock v:ext="edit" aspectratio="f"/>
              <v:textbox inset="0mm,0mm,0mm,0mm" style="mso-fit-shape-to-text:t;">
                <w:txbxContent>
                  <w:p>
                    <w:pPr>
                      <w:pStyle w:val="3"/>
                      <w:ind w:firstLine="280" w:firstLineChars="100"/>
                      <w:rPr>
                        <w:rStyle w:val="7"/>
                        <w:rFonts w:hint="default" w:eastAsia="方正仿宋_GBK"/>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p>
    <w:pPr>
      <w:pStyle w:val="3"/>
      <w:rPr>
        <w:rFonts w:hint="eastAsia"/>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jc w:val="left"/>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-7620</wp:posOffset>
              </wp:positionH>
              <wp:positionV relativeFrom="paragraph">
                <wp:posOffset>330835</wp:posOffset>
              </wp:positionV>
              <wp:extent cx="5620385" cy="0"/>
              <wp:effectExtent l="0" t="0" r="0" b="0"/>
              <wp:wrapNone/>
              <wp:docPr id="19" name="直接连接符 19"/>
              <wp:cNvGraphicFramePr/>
              <a:graphic xmlns:a="http://schemas.openxmlformats.org/drawingml/2006/main">
                <a:graphicData uri="http://schemas.microsoft.com/office/word/2010/wordprocessingShape">
                  <wps:wsp>
                    <wps:cNvCnPr/>
                    <wps:spPr>
                      <a:xfrm>
                        <a:off x="1007745" y="124333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6pt;margin-top:26.05pt;height:0pt;width:442.55pt;z-index:251664384;mso-width-relative:page;mso-height-relative:page;" filled="f" stroked="t" coordsize="21600,21600" o:gfxdata="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&#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wnixDTAAAACAEAAA8AAAAAAAAAAQAgAAAAIgAAAGRy&#10;cy9kb3ducmV2LnhtbFBLAQIUABQAAAAIAIdO4kCfd5Qb0QEAAGkDAAAOAAAAAAAAAAEAIAAAACIB&#10;AABkcnMvZTJvRG9jLnhtbFBLBQYAAAAABgAGAFkBAABlBQ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2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重庆市荣昌区国有资产监督管理委员会行政</w:t>
    </w:r>
    <w:r>
      <w:rPr>
        <w:rFonts w:hint="eastAsia" w:ascii="宋体" w:hAnsi="宋体" w:eastAsia="宋体" w:cs="宋体"/>
        <w:b/>
        <w:bCs/>
        <w:color w:val="005192"/>
        <w:sz w:val="32"/>
        <w:szCs w:val="32"/>
        <w:lang w:val="en-US" w:eastAsia="zh-Hans"/>
      </w:rPr>
      <w:t>规范性文件</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jc w:val="left"/>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330835</wp:posOffset>
              </wp:positionV>
              <wp:extent cx="5620385" cy="0"/>
              <wp:effectExtent l="0" t="10795" r="18415" b="17780"/>
              <wp:wrapNone/>
              <wp:docPr id="7" name="直接连接符 7"/>
              <wp:cNvGraphicFramePr/>
              <a:graphic xmlns:a="http://schemas.openxmlformats.org/drawingml/2006/main">
                <a:graphicData uri="http://schemas.microsoft.com/office/word/2010/wordprocessingShape">
                  <wps:wsp>
                    <wps:cNvCnPr/>
                    <wps:spPr>
                      <a:xfrm>
                        <a:off x="1007745" y="124333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6pt;margin-top:26.05pt;height:0pt;width:442.55pt;z-index:251662336;mso-width-relative:page;mso-height-relative:page;" filled="f" stroked="t" coordsize="21600,21600" o:gfxdata="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CeLENMAAAAIAQAADwAAAAAAAAABACAAAAAiAAAAZHJz&#10;L2Rvd25yZXYueG1sUEsBAhQAFAAAAAgAh07iQKHpBbHQAQAAZwMAAA4AAAAAAAAAAQAgAAAAIgEA&#10;AGRycy9lMm9Eb2MueG1sUEsFBgAAAAAGAAYAWQEAAGQFA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2"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重庆市荣昌区国有资产监督管理委员会行政</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1F832"/>
    <w:multiLevelType w:val="singleLevel"/>
    <w:tmpl w:val="5D81F832"/>
    <w:lvl w:ilvl="0" w:tentative="0">
      <w:start w:val="2"/>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2OWUwZjQ0NTliNDg4YjJjNDJiYTcxN2RjOGJhNzIifQ=="/>
  </w:docVars>
  <w:rsids>
    <w:rsidRoot w:val="3D8C3753"/>
    <w:rsid w:val="05441B74"/>
    <w:rsid w:val="0EC74290"/>
    <w:rsid w:val="10596B94"/>
    <w:rsid w:val="19EE2A43"/>
    <w:rsid w:val="1D280D61"/>
    <w:rsid w:val="24D329DA"/>
    <w:rsid w:val="28550131"/>
    <w:rsid w:val="2BEA293F"/>
    <w:rsid w:val="2DC01BA9"/>
    <w:rsid w:val="2E8B25FC"/>
    <w:rsid w:val="34441786"/>
    <w:rsid w:val="34B94AEE"/>
    <w:rsid w:val="352F40D1"/>
    <w:rsid w:val="3D8C3753"/>
    <w:rsid w:val="43993170"/>
    <w:rsid w:val="46AA66DE"/>
    <w:rsid w:val="4CD31E5D"/>
    <w:rsid w:val="4FD50CD7"/>
    <w:rsid w:val="51695A8C"/>
    <w:rsid w:val="53734875"/>
    <w:rsid w:val="597B5FB8"/>
    <w:rsid w:val="633B16F7"/>
    <w:rsid w:val="68D66149"/>
    <w:rsid w:val="742F4960"/>
    <w:rsid w:val="77F57C6E"/>
    <w:rsid w:val="7A5848B9"/>
    <w:rsid w:val="7B2B17C7"/>
    <w:rsid w:val="7F013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eastAsia="仿宋_GB2312"/>
      <w:sz w:val="28"/>
    </w:rPr>
  </w:style>
  <w:style w:type="paragraph" w:styleId="3">
    <w:name w:val="footer"/>
    <w:basedOn w:val="1"/>
    <w:next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next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character" w:customStyle="1" w:styleId="9">
    <w:name w:val="titlefront1"/>
    <w:basedOn w:val="6"/>
    <w:qFormat/>
    <w:uiPriority w:val="0"/>
    <w:rPr>
      <w:sz w:val="21"/>
      <w:szCs w:val="21"/>
    </w:rPr>
  </w:style>
  <w:style w:type="paragraph" w:customStyle="1" w:styleId="10">
    <w:name w:val=" Char"/>
    <w:basedOn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7405</Words>
  <Characters>7524</Characters>
  <Lines>0</Lines>
  <Paragraphs>0</Paragraphs>
  <TotalTime>25</TotalTime>
  <ScaleCrop>false</ScaleCrop>
  <LinksUpToDate>false</LinksUpToDate>
  <CharactersWithSpaces>7694</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2023-01-20T06:46:00Z</dcterms:created>
  <dc:creator>白糖</dc:creator>
  <cp:lastModifiedBy>Administrator</cp:lastModifiedBy>
  <dcterms:modified xsi:type="dcterms:W3CDTF">2023-11-02T03:19:41Z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5EB46733FD1D48409461ADDF2261BADE</vt:lpwstr>
  </property>
</Properties>
</file>