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32"/>
        </w:rPr>
      </w:pPr>
      <w:r>
        <w:rPr>
          <w:rFonts w:hint="eastAsia" w:eastAsia="方正小标宋_GBK"/>
          <w:sz w:val="44"/>
          <w:szCs w:val="44"/>
        </w:rPr>
        <w:t>重庆市荣昌区财政局发文稿纸</w:t>
      </w:r>
    </w:p>
    <w:tbl>
      <w:tblPr>
        <w:tblStyle w:val="5"/>
        <w:tblpPr w:leftFromText="180" w:rightFromText="180" w:vertAnchor="page" w:horzAnchor="page" w:tblpX="1857" w:tblpY="2238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819"/>
        <w:gridCol w:w="1504"/>
        <w:gridCol w:w="422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6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  <w:sz w:val="30"/>
              </w:rPr>
            </w:pPr>
            <w:r>
              <w:rPr>
                <w:rFonts w:hint="eastAsia"/>
                <w:b w:val="0"/>
                <w:bCs w:val="0"/>
                <w:sz w:val="30"/>
              </w:rPr>
              <w:t>荣财</w:t>
            </w:r>
            <w:r>
              <w:rPr>
                <w:rFonts w:hint="eastAsia"/>
                <w:b w:val="0"/>
                <w:bCs w:val="0"/>
                <w:sz w:val="30"/>
                <w:lang w:eastAsia="zh-CN"/>
              </w:rPr>
              <w:t>农〔</w:t>
            </w:r>
            <w:r>
              <w:rPr>
                <w:rFonts w:hint="eastAsia"/>
                <w:b w:val="0"/>
                <w:bCs w:val="0"/>
                <w:sz w:val="30"/>
                <w:lang w:val="en-US" w:eastAsia="zh-CN"/>
              </w:rPr>
              <w:t xml:space="preserve">2021〕 </w:t>
            </w:r>
            <w:r>
              <w:rPr>
                <w:rFonts w:hint="eastAsia"/>
                <w:b w:val="0"/>
                <w:bCs w:val="0"/>
                <w:sz w:val="30"/>
              </w:rPr>
              <w:t>号</w:t>
            </w:r>
          </w:p>
        </w:tc>
        <w:tc>
          <w:tcPr>
            <w:tcW w:w="1926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缓急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069" w:type="dxa"/>
            <w:gridSpan w:val="2"/>
            <w:vAlign w:val="top"/>
          </w:tcPr>
          <w:p>
            <w:pPr>
              <w:rPr>
                <w:rFonts w:hint="eastAsia" w:eastAsia="宋体"/>
                <w:b w:val="0"/>
                <w:bCs w:val="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</w:rPr>
              <w:t>签发：</w:t>
            </w:r>
          </w:p>
        </w:tc>
        <w:tc>
          <w:tcPr>
            <w:tcW w:w="4345" w:type="dxa"/>
            <w:gridSpan w:val="3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会签：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414" w:type="dxa"/>
            <w:gridSpan w:val="5"/>
            <w:vAlign w:val="top"/>
          </w:tcPr>
          <w:p>
            <w:pPr>
              <w:rPr>
                <w:rFonts w:hint="eastAsia" w:eastAsia="宋体"/>
                <w:b w:val="0"/>
                <w:bCs w:val="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</w:rPr>
              <w:t>主送: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各镇人民政府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街道办事处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区级各部门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有关单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30"/>
                <w:szCs w:val="22"/>
                <w:lang w:val="en-US" w:eastAsia="zh-CN" w:bidi="ar-SA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414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抄送：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50" w:type="dxa"/>
            <w:vAlign w:val="top"/>
          </w:tcPr>
          <w:p>
            <w:pPr>
              <w:rPr>
                <w:rFonts w:hint="eastAsia"/>
                <w:b w:val="0"/>
                <w:bCs w:val="0"/>
                <w:sz w:val="30"/>
              </w:rPr>
            </w:pPr>
            <w:r>
              <w:rPr>
                <w:rFonts w:hint="eastAsia"/>
                <w:b w:val="0"/>
                <w:bCs w:val="0"/>
                <w:sz w:val="30"/>
              </w:rPr>
              <w:t>拟稿单位：农业</w:t>
            </w:r>
            <w:r>
              <w:rPr>
                <w:rFonts w:hint="eastAsia"/>
                <w:b w:val="0"/>
                <w:bCs w:val="0"/>
                <w:sz w:val="30"/>
                <w:lang w:eastAsia="zh-CN"/>
              </w:rPr>
              <w:t>农村</w:t>
            </w:r>
            <w:r>
              <w:rPr>
                <w:rFonts w:hint="eastAsia"/>
                <w:b w:val="0"/>
                <w:bCs w:val="0"/>
                <w:sz w:val="30"/>
              </w:rPr>
              <w:t>科</w:t>
            </w:r>
          </w:p>
        </w:tc>
        <w:tc>
          <w:tcPr>
            <w:tcW w:w="2323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  <w:sz w:val="30"/>
              </w:rPr>
            </w:pPr>
            <w:r>
              <w:rPr>
                <w:rFonts w:hint="eastAsia"/>
                <w:b w:val="0"/>
                <w:bCs w:val="0"/>
                <w:sz w:val="30"/>
              </w:rPr>
              <w:t>拟稿人：</w:t>
            </w:r>
            <w:r>
              <w:rPr>
                <w:rFonts w:hint="eastAsia"/>
                <w:b w:val="0"/>
                <w:bCs w:val="0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0"/>
              </w:rPr>
              <w:t xml:space="preserve"> 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  <w:sz w:val="30"/>
              </w:rPr>
            </w:pPr>
            <w:r>
              <w:rPr>
                <w:rFonts w:hint="eastAsia"/>
                <w:b w:val="0"/>
                <w:bCs w:val="0"/>
                <w:sz w:val="30"/>
              </w:rPr>
              <w:t>核稿人：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50" w:type="dxa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印刷：</w:t>
            </w:r>
          </w:p>
        </w:tc>
        <w:tc>
          <w:tcPr>
            <w:tcW w:w="2323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校对：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14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22"/>
              </w:rPr>
              <w:t>重庆市荣昌区财政衔接推进乡村振兴补助资金管理实施细则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14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32"/>
              </w:rPr>
              <w:t>主题词：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414" w:type="dxa"/>
            <w:gridSpan w:val="5"/>
            <w:vAlign w:val="top"/>
          </w:tcPr>
          <w:p>
            <w:pPr>
              <w:pStyle w:val="2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标题：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8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22"/>
                <w:lang w:val="en-US" w:eastAsia="zh-CN"/>
              </w:rPr>
              <w:t>重庆市荣昌区财政局 重庆市荣昌区乡村振兴局 重庆市荣昌区发展和改革委员会 重庆市荣昌区民族宗教事务委员会 重庆市荣昌区农业农村委员会 重庆市荣昌区林业局关于印发《重庆市荣昌区财政衔接推进乡村振兴补助资金管理实施细则》的通知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32"/>
              </w:rPr>
            </w:pPr>
          </w:p>
        </w:tc>
      </w:tr>
    </w:tbl>
    <w:p/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重庆市荣昌区财政局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重庆市荣昌区乡村振兴局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重庆市荣昌区发展和改革委员会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重庆市荣昌区民族宗教事务委员会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重庆市荣昌区农业农村委员会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重庆市荣昌区林业局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关于印发《重庆市荣昌区财政衔接推进乡村振兴补助资金管理实施细则》的通知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各镇人民政府、街道办事处、区级各部门、有关单位：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 w:val="0"/>
          <w:bCs w:val="0"/>
          <w:color w:val="auto"/>
          <w:sz w:val="32"/>
          <w:szCs w:val="32"/>
          <w:highlight w:val="none"/>
          <w:u w:val="none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加强过渡期内财政衔接推进乡村振兴补助资金管理，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提升资金使用效益，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重庆市财政局等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6部门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关于印发〈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财政衔接推进乡村振兴补助资金管理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办法〉的通知》（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财农〔2021〕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，结合我区实际，制定了《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重庆市荣昌区财政衔接推进乡村振兴补助资金管理实施细则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》，将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原财政专项扶贫资金调整为财政衔接推进乡村振兴补助资金，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现将实施细则印发给你们，请遵照执行。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执行中有何意见和建议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请及时反馈。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重庆市荣昌区财政局         重庆市荣昌区乡村振兴局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38" w:leftChars="0" w:hanging="4838" w:hangingChars="1512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重庆市荣昌区发展和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改革委员会 重庆市荣昌区民族宗教事   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重庆市荣昌区农业农村委员会      重庆市荣昌区林业局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2021年8月4日</w:t>
      </w:r>
    </w:p>
    <w:p>
      <w:pPr>
        <w:jc w:val="left"/>
        <w:rPr>
          <w:rFonts w:hint="eastAsia"/>
          <w:b w:val="0"/>
          <w:bCs w:val="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5F28"/>
    <w:rsid w:val="04BA596A"/>
    <w:rsid w:val="057C0720"/>
    <w:rsid w:val="107B650A"/>
    <w:rsid w:val="12F85F28"/>
    <w:rsid w:val="1343664B"/>
    <w:rsid w:val="1587334F"/>
    <w:rsid w:val="1B937464"/>
    <w:rsid w:val="20357036"/>
    <w:rsid w:val="48592C53"/>
    <w:rsid w:val="4D6B5DCD"/>
    <w:rsid w:val="4E267FE5"/>
    <w:rsid w:val="4E377F88"/>
    <w:rsid w:val="52523B28"/>
    <w:rsid w:val="529D0A34"/>
    <w:rsid w:val="56053F68"/>
    <w:rsid w:val="56D2022E"/>
    <w:rsid w:val="592054FA"/>
    <w:rsid w:val="59A456B8"/>
    <w:rsid w:val="5ADE26E6"/>
    <w:rsid w:val="6000272A"/>
    <w:rsid w:val="600029A8"/>
    <w:rsid w:val="66710CCD"/>
    <w:rsid w:val="67E21E6B"/>
    <w:rsid w:val="68D13CC8"/>
    <w:rsid w:val="6C313235"/>
    <w:rsid w:val="6CF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2019-04-14T01:14:00Z</dcterms:created>
  <dc:creator>周学勇</dc:creator>
  <cp:lastModifiedBy>ASUS</cp:lastModifiedBy>
  <cp:lastPrinted>2021-07-29T01:30:00Z</cp:lastPrinted>
  <dcterms:modified xsi:type="dcterms:W3CDTF">2021-08-04T09:10:15Z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